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13DF8" w14:textId="5C989894" w:rsidR="006666CB" w:rsidRDefault="006666CB" w:rsidP="006666CB">
      <w:pPr>
        <w:spacing w:line="360" w:lineRule="auto"/>
        <w:rPr>
          <w:b/>
          <w:bCs/>
        </w:rPr>
      </w:pPr>
      <w:r>
        <w:rPr>
          <w:rFonts w:hint="eastAsia"/>
          <w:b/>
          <w:bCs/>
          <w:noProof/>
          <w14:ligatures w14:val="standardContextual"/>
        </w:rPr>
        <w:drawing>
          <wp:inline distT="0" distB="0" distL="0" distR="0" wp14:anchorId="65225BDA" wp14:editId="6F3790DE">
            <wp:extent cx="5943600" cy="8210550"/>
            <wp:effectExtent l="0" t="0" r="0" b="0"/>
            <wp:docPr id="70266806" name="Picture 2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66806" name="Picture 2" descr="A close-up of a grap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lastRenderedPageBreak/>
        <w:t xml:space="preserve">Supplementary </w:t>
      </w:r>
      <w:r w:rsidRPr="009D08EF">
        <w:rPr>
          <w:rFonts w:hint="eastAsia"/>
          <w:b/>
          <w:bCs/>
        </w:rPr>
        <w:t>F</w:t>
      </w:r>
      <w:r w:rsidRPr="009D08EF">
        <w:rPr>
          <w:b/>
          <w:bCs/>
        </w:rPr>
        <w:t xml:space="preserve">igure </w:t>
      </w:r>
      <w:r>
        <w:rPr>
          <w:rFonts w:hint="eastAsia"/>
          <w:b/>
          <w:bCs/>
        </w:rPr>
        <w:t xml:space="preserve">2. </w:t>
      </w:r>
    </w:p>
    <w:p w14:paraId="7D3346C8" w14:textId="77777777" w:rsidR="006666CB" w:rsidRDefault="006666CB" w:rsidP="006666CB">
      <w:pPr>
        <w:spacing w:line="360" w:lineRule="auto"/>
      </w:pPr>
      <w:r w:rsidRPr="00BA64B2">
        <w:rPr>
          <w:rFonts w:hint="eastAsia"/>
        </w:rPr>
        <w:t xml:space="preserve">(A) </w:t>
      </w:r>
      <w:r w:rsidRPr="00C077D2">
        <w:t xml:space="preserve">Representative results and statistical plots of PGP9.5 staining in </w:t>
      </w:r>
      <w:r>
        <w:rPr>
          <w:rFonts w:hint="eastAsia"/>
        </w:rPr>
        <w:t xml:space="preserve">the </w:t>
      </w:r>
      <w:r w:rsidRPr="00C077D2">
        <w:t xml:space="preserve">tumors of the two </w:t>
      </w:r>
      <w:r>
        <w:rPr>
          <w:rFonts w:hint="eastAsia"/>
        </w:rPr>
        <w:t xml:space="preserve">mouse </w:t>
      </w:r>
      <w:r w:rsidRPr="00C077D2">
        <w:t>groups</w:t>
      </w:r>
      <w:r>
        <w:rPr>
          <w:rFonts w:hint="eastAsia"/>
        </w:rPr>
        <w:t xml:space="preserve">. (B) </w:t>
      </w:r>
      <w:r w:rsidRPr="00BA64B2">
        <w:t xml:space="preserve">Representative results of Ki-67 staining and statistical plots of </w:t>
      </w:r>
      <w:r>
        <w:rPr>
          <w:rFonts w:hint="eastAsia"/>
        </w:rPr>
        <w:t xml:space="preserve">tumor </w:t>
      </w:r>
      <w:r w:rsidRPr="00BA64B2">
        <w:t xml:space="preserve">expression in the two </w:t>
      </w:r>
      <w:r>
        <w:rPr>
          <w:rFonts w:hint="eastAsia"/>
        </w:rPr>
        <w:t xml:space="preserve">mouse </w:t>
      </w:r>
      <w:r w:rsidRPr="00BA64B2">
        <w:t>groups</w:t>
      </w:r>
      <w:r>
        <w:rPr>
          <w:rFonts w:hint="eastAsia"/>
        </w:rPr>
        <w:t xml:space="preserve">. (C) </w:t>
      </w:r>
      <w:r w:rsidRPr="00BA64B2">
        <w:t xml:space="preserve">Representative results of </w:t>
      </w:r>
      <w:r>
        <w:rPr>
          <w:rFonts w:hint="eastAsia"/>
        </w:rPr>
        <w:t>N</w:t>
      </w:r>
      <w:r>
        <w:t>-</w:t>
      </w:r>
      <w:r>
        <w:rPr>
          <w:rFonts w:hint="eastAsia"/>
        </w:rPr>
        <w:t>cadherin</w:t>
      </w:r>
      <w:r w:rsidRPr="00BA64B2">
        <w:t xml:space="preserve"> staining and statistical plots of </w:t>
      </w:r>
      <w:r>
        <w:rPr>
          <w:rFonts w:hint="eastAsia"/>
        </w:rPr>
        <w:t xml:space="preserve">tumor </w:t>
      </w:r>
      <w:r w:rsidRPr="00BA64B2">
        <w:t xml:space="preserve">expression in the two </w:t>
      </w:r>
      <w:r>
        <w:rPr>
          <w:rFonts w:hint="eastAsia"/>
        </w:rPr>
        <w:t xml:space="preserve">mouse </w:t>
      </w:r>
      <w:r w:rsidRPr="00BA64B2">
        <w:t>groups</w:t>
      </w:r>
      <w:r>
        <w:rPr>
          <w:rFonts w:hint="eastAsia"/>
        </w:rPr>
        <w:t xml:space="preserve">. (D) </w:t>
      </w:r>
      <w:r w:rsidRPr="00BA64B2">
        <w:t>DNA from stabilized HTR1D</w:t>
      </w:r>
      <w:r>
        <w:rPr>
          <w:rFonts w:hint="eastAsia"/>
        </w:rPr>
        <w:t>-knockout</w:t>
      </w:r>
      <w:r w:rsidRPr="00BA64B2">
        <w:t xml:space="preserve"> cells was extracted for sequencing to validate the HTR1D</w:t>
      </w:r>
      <w:r w:rsidRPr="00BA64B2">
        <w:rPr>
          <w:rFonts w:hint="eastAsia"/>
          <w:vertAlign w:val="superscript"/>
        </w:rPr>
        <w:t>KO</w:t>
      </w:r>
      <w:r>
        <w:rPr>
          <w:rFonts w:hint="eastAsia"/>
        </w:rPr>
        <w:t xml:space="preserve"> NSCLC</w:t>
      </w:r>
      <w:r w:rsidRPr="00BA64B2">
        <w:t xml:space="preserve"> cell line</w:t>
      </w:r>
      <w:r>
        <w:rPr>
          <w:rFonts w:hint="eastAsia"/>
        </w:rPr>
        <w:t>s</w:t>
      </w:r>
      <w:r w:rsidRPr="00BA64B2">
        <w:t>.</w:t>
      </w:r>
      <w:r>
        <w:rPr>
          <w:rFonts w:hint="eastAsia"/>
        </w:rPr>
        <w:t xml:space="preserve"> (E) The e</w:t>
      </w:r>
      <w:r w:rsidRPr="00BA64B2">
        <w:t xml:space="preserve">ffect of 5-HT stimulation on protein phosphorylation levels in the PI3K/Akt/mTOR signaling pathway in normal </w:t>
      </w:r>
      <w:r>
        <w:rPr>
          <w:rFonts w:hint="eastAsia"/>
        </w:rPr>
        <w:t>and</w:t>
      </w:r>
      <w:r w:rsidRPr="00BA64B2">
        <w:t xml:space="preserve"> HTR1D</w:t>
      </w:r>
      <w:r w:rsidRPr="00BA64B2">
        <w:rPr>
          <w:rFonts w:hint="eastAsia"/>
          <w:vertAlign w:val="superscript"/>
        </w:rPr>
        <w:t>KO</w:t>
      </w:r>
      <w:r>
        <w:rPr>
          <w:rFonts w:hint="eastAsia"/>
        </w:rPr>
        <w:t xml:space="preserve"> NSCLC</w:t>
      </w:r>
      <w:r w:rsidRPr="00BA64B2">
        <w:t xml:space="preserve"> cell line</w:t>
      </w:r>
      <w:r>
        <w:rPr>
          <w:rFonts w:hint="eastAsia"/>
        </w:rPr>
        <w:t xml:space="preserve">s. (F) </w:t>
      </w:r>
      <w:r w:rsidRPr="00BA64B2">
        <w:t>Changes in</w:t>
      </w:r>
      <w:r>
        <w:rPr>
          <w:rFonts w:hint="eastAsia"/>
        </w:rPr>
        <w:t xml:space="preserve"> the</w:t>
      </w:r>
      <w:r w:rsidRPr="00BA64B2">
        <w:t xml:space="preserve"> mRNA expression levels of 5-HT-mediated glycolysis-related enzymes </w:t>
      </w:r>
      <w:r>
        <w:rPr>
          <w:rFonts w:hint="eastAsia"/>
        </w:rPr>
        <w:t xml:space="preserve">induced </w:t>
      </w:r>
      <w:r w:rsidRPr="00BA64B2">
        <w:t>by LY294002 and Rapamycin</w:t>
      </w:r>
      <w:r>
        <w:rPr>
          <w:rFonts w:hint="eastAsia"/>
        </w:rPr>
        <w:t>.</w:t>
      </w:r>
    </w:p>
    <w:p w14:paraId="5AFB90A1" w14:textId="77777777" w:rsidR="006666CB" w:rsidRDefault="006666CB"/>
    <w:sectPr w:rsidR="006666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6CB"/>
    <w:rsid w:val="006666CB"/>
    <w:rsid w:val="00EE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B2E1B"/>
  <w15:chartTrackingRefBased/>
  <w15:docId w15:val="{CFCAD381-0F6A-4090-8567-72D0FD3F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6C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66CB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6CB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6CB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6CB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6CB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6CB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6CB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6CB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6CB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6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6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6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6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6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6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6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6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6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6CB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66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6CB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666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6CB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666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6CB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666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6C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6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6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Vidya Bhosale</dc:creator>
  <cp:keywords/>
  <dc:description/>
  <cp:lastModifiedBy>Vidya Bhosale</cp:lastModifiedBy>
  <cp:revision>1</cp:revision>
  <dcterms:created xsi:type="dcterms:W3CDTF">2024-09-27T05:41:00Z</dcterms:created>
  <dcterms:modified xsi:type="dcterms:W3CDTF">2024-09-27T05:43:00Z</dcterms:modified>
</cp:coreProperties>
</file>