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D2630" w14:textId="4E1D7F15" w:rsidR="00CC62E1" w:rsidRPr="00443E69" w:rsidRDefault="00CC62E1" w:rsidP="00DF7A0E">
      <w:pPr>
        <w:spacing w:line="480" w:lineRule="auto"/>
        <w:jc w:val="left"/>
        <w:rPr>
          <w:rFonts w:ascii="Times New Roman" w:hAnsi="Times New Roman" w:cs="Times New Roman"/>
          <w:b/>
          <w:bCs/>
          <w:sz w:val="24"/>
          <w:szCs w:val="24"/>
        </w:rPr>
      </w:pPr>
      <w:r w:rsidRPr="00443E69">
        <w:rPr>
          <w:rFonts w:ascii="Times New Roman" w:hAnsi="Times New Roman" w:cs="Times New Roman"/>
          <w:b/>
          <w:bCs/>
          <w:sz w:val="24"/>
          <w:szCs w:val="24"/>
        </w:rPr>
        <w:t>S</w:t>
      </w:r>
      <w:r w:rsidR="00116125">
        <w:rPr>
          <w:rFonts w:ascii="Times New Roman" w:hAnsi="Times New Roman" w:cs="Times New Roman" w:hint="eastAsia"/>
          <w:b/>
          <w:bCs/>
          <w:sz w:val="24"/>
          <w:szCs w:val="24"/>
        </w:rPr>
        <w:t>upplementary Methods</w:t>
      </w:r>
    </w:p>
    <w:p w14:paraId="17EFFB49" w14:textId="178BE37F" w:rsidR="00F01531" w:rsidRPr="00F01531" w:rsidRDefault="00F01531" w:rsidP="00DF7A0E">
      <w:pPr>
        <w:spacing w:line="480" w:lineRule="auto"/>
        <w:jc w:val="center"/>
        <w:rPr>
          <w:rFonts w:ascii="Times New Roman" w:hAnsi="Times New Roman" w:cs="Times New Roman"/>
          <w:b/>
          <w:bCs/>
          <w:sz w:val="24"/>
          <w:szCs w:val="24"/>
          <w:shd w:val="clear" w:color="auto" w:fill="FFFFFF"/>
        </w:rPr>
      </w:pPr>
      <w:r w:rsidRPr="00F01531">
        <w:rPr>
          <w:rFonts w:ascii="Times New Roman" w:hAnsi="Times New Roman" w:cs="Times New Roman"/>
          <w:b/>
          <w:bCs/>
          <w:sz w:val="24"/>
          <w:szCs w:val="24"/>
          <w:shd w:val="clear" w:color="auto" w:fill="FFFFFF"/>
        </w:rPr>
        <w:t>FOLR2</w:t>
      </w:r>
      <w:r w:rsidRPr="00F01531">
        <w:rPr>
          <w:rFonts w:ascii="Times New Roman" w:hAnsi="Times New Roman" w:cs="Times New Roman"/>
          <w:b/>
          <w:bCs/>
          <w:sz w:val="24"/>
          <w:szCs w:val="24"/>
          <w:shd w:val="clear" w:color="auto" w:fill="FFFFFF"/>
          <w:vertAlign w:val="superscript"/>
        </w:rPr>
        <w:t>+</w:t>
      </w:r>
      <w:r w:rsidRPr="00F01531">
        <w:rPr>
          <w:rFonts w:ascii="Times New Roman" w:hAnsi="Times New Roman" w:cs="Times New Roman"/>
          <w:b/>
          <w:bCs/>
          <w:sz w:val="24"/>
          <w:szCs w:val="24"/>
          <w:shd w:val="clear" w:color="auto" w:fill="FFFFFF"/>
        </w:rPr>
        <w:t xml:space="preserve"> macrophage </w:t>
      </w:r>
      <w:r w:rsidR="00451475">
        <w:rPr>
          <w:rFonts w:ascii="Times New Roman" w:hAnsi="Times New Roman" w:cs="Times New Roman" w:hint="eastAsia"/>
          <w:b/>
          <w:bCs/>
          <w:sz w:val="24"/>
          <w:szCs w:val="24"/>
          <w:shd w:val="clear" w:color="auto" w:fill="FFFFFF"/>
        </w:rPr>
        <w:t>d</w:t>
      </w:r>
      <w:r w:rsidRPr="00F01531">
        <w:rPr>
          <w:rFonts w:ascii="Times New Roman" w:hAnsi="Times New Roman" w:cs="Times New Roman"/>
          <w:b/>
          <w:bCs/>
          <w:sz w:val="24"/>
          <w:szCs w:val="24"/>
          <w:shd w:val="clear" w:color="auto" w:fill="FFFFFF"/>
        </w:rPr>
        <w:t xml:space="preserve">epletion </w:t>
      </w:r>
      <w:r w:rsidR="00451475">
        <w:rPr>
          <w:rFonts w:ascii="Times New Roman" w:hAnsi="Times New Roman" w:cs="Times New Roman" w:hint="eastAsia"/>
          <w:b/>
          <w:bCs/>
          <w:sz w:val="24"/>
          <w:szCs w:val="24"/>
          <w:shd w:val="clear" w:color="auto" w:fill="FFFFFF"/>
        </w:rPr>
        <w:t>f</w:t>
      </w:r>
      <w:r w:rsidRPr="00F01531">
        <w:rPr>
          <w:rFonts w:ascii="Times New Roman" w:hAnsi="Times New Roman" w:cs="Times New Roman"/>
          <w:b/>
          <w:bCs/>
          <w:sz w:val="24"/>
          <w:szCs w:val="24"/>
          <w:shd w:val="clear" w:color="auto" w:fill="FFFFFF"/>
        </w:rPr>
        <w:t xml:space="preserve">rom </w:t>
      </w:r>
      <w:r w:rsidR="00451475">
        <w:rPr>
          <w:rFonts w:ascii="Times New Roman" w:hAnsi="Times New Roman" w:cs="Times New Roman" w:hint="eastAsia"/>
          <w:b/>
          <w:bCs/>
          <w:sz w:val="24"/>
          <w:szCs w:val="24"/>
          <w:shd w:val="clear" w:color="auto" w:fill="FFFFFF"/>
        </w:rPr>
        <w:t>i</w:t>
      </w:r>
      <w:r w:rsidRPr="00F01531">
        <w:rPr>
          <w:rFonts w:ascii="Times New Roman" w:hAnsi="Times New Roman" w:cs="Times New Roman"/>
          <w:b/>
          <w:bCs/>
          <w:sz w:val="24"/>
          <w:szCs w:val="24"/>
          <w:shd w:val="clear" w:color="auto" w:fill="FFFFFF"/>
        </w:rPr>
        <w:t xml:space="preserve">ntestinal </w:t>
      </w:r>
      <w:r w:rsidR="00451475">
        <w:rPr>
          <w:rFonts w:ascii="Times New Roman" w:hAnsi="Times New Roman" w:cs="Times New Roman" w:hint="eastAsia"/>
          <w:b/>
          <w:bCs/>
          <w:sz w:val="24"/>
          <w:szCs w:val="24"/>
          <w:shd w:val="clear" w:color="auto" w:fill="FFFFFF"/>
        </w:rPr>
        <w:t>m</w:t>
      </w:r>
      <w:r w:rsidRPr="00F01531">
        <w:rPr>
          <w:rFonts w:ascii="Times New Roman" w:hAnsi="Times New Roman" w:cs="Times New Roman"/>
          <w:b/>
          <w:bCs/>
          <w:sz w:val="24"/>
          <w:szCs w:val="24"/>
          <w:shd w:val="clear" w:color="auto" w:fill="FFFFFF"/>
        </w:rPr>
        <w:t xml:space="preserve">etaplasia </w:t>
      </w:r>
      <w:r w:rsidR="00451475">
        <w:rPr>
          <w:rFonts w:ascii="Times New Roman" w:hAnsi="Times New Roman" w:cs="Times New Roman" w:hint="eastAsia"/>
          <w:b/>
          <w:bCs/>
          <w:sz w:val="24"/>
          <w:szCs w:val="24"/>
          <w:shd w:val="clear" w:color="auto" w:fill="FFFFFF"/>
        </w:rPr>
        <w:t>t</w:t>
      </w:r>
      <w:r w:rsidRPr="00F01531">
        <w:rPr>
          <w:rFonts w:ascii="Times New Roman" w:hAnsi="Times New Roman" w:cs="Times New Roman"/>
          <w:b/>
          <w:bCs/>
          <w:sz w:val="24"/>
          <w:szCs w:val="24"/>
          <w:shd w:val="clear" w:color="auto" w:fill="FFFFFF"/>
        </w:rPr>
        <w:t xml:space="preserve">o </w:t>
      </w:r>
      <w:r w:rsidR="00451475">
        <w:rPr>
          <w:rFonts w:ascii="Times New Roman" w:hAnsi="Times New Roman" w:cs="Times New Roman" w:hint="eastAsia"/>
          <w:b/>
          <w:bCs/>
          <w:sz w:val="24"/>
          <w:szCs w:val="24"/>
          <w:shd w:val="clear" w:color="auto" w:fill="FFFFFF"/>
        </w:rPr>
        <w:t>e</w:t>
      </w:r>
      <w:r w:rsidRPr="00F01531">
        <w:rPr>
          <w:rFonts w:ascii="Times New Roman" w:hAnsi="Times New Roman" w:cs="Times New Roman"/>
          <w:b/>
          <w:bCs/>
          <w:sz w:val="24"/>
          <w:szCs w:val="24"/>
          <w:shd w:val="clear" w:color="auto" w:fill="FFFFFF"/>
        </w:rPr>
        <w:t xml:space="preserve">arly </w:t>
      </w:r>
      <w:r w:rsidR="00451475">
        <w:rPr>
          <w:rFonts w:ascii="Times New Roman" w:hAnsi="Times New Roman" w:cs="Times New Roman" w:hint="eastAsia"/>
          <w:b/>
          <w:bCs/>
          <w:sz w:val="24"/>
          <w:szCs w:val="24"/>
          <w:shd w:val="clear" w:color="auto" w:fill="FFFFFF"/>
        </w:rPr>
        <w:t>g</w:t>
      </w:r>
      <w:r w:rsidRPr="00F01531">
        <w:rPr>
          <w:rFonts w:ascii="Times New Roman" w:hAnsi="Times New Roman" w:cs="Times New Roman"/>
          <w:b/>
          <w:bCs/>
          <w:sz w:val="24"/>
          <w:szCs w:val="24"/>
          <w:shd w:val="clear" w:color="auto" w:fill="FFFFFF"/>
        </w:rPr>
        <w:t xml:space="preserve">astric </w:t>
      </w:r>
      <w:r w:rsidR="00451475">
        <w:rPr>
          <w:rFonts w:ascii="Times New Roman" w:hAnsi="Times New Roman" w:cs="Times New Roman" w:hint="eastAsia"/>
          <w:b/>
          <w:bCs/>
          <w:sz w:val="24"/>
          <w:szCs w:val="24"/>
          <w:shd w:val="clear" w:color="auto" w:fill="FFFFFF"/>
        </w:rPr>
        <w:t>c</w:t>
      </w:r>
      <w:r w:rsidRPr="00F01531">
        <w:rPr>
          <w:rFonts w:ascii="Times New Roman" w:hAnsi="Times New Roman" w:cs="Times New Roman"/>
          <w:b/>
          <w:bCs/>
          <w:sz w:val="24"/>
          <w:szCs w:val="24"/>
          <w:shd w:val="clear" w:color="auto" w:fill="FFFFFF"/>
        </w:rPr>
        <w:t>ancer:</w:t>
      </w:r>
    </w:p>
    <w:p w14:paraId="6C87D53E" w14:textId="1F7165B6" w:rsidR="00F01531" w:rsidRPr="00F01531" w:rsidRDefault="00F01531" w:rsidP="00DF7A0E">
      <w:pPr>
        <w:spacing w:line="480" w:lineRule="auto"/>
        <w:jc w:val="center"/>
        <w:rPr>
          <w:rFonts w:ascii="Times New Roman" w:hAnsi="Times New Roman" w:cs="Times New Roman"/>
          <w:b/>
          <w:bCs/>
          <w:sz w:val="24"/>
          <w:szCs w:val="24"/>
          <w:shd w:val="clear" w:color="auto" w:fill="FFFFFF"/>
        </w:rPr>
      </w:pPr>
      <w:r w:rsidRPr="00F01531">
        <w:rPr>
          <w:rFonts w:ascii="Times New Roman" w:hAnsi="Times New Roman" w:cs="Times New Roman"/>
          <w:b/>
          <w:bCs/>
          <w:sz w:val="24"/>
          <w:szCs w:val="24"/>
          <w:shd w:val="clear" w:color="auto" w:fill="FFFFFF"/>
        </w:rPr>
        <w:t xml:space="preserve">Single-cell </w:t>
      </w:r>
      <w:r w:rsidR="00451475">
        <w:rPr>
          <w:rFonts w:ascii="Times New Roman" w:hAnsi="Times New Roman" w:cs="Times New Roman" w:hint="eastAsia"/>
          <w:b/>
          <w:bCs/>
          <w:sz w:val="24"/>
          <w:szCs w:val="24"/>
          <w:shd w:val="clear" w:color="auto" w:fill="FFFFFF"/>
        </w:rPr>
        <w:t>s</w:t>
      </w:r>
      <w:r w:rsidRPr="00F01531">
        <w:rPr>
          <w:rFonts w:ascii="Times New Roman" w:hAnsi="Times New Roman" w:cs="Times New Roman"/>
          <w:b/>
          <w:bCs/>
          <w:sz w:val="24"/>
          <w:szCs w:val="24"/>
          <w:shd w:val="clear" w:color="auto" w:fill="FFFFFF"/>
        </w:rPr>
        <w:t xml:space="preserve">equencing </w:t>
      </w:r>
      <w:r w:rsidR="00451475">
        <w:rPr>
          <w:rFonts w:ascii="Times New Roman" w:hAnsi="Times New Roman" w:cs="Times New Roman" w:hint="eastAsia"/>
          <w:b/>
          <w:bCs/>
          <w:sz w:val="24"/>
          <w:szCs w:val="24"/>
          <w:shd w:val="clear" w:color="auto" w:fill="FFFFFF"/>
        </w:rPr>
        <w:t>i</w:t>
      </w:r>
      <w:r w:rsidRPr="00F01531">
        <w:rPr>
          <w:rFonts w:ascii="Times New Roman" w:hAnsi="Times New Roman" w:cs="Times New Roman"/>
          <w:b/>
          <w:bCs/>
          <w:sz w:val="24"/>
          <w:szCs w:val="24"/>
          <w:shd w:val="clear" w:color="auto" w:fill="FFFFFF"/>
        </w:rPr>
        <w:t xml:space="preserve">nsight </w:t>
      </w:r>
      <w:r w:rsidR="00451475">
        <w:rPr>
          <w:rFonts w:ascii="Times New Roman" w:hAnsi="Times New Roman" w:cs="Times New Roman" w:hint="eastAsia"/>
          <w:b/>
          <w:bCs/>
          <w:sz w:val="24"/>
          <w:szCs w:val="24"/>
          <w:shd w:val="clear" w:color="auto" w:fill="FFFFFF"/>
        </w:rPr>
        <w:t>i</w:t>
      </w:r>
      <w:r w:rsidRPr="00F01531">
        <w:rPr>
          <w:rFonts w:ascii="Times New Roman" w:hAnsi="Times New Roman" w:cs="Times New Roman"/>
          <w:b/>
          <w:bCs/>
          <w:sz w:val="24"/>
          <w:szCs w:val="24"/>
          <w:shd w:val="clear" w:color="auto" w:fill="FFFFFF"/>
        </w:rPr>
        <w:t xml:space="preserve">nto </w:t>
      </w:r>
      <w:r w:rsidR="00451475">
        <w:rPr>
          <w:rFonts w:ascii="Times New Roman" w:hAnsi="Times New Roman" w:cs="Times New Roman" w:hint="eastAsia"/>
          <w:b/>
          <w:bCs/>
          <w:sz w:val="24"/>
          <w:szCs w:val="24"/>
          <w:shd w:val="clear" w:color="auto" w:fill="FFFFFF"/>
        </w:rPr>
        <w:t>g</w:t>
      </w:r>
      <w:r w:rsidRPr="00F01531">
        <w:rPr>
          <w:rFonts w:ascii="Times New Roman" w:hAnsi="Times New Roman" w:cs="Times New Roman"/>
          <w:b/>
          <w:bCs/>
          <w:sz w:val="24"/>
          <w:szCs w:val="24"/>
          <w:shd w:val="clear" w:color="auto" w:fill="FFFFFF"/>
        </w:rPr>
        <w:t xml:space="preserve">astric </w:t>
      </w:r>
      <w:r w:rsidR="00451475">
        <w:rPr>
          <w:rFonts w:ascii="Times New Roman" w:hAnsi="Times New Roman" w:cs="Times New Roman" w:hint="eastAsia"/>
          <w:b/>
          <w:bCs/>
          <w:sz w:val="24"/>
          <w:szCs w:val="24"/>
          <w:shd w:val="clear" w:color="auto" w:fill="FFFFFF"/>
        </w:rPr>
        <w:t>c</w:t>
      </w:r>
      <w:r w:rsidRPr="00F01531">
        <w:rPr>
          <w:rFonts w:ascii="Times New Roman" w:hAnsi="Times New Roman" w:cs="Times New Roman"/>
          <w:b/>
          <w:bCs/>
          <w:sz w:val="24"/>
          <w:szCs w:val="24"/>
          <w:shd w:val="clear" w:color="auto" w:fill="FFFFFF"/>
        </w:rPr>
        <w:t xml:space="preserve">ancer </w:t>
      </w:r>
      <w:r w:rsidR="00451475">
        <w:rPr>
          <w:rFonts w:ascii="Times New Roman" w:hAnsi="Times New Roman" w:cs="Times New Roman" w:hint="eastAsia"/>
          <w:b/>
          <w:bCs/>
          <w:sz w:val="24"/>
          <w:szCs w:val="24"/>
          <w:shd w:val="clear" w:color="auto" w:fill="FFFFFF"/>
        </w:rPr>
        <w:t>p</w:t>
      </w:r>
      <w:r w:rsidRPr="00F01531">
        <w:rPr>
          <w:rFonts w:ascii="Times New Roman" w:hAnsi="Times New Roman" w:cs="Times New Roman"/>
          <w:b/>
          <w:bCs/>
          <w:sz w:val="24"/>
          <w:szCs w:val="24"/>
          <w:shd w:val="clear" w:color="auto" w:fill="FFFFFF"/>
        </w:rPr>
        <w:t>rogression</w:t>
      </w:r>
    </w:p>
    <w:p w14:paraId="130866BF" w14:textId="0FF2DF2E"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Tissue Dissociation and Preparation</w:t>
      </w:r>
    </w:p>
    <w:p w14:paraId="445A66A2" w14:textId="77777777"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Fresh tissues were stored in sCelLive™ Tissue Preservation Solution (Singleron Bio Com, Nanjing, China) on ice within 30 minutes post gastroscopy. The </w:t>
      </w:r>
      <w:r w:rsidRPr="004B22CD">
        <w:rPr>
          <w:rFonts w:ascii="Times New Roman" w:eastAsia="等线" w:hAnsi="Times New Roman" w:cs="Times New Roman"/>
          <w:szCs w:val="21"/>
        </w:rPr>
        <w:t>samples</w:t>
      </w:r>
      <w:r w:rsidRPr="004B22CD">
        <w:rPr>
          <w:rFonts w:ascii="Times New Roman" w:hAnsi="Times New Roman" w:cs="Times New Roman"/>
          <w:szCs w:val="21"/>
        </w:rPr>
        <w:t xml:space="preserve"> were washed three times with Hanks' </w:t>
      </w:r>
      <w:r w:rsidRPr="004B22CD">
        <w:rPr>
          <w:rFonts w:ascii="Times New Roman" w:eastAsia="等线" w:hAnsi="Times New Roman" w:cs="Times New Roman"/>
          <w:szCs w:val="21"/>
        </w:rPr>
        <w:t>balanced salt solution</w:t>
      </w:r>
      <w:r w:rsidRPr="004B22CD">
        <w:rPr>
          <w:rFonts w:ascii="Times New Roman" w:hAnsi="Times New Roman" w:cs="Times New Roman"/>
          <w:szCs w:val="21"/>
        </w:rPr>
        <w:t xml:space="preserve"> (HBSS) and then digested with 2 ml of sCelLive™ Tissue Dissociation Solution (Singleron) using a Singleron PythoN™ </w:t>
      </w:r>
      <w:r w:rsidRPr="004B22CD">
        <w:rPr>
          <w:rFonts w:ascii="Times New Roman" w:eastAsia="等线" w:hAnsi="Times New Roman" w:cs="Times New Roman"/>
          <w:szCs w:val="21"/>
        </w:rPr>
        <w:t>automated tissue dissociation system</w:t>
      </w:r>
      <w:r w:rsidRPr="004B22CD">
        <w:rPr>
          <w:rFonts w:ascii="Times New Roman" w:hAnsi="Times New Roman" w:cs="Times New Roman"/>
          <w:szCs w:val="21"/>
        </w:rPr>
        <w:t xml:space="preserve"> at 37 °C for 15 minutes.</w:t>
      </w:r>
      <w:r w:rsidRPr="004B22CD">
        <w:rPr>
          <w:rFonts w:ascii="Times New Roman" w:hAnsi="Times New Roman" w:cs="Times New Roman" w:hint="eastAsia"/>
          <w:szCs w:val="21"/>
        </w:rPr>
        <w:t xml:space="preserve"> </w:t>
      </w:r>
      <w:r w:rsidRPr="004B22CD">
        <w:rPr>
          <w:rFonts w:ascii="Times New Roman" w:hAnsi="Times New Roman" w:cs="Times New Roman"/>
          <w:szCs w:val="21"/>
        </w:rPr>
        <w:t xml:space="preserve">Subsequently, 2 ml of GEXSCOPE® red blood cell lysis buffer (Singleron) was added, and the cells were incubated at 25 °C for 10 minutes to remove the red blood cells. The </w:t>
      </w:r>
      <w:r w:rsidRPr="004B22CD">
        <w:rPr>
          <w:rFonts w:ascii="Times New Roman" w:eastAsia="等线" w:hAnsi="Times New Roman" w:cs="Times New Roman"/>
          <w:szCs w:val="21"/>
        </w:rPr>
        <w:t>mixture</w:t>
      </w:r>
      <w:r w:rsidRPr="004B22CD">
        <w:rPr>
          <w:rFonts w:ascii="Times New Roman" w:hAnsi="Times New Roman" w:cs="Times New Roman"/>
          <w:szCs w:val="21"/>
        </w:rPr>
        <w:t xml:space="preserve"> was then centrifuged at 500 × g for 5 minutes and gently resuspended in PBS. Finally, the samples were stained with trypan blue (Sigma, United States), and </w:t>
      </w:r>
      <w:r w:rsidRPr="004B22CD">
        <w:rPr>
          <w:rFonts w:ascii="Times New Roman" w:eastAsia="等线" w:hAnsi="Times New Roman" w:cs="Times New Roman"/>
          <w:szCs w:val="21"/>
        </w:rPr>
        <w:t>their</w:t>
      </w:r>
      <w:r w:rsidRPr="004B22CD">
        <w:rPr>
          <w:rFonts w:ascii="Times New Roman" w:hAnsi="Times New Roman" w:cs="Times New Roman"/>
          <w:szCs w:val="21"/>
        </w:rPr>
        <w:t xml:space="preserve"> viability was assessed microscopically.</w:t>
      </w:r>
      <w:r>
        <w:rPr>
          <w:rFonts w:ascii="Times New Roman" w:hAnsi="Times New Roman" w:cs="Times New Roman" w:hint="eastAsia"/>
          <w:szCs w:val="21"/>
        </w:rPr>
        <w:t xml:space="preserve"> </w:t>
      </w:r>
    </w:p>
    <w:p w14:paraId="5B2025FF"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scRNA-seq Library Preparation</w:t>
      </w:r>
    </w:p>
    <w:p w14:paraId="7B5E9CF9" w14:textId="6C14622D"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Single-cell suspensions at a concentration of </w:t>
      </w:r>
      <w:r w:rsidRPr="004B22CD">
        <w:rPr>
          <w:rFonts w:ascii="Times New Roman" w:eastAsia="等线" w:hAnsi="Times New Roman" w:cs="Times New Roman"/>
          <w:szCs w:val="21"/>
        </w:rPr>
        <w:t>1×10</w:t>
      </w:r>
      <w:r w:rsidRPr="002808E4">
        <w:rPr>
          <w:rFonts w:ascii="Times New Roman" w:eastAsia="等线" w:hAnsi="Times New Roman" w:cs="Times New Roman"/>
          <w:szCs w:val="21"/>
          <w:vertAlign w:val="superscript"/>
        </w:rPr>
        <w:t>5</w:t>
      </w:r>
      <w:r w:rsidRPr="004B22CD">
        <w:rPr>
          <w:rFonts w:ascii="Times New Roman" w:hAnsi="Times New Roman" w:cs="Times New Roman"/>
          <w:szCs w:val="21"/>
        </w:rPr>
        <w:t xml:space="preserve"> cells/ml in PBS were loaded into microfluidic devices using the Singleron Matrix® </w:t>
      </w:r>
      <w:r w:rsidRPr="004B22CD">
        <w:rPr>
          <w:rFonts w:ascii="Times New Roman" w:eastAsia="等线" w:hAnsi="Times New Roman" w:cs="Times New Roman"/>
          <w:szCs w:val="21"/>
        </w:rPr>
        <w:t>single-cell processing system</w:t>
      </w:r>
      <w:r w:rsidRPr="004B22CD">
        <w:rPr>
          <w:rFonts w:ascii="Times New Roman" w:hAnsi="Times New Roman" w:cs="Times New Roman"/>
          <w:szCs w:val="21"/>
        </w:rPr>
        <w:t xml:space="preserve"> (Singleron). The scRNA-seq libraries were then constructed following the protocol of the GEXSCOPE® </w:t>
      </w:r>
      <w:r w:rsidRPr="004B22CD">
        <w:rPr>
          <w:rFonts w:ascii="Times New Roman" w:eastAsia="等线" w:hAnsi="Times New Roman" w:cs="Times New Roman"/>
          <w:szCs w:val="21"/>
        </w:rPr>
        <w:t>single-cell RNA library kit</w:t>
      </w:r>
      <w:r w:rsidRPr="004B22CD">
        <w:rPr>
          <w:rFonts w:ascii="Times New Roman" w:hAnsi="Times New Roman" w:cs="Times New Roman"/>
          <w:szCs w:val="21"/>
        </w:rPr>
        <w:t xml:space="preserve"> (Singleron)</w:t>
      </w:r>
      <w:r w:rsidR="00737044">
        <w:rPr>
          <w:rFonts w:ascii="Times New Roman" w:hAnsi="Times New Roman" w:cs="Times New Roman" w:hint="eastAsia"/>
          <w:noProof/>
          <w:szCs w:val="21"/>
          <w:vertAlign w:val="superscript"/>
        </w:rPr>
        <w:t xml:space="preserve"> </w:t>
      </w:r>
      <w:r w:rsidR="00737044">
        <w:rPr>
          <w:rFonts w:ascii="Times New Roman" w:hAnsi="Times New Roman" w:cs="Times New Roman" w:hint="eastAsia"/>
          <w:szCs w:val="21"/>
        </w:rPr>
        <w:t>[1]</w:t>
      </w:r>
      <w:r w:rsidRPr="004B22CD">
        <w:rPr>
          <w:rFonts w:ascii="Times New Roman" w:hAnsi="Times New Roman" w:cs="Times New Roman"/>
          <w:szCs w:val="21"/>
        </w:rPr>
        <w:t>. Individual libraries were diluted to 4 nM and pooled for sequencing. The pooled libraries were sequenced on an Illumina NovaSeq 6000 platform with 150 bp paired-end reads.</w:t>
      </w:r>
    </w:p>
    <w:p w14:paraId="77B8E787"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Preprocessing of scRNA-seq Data</w:t>
      </w:r>
    </w:p>
    <w:p w14:paraId="0B97159D" w14:textId="77777777"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For </w:t>
      </w:r>
      <w:r w:rsidRPr="004B22CD">
        <w:rPr>
          <w:rFonts w:ascii="Times New Roman" w:eastAsia="等线" w:hAnsi="Times New Roman" w:cs="Times New Roman"/>
          <w:szCs w:val="21"/>
        </w:rPr>
        <w:t xml:space="preserve">the </w:t>
      </w:r>
      <w:r w:rsidRPr="004B22CD">
        <w:rPr>
          <w:rFonts w:ascii="Times New Roman" w:hAnsi="Times New Roman" w:cs="Times New Roman"/>
          <w:szCs w:val="21"/>
        </w:rPr>
        <w:t xml:space="preserve">data generated using the Singleron kits, </w:t>
      </w:r>
      <w:r w:rsidRPr="004B22CD">
        <w:rPr>
          <w:rFonts w:ascii="Times New Roman" w:eastAsia="等线" w:hAnsi="Times New Roman" w:cs="Times New Roman"/>
          <w:szCs w:val="21"/>
        </w:rPr>
        <w:t xml:space="preserve">the </w:t>
      </w:r>
      <w:r w:rsidRPr="004B22CD">
        <w:rPr>
          <w:rFonts w:ascii="Times New Roman" w:hAnsi="Times New Roman" w:cs="Times New Roman"/>
          <w:szCs w:val="21"/>
        </w:rPr>
        <w:t xml:space="preserve">reads were aligned to the human reference genome (GRCh38), and unique molecular identifier (UMI) counts were obtained using the </w:t>
      </w:r>
      <w:r w:rsidRPr="004B22CD">
        <w:rPr>
          <w:rFonts w:ascii="Times New Roman" w:hAnsi="Times New Roman" w:cs="Times New Roman"/>
          <w:szCs w:val="21"/>
        </w:rPr>
        <w:lastRenderedPageBreak/>
        <w:t>featureCounts software. To filter out low-quality, dead, or stressed cells, the following thresholds were applied:</w:t>
      </w:r>
      <w:r>
        <w:rPr>
          <w:rFonts w:ascii="Times New Roman" w:hAnsi="Times New Roman" w:cs="Times New Roman" w:hint="eastAsia"/>
          <w:szCs w:val="21"/>
        </w:rPr>
        <w:t xml:space="preserve"> </w:t>
      </w:r>
      <w:r w:rsidRPr="004B22CD">
        <w:rPr>
          <w:rFonts w:ascii="Times New Roman" w:hAnsi="Times New Roman" w:cs="Times New Roman"/>
          <w:szCs w:val="21"/>
        </w:rPr>
        <w:t>Cells with fewer than 50 genes per cell, cells with more than 30,000 UMIs per cell, and cells with more than 20% of counts derived from mitochondrial genes. After quality control, the filtered gene expression matrix was used for downstream analysis.</w:t>
      </w:r>
    </w:p>
    <w:p w14:paraId="3E24ED58"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Quality Control, Dimension Reduction, and Clustering (Scanpy)</w:t>
      </w:r>
    </w:p>
    <w:p w14:paraId="29B2237C" w14:textId="38CF3EBD" w:rsidR="00CC62E1" w:rsidRPr="004B22CD" w:rsidRDefault="00CC62E1" w:rsidP="00DF7A0E">
      <w:pPr>
        <w:spacing w:line="480" w:lineRule="auto"/>
        <w:rPr>
          <w:rStyle w:val="content-right2s-h4"/>
          <w:rFonts w:ascii="Times New Roman" w:hAnsi="Times New Roman" w:cs="Times New Roman"/>
          <w:szCs w:val="21"/>
        </w:rPr>
      </w:pPr>
      <w:r w:rsidRPr="004B22CD">
        <w:rPr>
          <w:rStyle w:val="content-right2s-h4"/>
          <w:rFonts w:ascii="Times New Roman" w:hAnsi="Times New Roman" w:cs="Times New Roman" w:hint="eastAsia"/>
          <w:szCs w:val="21"/>
        </w:rPr>
        <w:t>Scanpy v1.8.1</w:t>
      </w:r>
      <w:r w:rsidR="00737044">
        <w:rPr>
          <w:rStyle w:val="content-right2s-h4"/>
          <w:rFonts w:ascii="Times New Roman" w:hAnsi="Times New Roman" w:cs="Times New Roman" w:hint="eastAsia"/>
          <w:szCs w:val="21"/>
        </w:rPr>
        <w:t xml:space="preserve"> [2]</w:t>
      </w:r>
      <w:r>
        <w:rPr>
          <w:rStyle w:val="content-right2s-h4"/>
          <w:rFonts w:ascii="Times New Roman" w:hAnsi="Times New Roman" w:cs="Times New Roman" w:hint="eastAsia"/>
          <w:szCs w:val="21"/>
        </w:rPr>
        <w:t xml:space="preserve"> </w:t>
      </w:r>
      <w:r w:rsidR="003663B5" w:rsidRPr="003663B5">
        <w:rPr>
          <w:rStyle w:val="content-right2s-h4"/>
          <w:rFonts w:ascii="Times New Roman" w:hAnsi="Times New Roman" w:cs="Times New Roman" w:hint="eastAsia"/>
          <w:szCs w:val="21"/>
        </w:rPr>
        <w:t xml:space="preserve">(RRID:SCR_018139) </w:t>
      </w:r>
      <w:r w:rsidRPr="004B22CD">
        <w:rPr>
          <w:rStyle w:val="content-right2s-h4"/>
          <w:rFonts w:ascii="Times New Roman" w:hAnsi="Times New Roman" w:cs="Times New Roman" w:hint="eastAsia"/>
          <w:szCs w:val="21"/>
        </w:rPr>
        <w:t xml:space="preserve">was used for quality control, dimensionality reduction, and clustering </w:t>
      </w:r>
      <w:r w:rsidRPr="004B22CD">
        <w:rPr>
          <w:rStyle w:val="content-right2s-h4"/>
          <w:rFonts w:ascii="Times New Roman" w:eastAsia="等线" w:hAnsi="Times New Roman" w:cs="Times New Roman"/>
          <w:szCs w:val="21"/>
        </w:rPr>
        <w:t>with</w:t>
      </w:r>
      <w:r w:rsidRPr="004B22CD">
        <w:rPr>
          <w:rStyle w:val="content-right2s-h4"/>
          <w:rFonts w:ascii="Times New Roman" w:hAnsi="Times New Roman" w:cs="Times New Roman" w:hint="eastAsia"/>
          <w:szCs w:val="21"/>
        </w:rPr>
        <w:t xml:space="preserve"> Python 3.7. For each sample dataset, the expression matrix was filtered using the following criteria: (1) Cells with fewer than 200 genes or within the top 2% of gene counts were excluded. (2) Cells within the top 2% of UMI counts were excluded. (3) Cells with </w:t>
      </w:r>
      <w:r w:rsidRPr="004B22CD">
        <w:rPr>
          <w:rStyle w:val="content-right2s-h4"/>
          <w:rFonts w:ascii="Times New Roman" w:eastAsia="等线" w:hAnsi="Times New Roman" w:cs="Times New Roman"/>
          <w:szCs w:val="21"/>
        </w:rPr>
        <w:t xml:space="preserve">a </w:t>
      </w:r>
      <w:r w:rsidRPr="004B22CD">
        <w:rPr>
          <w:rStyle w:val="content-right2s-h4"/>
          <w:rFonts w:ascii="Times New Roman" w:hAnsi="Times New Roman" w:cs="Times New Roman" w:hint="eastAsia"/>
          <w:szCs w:val="21"/>
        </w:rPr>
        <w:t xml:space="preserve">mitochondrial content greater than 50% were excluded. (4) Genes expressed in fewer than 5 cells were excluded. After filtering, 96,125 cells were retained for downstream analyses, with an average of 1,057.946 genes and 3,647.05 UMIs per cell. The raw count matrix was normalized by total counts per cell and logarithmically transformed into a normalized data matrix. The top 2,000 variable genes were selected by setting flavor='seurat'. Principal </w:t>
      </w:r>
      <w:r w:rsidRPr="004B22CD">
        <w:rPr>
          <w:rStyle w:val="content-right2s-h4"/>
          <w:rFonts w:ascii="Times New Roman" w:eastAsia="等线" w:hAnsi="Times New Roman" w:cs="Times New Roman"/>
          <w:szCs w:val="21"/>
        </w:rPr>
        <w:t>component analysis</w:t>
      </w:r>
      <w:r w:rsidRPr="004B22CD">
        <w:rPr>
          <w:rStyle w:val="content-right2s-h4"/>
          <w:rFonts w:ascii="Times New Roman" w:hAnsi="Times New Roman" w:cs="Times New Roman" w:hint="eastAsia"/>
          <w:szCs w:val="21"/>
        </w:rPr>
        <w:t xml:space="preserve"> (PCA) was performed on the scaled variable gene matrix, and the top 20 principal components were used for clustering and </w:t>
      </w:r>
      <w:r w:rsidRPr="004B22CD">
        <w:rPr>
          <w:rStyle w:val="content-right2s-h4"/>
          <w:rFonts w:ascii="Times New Roman" w:eastAsia="等线" w:hAnsi="Times New Roman" w:cs="Times New Roman"/>
          <w:szCs w:val="21"/>
        </w:rPr>
        <w:t>dimensionality</w:t>
      </w:r>
      <w:r w:rsidRPr="004B22CD">
        <w:rPr>
          <w:rStyle w:val="content-right2s-h4"/>
          <w:rFonts w:ascii="Times New Roman" w:hAnsi="Times New Roman" w:cs="Times New Roman" w:hint="eastAsia"/>
          <w:szCs w:val="21"/>
        </w:rPr>
        <w:t xml:space="preserve"> reduction. </w:t>
      </w:r>
      <w:r w:rsidRPr="004B22CD">
        <w:rPr>
          <w:rStyle w:val="content-right2s-h4"/>
          <w:rFonts w:ascii="Times New Roman" w:eastAsia="等线" w:hAnsi="Times New Roman" w:cs="Times New Roman"/>
          <w:szCs w:val="21"/>
        </w:rPr>
        <w:t>The cells</w:t>
      </w:r>
      <w:r w:rsidRPr="004B22CD">
        <w:rPr>
          <w:rStyle w:val="content-right2s-h4"/>
          <w:rFonts w:ascii="Times New Roman" w:hAnsi="Times New Roman" w:cs="Times New Roman" w:hint="eastAsia"/>
          <w:szCs w:val="21"/>
        </w:rPr>
        <w:t xml:space="preserve"> were separated into 22 clusters using the Louvain algorithm with the resolution parameter set to 1.2. </w:t>
      </w:r>
      <w:r w:rsidRPr="004B22CD">
        <w:rPr>
          <w:rStyle w:val="content-right2s-h4"/>
          <w:rFonts w:ascii="Times New Roman" w:eastAsia="等线" w:hAnsi="Times New Roman" w:cs="Times New Roman"/>
          <w:szCs w:val="21"/>
        </w:rPr>
        <w:t>The cell</w:t>
      </w:r>
      <w:r w:rsidRPr="004B22CD">
        <w:rPr>
          <w:rStyle w:val="content-right2s-h4"/>
          <w:rFonts w:ascii="Times New Roman" w:hAnsi="Times New Roman" w:cs="Times New Roman" w:hint="eastAsia"/>
          <w:szCs w:val="21"/>
        </w:rPr>
        <w:t xml:space="preserve"> clusters were visualized </w:t>
      </w:r>
      <w:r w:rsidRPr="004B22CD">
        <w:rPr>
          <w:rStyle w:val="content-right2s-h4"/>
          <w:rFonts w:ascii="Times New Roman" w:eastAsia="等线" w:hAnsi="Times New Roman" w:cs="Times New Roman"/>
          <w:szCs w:val="21"/>
        </w:rPr>
        <w:t>via uniform manifold approximation and projection</w:t>
      </w:r>
      <w:r w:rsidRPr="004B22CD">
        <w:rPr>
          <w:rStyle w:val="content-right2s-h4"/>
          <w:rFonts w:ascii="Times New Roman" w:hAnsi="Times New Roman" w:cs="Times New Roman" w:hint="eastAsia"/>
          <w:szCs w:val="21"/>
        </w:rPr>
        <w:t xml:space="preserve"> (UMAP).</w:t>
      </w:r>
    </w:p>
    <w:p w14:paraId="32080FB5"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hint="eastAsia"/>
          <w:b/>
          <w:bCs/>
          <w:szCs w:val="21"/>
        </w:rPr>
        <w:t>Cell Type Annotation</w:t>
      </w:r>
    </w:p>
    <w:p w14:paraId="7A4F6D6A" w14:textId="59E2BAEF" w:rsidR="00CC62E1" w:rsidRPr="004B22CD" w:rsidRDefault="00CC62E1" w:rsidP="00DF7A0E">
      <w:pPr>
        <w:spacing w:line="480" w:lineRule="auto"/>
        <w:rPr>
          <w:rFonts w:ascii="Times New Roman" w:hAnsi="Times New Roman" w:cs="Times New Roman"/>
          <w:szCs w:val="21"/>
        </w:rPr>
      </w:pPr>
      <w:r w:rsidRPr="004B22CD">
        <w:rPr>
          <w:rStyle w:val="content-right2s-h4"/>
          <w:rFonts w:ascii="Times New Roman" w:hAnsi="Times New Roman" w:cs="Times New Roman" w:hint="eastAsia"/>
          <w:szCs w:val="21"/>
        </w:rPr>
        <w:t xml:space="preserve">We identified the top differential markers for each cluster and </w:t>
      </w:r>
      <w:r w:rsidRPr="004B22CD">
        <w:rPr>
          <w:rStyle w:val="content-right2s-h4"/>
          <w:rFonts w:ascii="Times New Roman" w:eastAsia="等线" w:hAnsi="Times New Roman" w:cs="Times New Roman"/>
          <w:szCs w:val="21"/>
        </w:rPr>
        <w:t>subcluster via</w:t>
      </w:r>
      <w:r w:rsidRPr="004B22CD">
        <w:rPr>
          <w:rStyle w:val="content-right2s-h4"/>
          <w:rFonts w:ascii="Times New Roman" w:hAnsi="Times New Roman" w:cs="Times New Roman" w:hint="eastAsia"/>
          <w:szCs w:val="21"/>
        </w:rPr>
        <w:t xml:space="preserve"> the </w:t>
      </w:r>
      <w:r w:rsidRPr="004B22CD">
        <w:rPr>
          <w:rStyle w:val="content-right2s-h4"/>
          <w:rFonts w:ascii="Times New Roman" w:hAnsi="Times New Roman" w:cs="Times New Roman"/>
          <w:szCs w:val="21"/>
        </w:rPr>
        <w:t>“</w:t>
      </w:r>
      <w:r w:rsidRPr="004B22CD">
        <w:rPr>
          <w:rStyle w:val="content-right2s-h4"/>
          <w:rFonts w:ascii="Times New Roman" w:hAnsi="Times New Roman" w:cs="Times New Roman" w:hint="eastAsia"/>
          <w:szCs w:val="21"/>
        </w:rPr>
        <w:t>FindAllMarkers</w:t>
      </w:r>
      <w:r w:rsidRPr="004B22CD">
        <w:rPr>
          <w:rStyle w:val="content-right2s-h4"/>
          <w:rFonts w:ascii="Times New Roman" w:hAnsi="Times New Roman" w:cs="Times New Roman"/>
          <w:szCs w:val="21"/>
        </w:rPr>
        <w:t>”</w:t>
      </w:r>
      <w:r w:rsidRPr="004B22CD">
        <w:rPr>
          <w:rStyle w:val="content-right2s-h4"/>
          <w:rFonts w:ascii="Times New Roman" w:hAnsi="Times New Roman" w:cs="Times New Roman" w:hint="eastAsia"/>
          <w:szCs w:val="21"/>
        </w:rPr>
        <w:t xml:space="preserve"> function from the </w:t>
      </w:r>
      <w:bookmarkStart w:id="0" w:name="OLE_LINK1"/>
      <w:r w:rsidR="00EC4E41">
        <w:rPr>
          <w:rStyle w:val="content-right2s-h4"/>
          <w:rFonts w:ascii="Times New Roman" w:hAnsi="Times New Roman" w:cs="Times New Roman"/>
          <w:szCs w:val="21"/>
        </w:rPr>
        <w:t>“</w:t>
      </w:r>
      <w:r w:rsidRPr="004B22CD">
        <w:rPr>
          <w:rStyle w:val="content-right2s-h4"/>
          <w:rFonts w:ascii="Times New Roman" w:hAnsi="Times New Roman" w:cs="Times New Roman" w:hint="eastAsia"/>
          <w:szCs w:val="21"/>
        </w:rPr>
        <w:t>Seurat</w:t>
      </w:r>
      <w:r w:rsidR="00EC4E41">
        <w:rPr>
          <w:rStyle w:val="content-right2s-h4"/>
          <w:rFonts w:ascii="Times New Roman" w:hAnsi="Times New Roman" w:cs="Times New Roman"/>
          <w:szCs w:val="21"/>
        </w:rPr>
        <w:t>”</w:t>
      </w:r>
      <w:r w:rsidRPr="004B22CD">
        <w:rPr>
          <w:rStyle w:val="content-right2s-h4"/>
          <w:rFonts w:ascii="Times New Roman" w:hAnsi="Times New Roman" w:cs="Times New Roman" w:hint="eastAsia"/>
          <w:szCs w:val="21"/>
        </w:rPr>
        <w:t xml:space="preserve"> </w:t>
      </w:r>
      <w:bookmarkEnd w:id="0"/>
      <w:r w:rsidRPr="004B22CD">
        <w:rPr>
          <w:rStyle w:val="content-right2s-h4"/>
          <w:rFonts w:ascii="Times New Roman" w:hAnsi="Times New Roman" w:cs="Times New Roman" w:hint="eastAsia"/>
          <w:szCs w:val="21"/>
        </w:rPr>
        <w:t>R package</w:t>
      </w:r>
      <w:r w:rsidR="009A1913" w:rsidRPr="009A1913">
        <w:rPr>
          <w:rFonts w:hint="eastAsia"/>
        </w:rPr>
        <w:t xml:space="preserve"> </w:t>
      </w:r>
      <w:r w:rsidR="009A1913" w:rsidRPr="009A1913">
        <w:rPr>
          <w:rStyle w:val="content-right2s-h4"/>
          <w:rFonts w:ascii="Times New Roman" w:hAnsi="Times New Roman" w:cs="Times New Roman" w:hint="eastAsia"/>
          <w:szCs w:val="21"/>
        </w:rPr>
        <w:t>(RRID:SCR_007322)</w:t>
      </w:r>
      <w:r w:rsidRPr="004B22CD">
        <w:rPr>
          <w:rStyle w:val="content-right2s-h4"/>
          <w:rFonts w:ascii="Times New Roman" w:hAnsi="Times New Roman" w:cs="Times New Roman" w:hint="eastAsia"/>
          <w:szCs w:val="21"/>
        </w:rPr>
        <w:t>. For each cell type, we leveraged a combination of cell</w:t>
      </w:r>
      <w:r w:rsidRPr="004B22CD">
        <w:rPr>
          <w:rStyle w:val="content-right2s-h4"/>
          <w:rFonts w:ascii="Times New Roman" w:eastAsia="等线" w:hAnsi="Times New Roman" w:cs="Times New Roman"/>
          <w:szCs w:val="21"/>
        </w:rPr>
        <w:t xml:space="preserve"> </w:t>
      </w:r>
      <w:r w:rsidRPr="004B22CD">
        <w:rPr>
          <w:rStyle w:val="content-right2s-h4"/>
          <w:rFonts w:ascii="Times New Roman" w:hAnsi="Times New Roman" w:cs="Times New Roman" w:hint="eastAsia"/>
          <w:szCs w:val="21"/>
        </w:rPr>
        <w:t xml:space="preserve">type-specific and enriched marker genes. The marker genes used for annotating </w:t>
      </w:r>
      <w:r w:rsidRPr="004B22CD">
        <w:rPr>
          <w:rStyle w:val="content-right2s-h4"/>
          <w:rFonts w:ascii="Times New Roman" w:hAnsi="Times New Roman" w:cs="Times New Roman" w:hint="eastAsia"/>
          <w:szCs w:val="21"/>
        </w:rPr>
        <w:lastRenderedPageBreak/>
        <w:t>different cell subpopulations are listed in Supplementary Table 1.</w:t>
      </w:r>
    </w:p>
    <w:p w14:paraId="54257378" w14:textId="77777777" w:rsidR="00CC62E1" w:rsidRPr="004B22CD" w:rsidRDefault="00CC62E1" w:rsidP="00DF7A0E">
      <w:pPr>
        <w:spacing w:line="480" w:lineRule="auto"/>
        <w:rPr>
          <w:rFonts w:ascii="Times New Roman" w:hAnsi="Times New Roman" w:cs="Times New Roman"/>
          <w:b/>
          <w:bCs/>
        </w:rPr>
      </w:pPr>
      <w:r w:rsidRPr="004B22CD">
        <w:rPr>
          <w:rFonts w:ascii="Times New Roman" w:hAnsi="Times New Roman" w:cs="Times New Roman"/>
          <w:b/>
          <w:bCs/>
        </w:rPr>
        <w:t>Differentially Expressed Genes (DEGs) Analysis (Scanpy)</w:t>
      </w:r>
    </w:p>
    <w:p w14:paraId="3BCB9517" w14:textId="77777777" w:rsidR="00CC62E1" w:rsidRPr="004B22CD" w:rsidRDefault="00CC62E1" w:rsidP="00DF7A0E">
      <w:pPr>
        <w:spacing w:line="480" w:lineRule="auto"/>
        <w:rPr>
          <w:rStyle w:val="content-right2s-h4"/>
          <w:rFonts w:ascii="Times New Roman" w:hAnsi="Times New Roman" w:cs="Times New Roman"/>
          <w:szCs w:val="21"/>
        </w:rPr>
      </w:pPr>
      <w:r w:rsidRPr="004B22CD">
        <w:rPr>
          <w:rStyle w:val="content-right2s-h4"/>
          <w:rFonts w:ascii="Times New Roman" w:hAnsi="Times New Roman" w:cs="Times New Roman" w:hint="eastAsia"/>
          <w:szCs w:val="21"/>
        </w:rPr>
        <w:t xml:space="preserve">To identify differentially expressed genes (DEGs), we used the </w:t>
      </w:r>
      <w:r w:rsidRPr="004B22CD">
        <w:rPr>
          <w:rStyle w:val="content-right2s-h4"/>
          <w:rFonts w:ascii="Times New Roman" w:hAnsi="Times New Roman" w:cs="Times New Roman"/>
          <w:szCs w:val="21"/>
        </w:rPr>
        <w:t>“</w:t>
      </w:r>
      <w:r w:rsidRPr="004B22CD">
        <w:rPr>
          <w:rStyle w:val="content-right2s-h4"/>
          <w:rFonts w:ascii="Times New Roman" w:hAnsi="Times New Roman" w:cs="Times New Roman" w:hint="eastAsia"/>
          <w:szCs w:val="21"/>
        </w:rPr>
        <w:t>scanpy.tl.rank_genes_groups</w:t>
      </w:r>
      <w:r w:rsidRPr="004B22CD">
        <w:rPr>
          <w:rStyle w:val="content-right2s-h4"/>
          <w:rFonts w:ascii="Times New Roman" w:hAnsi="Times New Roman" w:cs="Times New Roman"/>
          <w:szCs w:val="21"/>
        </w:rPr>
        <w:t>”</w:t>
      </w:r>
      <w:r w:rsidRPr="004B22CD">
        <w:rPr>
          <w:rStyle w:val="content-right2s-h4"/>
          <w:rFonts w:ascii="Times New Roman" w:hAnsi="Times New Roman" w:cs="Times New Roman" w:hint="eastAsia"/>
          <w:szCs w:val="21"/>
        </w:rPr>
        <w:t xml:space="preserve"> function based on the Wilcoxon rank sum test with default parameters. Genes were considered DEGs if they were expressed in more than 10% of the cells in either of the compared groups and had an average log (</w:t>
      </w:r>
      <w:r w:rsidRPr="004B22CD">
        <w:rPr>
          <w:rStyle w:val="content-right2s-h4"/>
          <w:rFonts w:ascii="Times New Roman" w:eastAsia="等线" w:hAnsi="Times New Roman" w:cs="Times New Roman"/>
          <w:szCs w:val="21"/>
        </w:rPr>
        <w:t>fold change</w:t>
      </w:r>
      <w:r w:rsidRPr="004B22CD">
        <w:rPr>
          <w:rStyle w:val="content-right2s-h4"/>
          <w:rFonts w:ascii="Times New Roman" w:hAnsi="Times New Roman" w:cs="Times New Roman" w:hint="eastAsia"/>
          <w:szCs w:val="21"/>
        </w:rPr>
        <w:t>) value greater than 0.25. The adjusted p</w:t>
      </w:r>
      <w:r w:rsidRPr="004B22CD">
        <w:rPr>
          <w:rStyle w:val="content-right2s-h4"/>
          <w:rFonts w:ascii="Times New Roman" w:eastAsia="等线" w:hAnsi="Times New Roman" w:cs="Times New Roman"/>
          <w:szCs w:val="21"/>
        </w:rPr>
        <w:t xml:space="preserve"> </w:t>
      </w:r>
      <w:r w:rsidRPr="004B22CD">
        <w:rPr>
          <w:rStyle w:val="content-right2s-h4"/>
          <w:rFonts w:ascii="Times New Roman" w:hAnsi="Times New Roman" w:cs="Times New Roman" w:hint="eastAsia"/>
          <w:szCs w:val="21"/>
        </w:rPr>
        <w:t xml:space="preserve">value was calculated using the </w:t>
      </w:r>
      <w:r w:rsidRPr="004B22CD">
        <w:rPr>
          <w:rStyle w:val="content-right2s-h4"/>
          <w:rFonts w:ascii="Times New Roman" w:eastAsia="等线" w:hAnsi="Times New Roman" w:cs="Times New Roman"/>
          <w:szCs w:val="21"/>
        </w:rPr>
        <w:t>Benjamini‒Hochberg</w:t>
      </w:r>
      <w:r w:rsidRPr="004B22CD">
        <w:rPr>
          <w:rStyle w:val="content-right2s-h4"/>
          <w:rFonts w:ascii="Times New Roman" w:hAnsi="Times New Roman" w:cs="Times New Roman" w:hint="eastAsia"/>
          <w:szCs w:val="21"/>
        </w:rPr>
        <w:t xml:space="preserve"> correction, with a threshold of 0.05 for statistical significance.</w:t>
      </w:r>
    </w:p>
    <w:p w14:paraId="0C236CAC" w14:textId="77777777" w:rsidR="00CC62E1" w:rsidRPr="004B22CD" w:rsidRDefault="00CC62E1" w:rsidP="00DF7A0E">
      <w:pPr>
        <w:spacing w:line="480" w:lineRule="auto"/>
        <w:rPr>
          <w:rFonts w:ascii="Times New Roman" w:hAnsi="Times New Roman" w:cs="Times New Roman"/>
          <w:b/>
          <w:bCs/>
        </w:rPr>
      </w:pPr>
      <w:r w:rsidRPr="004B22CD">
        <w:rPr>
          <w:rFonts w:ascii="Times New Roman" w:hAnsi="Times New Roman" w:cs="Times New Roman"/>
          <w:b/>
          <w:bCs/>
        </w:rPr>
        <w:t>scRNA-seq</w:t>
      </w:r>
      <w:r w:rsidRPr="004B22CD">
        <w:rPr>
          <w:rFonts w:ascii="Times New Roman" w:eastAsia="等线" w:hAnsi="Times New Roman" w:cs="Times New Roman"/>
          <w:b/>
          <w:bCs/>
        </w:rPr>
        <w:t>-</w:t>
      </w:r>
      <w:r w:rsidRPr="004B22CD">
        <w:rPr>
          <w:rFonts w:ascii="Times New Roman" w:hAnsi="Times New Roman" w:cs="Times New Roman"/>
          <w:b/>
          <w:bCs/>
        </w:rPr>
        <w:t>Based CNA Detection</w:t>
      </w:r>
    </w:p>
    <w:p w14:paraId="460CC9BE" w14:textId="4DD20B06" w:rsidR="00CC62E1" w:rsidRPr="004B22CD" w:rsidRDefault="00CC62E1" w:rsidP="00DF7A0E">
      <w:pPr>
        <w:spacing w:line="480" w:lineRule="auto"/>
        <w:rPr>
          <w:rStyle w:val="content-right2s-h4"/>
          <w:rFonts w:ascii="Times New Roman" w:hAnsi="Times New Roman" w:cs="Times New Roman"/>
          <w:szCs w:val="21"/>
        </w:rPr>
      </w:pPr>
      <w:r w:rsidRPr="004B22CD">
        <w:rPr>
          <w:rStyle w:val="content-right2s-h4"/>
          <w:rFonts w:ascii="Times New Roman" w:hAnsi="Times New Roman" w:cs="Times New Roman" w:hint="eastAsia"/>
          <w:szCs w:val="21"/>
        </w:rPr>
        <w:t>The InferCNV package</w:t>
      </w:r>
      <w:r w:rsidR="00737044">
        <w:rPr>
          <w:rStyle w:val="content-right2s-h4"/>
          <w:rFonts w:ascii="Times New Roman" w:hAnsi="Times New Roman" w:cs="Times New Roman" w:hint="eastAsia"/>
          <w:szCs w:val="21"/>
        </w:rPr>
        <w:t xml:space="preserve"> [3]</w:t>
      </w:r>
      <w:r>
        <w:rPr>
          <w:rStyle w:val="content-right2s-h4"/>
          <w:rFonts w:ascii="Times New Roman" w:hAnsi="Times New Roman" w:cs="Times New Roman" w:hint="eastAsia"/>
          <w:szCs w:val="21"/>
        </w:rPr>
        <w:t xml:space="preserve"> </w:t>
      </w:r>
      <w:r w:rsidR="00EC4E41" w:rsidRPr="00EC4E41">
        <w:rPr>
          <w:rStyle w:val="content-right2s-h4"/>
          <w:rFonts w:ascii="Times New Roman" w:hAnsi="Times New Roman" w:cs="Times New Roman" w:hint="eastAsia"/>
          <w:szCs w:val="21"/>
        </w:rPr>
        <w:t xml:space="preserve">(RRID:SCR_021140) </w:t>
      </w:r>
      <w:r w:rsidRPr="004B22CD">
        <w:rPr>
          <w:rStyle w:val="content-right2s-h4"/>
          <w:rFonts w:ascii="Times New Roman" w:hAnsi="Times New Roman" w:cs="Times New Roman" w:hint="eastAsia"/>
          <w:szCs w:val="21"/>
        </w:rPr>
        <w:t xml:space="preserve">was used to detect copy number alterations (CNAs) in malignant </w:t>
      </w:r>
      <w:r w:rsidRPr="004B22CD">
        <w:rPr>
          <w:rStyle w:val="content-right2s-h4"/>
          <w:rFonts w:ascii="Times New Roman" w:eastAsia="等线" w:hAnsi="Times New Roman" w:cs="Times New Roman"/>
          <w:szCs w:val="21"/>
        </w:rPr>
        <w:t xml:space="preserve">epithelial </w:t>
      </w:r>
      <w:r w:rsidRPr="004B22CD">
        <w:rPr>
          <w:rStyle w:val="content-right2s-h4"/>
          <w:rFonts w:ascii="Times New Roman" w:hAnsi="Times New Roman" w:cs="Times New Roman" w:hint="eastAsia"/>
          <w:szCs w:val="21"/>
        </w:rPr>
        <w:t xml:space="preserve">cells. </w:t>
      </w:r>
      <w:r w:rsidRPr="004B22CD">
        <w:rPr>
          <w:rStyle w:val="content-right2s-h4"/>
          <w:rFonts w:ascii="Times New Roman" w:eastAsia="等线" w:hAnsi="Times New Roman" w:cs="Times New Roman"/>
          <w:szCs w:val="21"/>
        </w:rPr>
        <w:t>Nonmalignant</w:t>
      </w:r>
      <w:r w:rsidRPr="004B22CD">
        <w:rPr>
          <w:rStyle w:val="content-right2s-h4"/>
          <w:rFonts w:ascii="Times New Roman" w:hAnsi="Times New Roman" w:cs="Times New Roman" w:hint="eastAsia"/>
          <w:szCs w:val="21"/>
        </w:rPr>
        <w:t xml:space="preserve"> cells were used as baselines to estimate the CNAs of </w:t>
      </w:r>
      <w:r w:rsidRPr="004B22CD">
        <w:rPr>
          <w:rStyle w:val="content-right2s-h4"/>
          <w:rFonts w:ascii="Times New Roman" w:hAnsi="Times New Roman" w:cs="Times New Roman"/>
          <w:szCs w:val="21"/>
        </w:rPr>
        <w:t xml:space="preserve">the </w:t>
      </w:r>
      <w:r w:rsidRPr="004B22CD">
        <w:rPr>
          <w:rStyle w:val="content-right2s-h4"/>
          <w:rFonts w:ascii="Times New Roman" w:hAnsi="Times New Roman" w:cs="Times New Roman" w:hint="eastAsia"/>
          <w:szCs w:val="21"/>
        </w:rPr>
        <w:t xml:space="preserve">malignant cells. Genes expressed in more than 20 cells were sorted on </w:t>
      </w:r>
      <w:r w:rsidRPr="004B22CD">
        <w:rPr>
          <w:rStyle w:val="content-right2s-h4"/>
          <w:rFonts w:ascii="Times New Roman" w:eastAsia="等线" w:hAnsi="Times New Roman" w:cs="Times New Roman"/>
          <w:szCs w:val="21"/>
        </w:rPr>
        <w:t xml:space="preserve">the basis of </w:t>
      </w:r>
      <w:r w:rsidRPr="004B22CD">
        <w:rPr>
          <w:rStyle w:val="content-right2s-h4"/>
          <w:rFonts w:ascii="Times New Roman" w:hAnsi="Times New Roman" w:cs="Times New Roman" w:hint="eastAsia"/>
          <w:szCs w:val="21"/>
        </w:rPr>
        <w:t xml:space="preserve">their loci on each chromosome. The relative expression values were centered to 1, using 1.5 standard </w:t>
      </w:r>
      <w:r w:rsidRPr="004B22CD">
        <w:rPr>
          <w:rStyle w:val="content-right2s-h4"/>
          <w:rFonts w:ascii="Times New Roman" w:eastAsia="等线" w:hAnsi="Times New Roman" w:cs="Times New Roman"/>
          <w:szCs w:val="21"/>
        </w:rPr>
        <w:t>deviations</w:t>
      </w:r>
      <w:r w:rsidRPr="004B22CD">
        <w:rPr>
          <w:rStyle w:val="content-right2s-h4"/>
          <w:rFonts w:ascii="Times New Roman" w:hAnsi="Times New Roman" w:cs="Times New Roman" w:hint="eastAsia"/>
          <w:szCs w:val="21"/>
        </w:rPr>
        <w:t xml:space="preserve"> from the residual-normalized expression values as the floor and ceiling. A sliding window size of 101 genes was used to smooth the relative expression on each chromosome, removing the effect of gene-specific expression. The inferred CNAs on each short or long arm or </w:t>
      </w:r>
      <w:r w:rsidRPr="004B22CD">
        <w:rPr>
          <w:rStyle w:val="content-right2s-h4"/>
          <w:rFonts w:ascii="Times New Roman" w:eastAsia="等线" w:hAnsi="Times New Roman" w:cs="Times New Roman"/>
          <w:szCs w:val="21"/>
        </w:rPr>
        <w:t xml:space="preserve">the </w:t>
      </w:r>
      <w:r w:rsidRPr="004B22CD">
        <w:rPr>
          <w:rStyle w:val="content-right2s-h4"/>
          <w:rFonts w:ascii="Times New Roman" w:hAnsi="Times New Roman" w:cs="Times New Roman" w:hint="eastAsia"/>
          <w:szCs w:val="21"/>
        </w:rPr>
        <w:t xml:space="preserve">full length of the chromosomes were visualized with heatmaps generated by the R pheatmap function. The clonal relationships of </w:t>
      </w:r>
      <w:r w:rsidRPr="004B22CD">
        <w:rPr>
          <w:rStyle w:val="content-right2s-h4"/>
          <w:rFonts w:ascii="Times New Roman" w:eastAsia="等线" w:hAnsi="Times New Roman" w:cs="Times New Roman"/>
          <w:szCs w:val="21"/>
        </w:rPr>
        <w:t xml:space="preserve">the </w:t>
      </w:r>
      <w:r w:rsidRPr="004B22CD">
        <w:rPr>
          <w:rStyle w:val="content-right2s-h4"/>
          <w:rFonts w:ascii="Times New Roman" w:hAnsi="Times New Roman" w:cs="Times New Roman" w:hint="eastAsia"/>
          <w:szCs w:val="21"/>
        </w:rPr>
        <w:t>malignant cell clusters in each sample were determined by the accumulation of CNAs. UPhyloplot2 software was used to draw clonality trees of malignant cell clusters, with CNA events manually labeled on the branches. The CNV score of each cell was calculated as the quadratic sum of the CNA regions.</w:t>
      </w:r>
    </w:p>
    <w:p w14:paraId="73A44DE5" w14:textId="198E4A90" w:rsidR="00CC62E1" w:rsidRPr="004B22CD" w:rsidRDefault="00CC62E1" w:rsidP="00DF7A0E">
      <w:pPr>
        <w:spacing w:line="480" w:lineRule="auto"/>
        <w:ind w:firstLineChars="100" w:firstLine="210"/>
        <w:rPr>
          <w:rStyle w:val="content-right2s-h4"/>
          <w:rFonts w:ascii="Times New Roman" w:hAnsi="Times New Roman" w:cs="Times New Roman"/>
          <w:szCs w:val="21"/>
        </w:rPr>
      </w:pPr>
      <w:r w:rsidRPr="004B22CD">
        <w:rPr>
          <w:rStyle w:val="content-right2s-h4"/>
          <w:rFonts w:ascii="Times New Roman" w:hAnsi="Times New Roman" w:cs="Times New Roman" w:hint="eastAsia"/>
          <w:szCs w:val="21"/>
        </w:rPr>
        <w:t xml:space="preserve">For each cell, the CNV score is defined as the average of the absolute values of the inferred CNVs, obtained by subtracting 1 from the CNV values in the matrix </w:t>
      </w:r>
      <w:r w:rsidRPr="004B22CD">
        <w:rPr>
          <w:rStyle w:val="content-right2s-h4"/>
          <w:rFonts w:ascii="Times New Roman" w:eastAsia="等线" w:hAnsi="Times New Roman" w:cs="Times New Roman"/>
          <w:szCs w:val="21"/>
        </w:rPr>
        <w:t>output</w:t>
      </w:r>
      <w:r w:rsidRPr="004B22CD">
        <w:rPr>
          <w:rStyle w:val="content-right2s-h4"/>
          <w:rFonts w:ascii="Times New Roman" w:hAnsi="Times New Roman" w:cs="Times New Roman" w:hint="eastAsia"/>
          <w:szCs w:val="21"/>
        </w:rPr>
        <w:t xml:space="preserve"> by InferCNV</w:t>
      </w:r>
      <w:r w:rsidR="000F4D71">
        <w:rPr>
          <w:rStyle w:val="content-right2s-h4"/>
          <w:rFonts w:ascii="Times New Roman" w:hAnsi="Times New Roman" w:cs="Times New Roman" w:hint="eastAsia"/>
          <w:szCs w:val="21"/>
        </w:rPr>
        <w:t xml:space="preserve"> </w:t>
      </w:r>
      <w:r w:rsidR="000F4D71" w:rsidRPr="00EC4E41">
        <w:rPr>
          <w:rStyle w:val="content-right2s-h4"/>
          <w:rFonts w:ascii="Times New Roman" w:hAnsi="Times New Roman" w:cs="Times New Roman" w:hint="eastAsia"/>
          <w:szCs w:val="21"/>
        </w:rPr>
        <w:lastRenderedPageBreak/>
        <w:t>(RRID:SCR_021140)</w:t>
      </w:r>
      <w:r w:rsidRPr="004B22CD">
        <w:rPr>
          <w:rStyle w:val="content-right2s-h4"/>
          <w:rFonts w:ascii="Times New Roman" w:hAnsi="Times New Roman" w:cs="Times New Roman" w:hint="eastAsia"/>
          <w:szCs w:val="21"/>
        </w:rPr>
        <w:t>.</w:t>
      </w:r>
    </w:p>
    <w:p w14:paraId="014D3C29"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Gene Pathway Enrichment Analysis</w:t>
      </w:r>
    </w:p>
    <w:p w14:paraId="0B09AF03" w14:textId="48DBBF81"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To investigate potential functions, Gene Ontology (GO) and Kyoto Encyclopedia of Genes and Genomes (KEGG) analyses were performed using the “clusterProfiler” R package v4.0</w:t>
      </w:r>
      <w:r w:rsidR="00A51B01">
        <w:rPr>
          <w:rFonts w:ascii="Times New Roman" w:hAnsi="Times New Roman" w:cs="Times New Roman" w:hint="eastAsia"/>
          <w:szCs w:val="21"/>
        </w:rPr>
        <w:t xml:space="preserve"> </w:t>
      </w:r>
      <w:r w:rsidR="00A51B01" w:rsidRPr="00A51B01">
        <w:rPr>
          <w:rFonts w:ascii="Times New Roman" w:hAnsi="Times New Roman" w:cs="Times New Roman" w:hint="eastAsia"/>
          <w:szCs w:val="21"/>
        </w:rPr>
        <w:t>(RRID:SCR_016884)</w:t>
      </w:r>
      <w:r w:rsidR="00A51B01" w:rsidRPr="00A51B01">
        <w:rPr>
          <w:rFonts w:ascii="Times New Roman" w:hAnsi="Times New Roman" w:cs="Times New Roman"/>
          <w:szCs w:val="21"/>
        </w:rPr>
        <w:t xml:space="preserve"> </w:t>
      </w:r>
      <w:r w:rsidR="00116AF7">
        <w:rPr>
          <w:rFonts w:ascii="Times New Roman" w:hAnsi="Times New Roman" w:cs="Times New Roman" w:hint="eastAsia"/>
          <w:szCs w:val="21"/>
        </w:rPr>
        <w:t>[4,5]</w:t>
      </w:r>
      <w:r w:rsidRPr="004B22CD">
        <w:rPr>
          <w:rFonts w:ascii="Times New Roman" w:hAnsi="Times New Roman" w:cs="Times New Roman"/>
          <w:szCs w:val="21"/>
        </w:rPr>
        <w:t>. Pathways with an adjusted p</w:t>
      </w:r>
      <w:r w:rsidRPr="004B22CD">
        <w:rPr>
          <w:rFonts w:ascii="Times New Roman" w:eastAsia="等线" w:hAnsi="Times New Roman" w:cs="Times New Roman"/>
          <w:szCs w:val="21"/>
        </w:rPr>
        <w:t xml:space="preserve"> </w:t>
      </w:r>
      <w:r w:rsidRPr="004B22CD">
        <w:rPr>
          <w:rFonts w:ascii="Times New Roman" w:hAnsi="Times New Roman" w:cs="Times New Roman"/>
          <w:szCs w:val="21"/>
        </w:rPr>
        <w:t xml:space="preserve">value (p_adj) less than 0.05 were considered significantly enriched. Selected significant pathways </w:t>
      </w:r>
      <w:r w:rsidRPr="004B22CD">
        <w:rPr>
          <w:rFonts w:ascii="Times New Roman" w:eastAsia="等线" w:hAnsi="Times New Roman" w:cs="Times New Roman"/>
          <w:szCs w:val="21"/>
        </w:rPr>
        <w:t>are</w:t>
      </w:r>
      <w:r w:rsidRPr="004B22CD">
        <w:rPr>
          <w:rFonts w:ascii="Times New Roman" w:hAnsi="Times New Roman" w:cs="Times New Roman"/>
          <w:szCs w:val="21"/>
        </w:rPr>
        <w:t xml:space="preserve"> visualized as bar plots. For </w:t>
      </w:r>
      <w:r w:rsidRPr="004B22CD">
        <w:rPr>
          <w:rFonts w:ascii="Times New Roman" w:eastAsia="等线" w:hAnsi="Times New Roman" w:cs="Times New Roman"/>
          <w:szCs w:val="21"/>
        </w:rPr>
        <w:t>gene set variation analysis</w:t>
      </w:r>
      <w:r w:rsidRPr="004B22CD">
        <w:rPr>
          <w:rFonts w:ascii="Times New Roman" w:hAnsi="Times New Roman" w:cs="Times New Roman"/>
          <w:szCs w:val="21"/>
        </w:rPr>
        <w:t xml:space="preserve"> (GSVA) pathway enrichment analysis, the average gene expression of each cell type was used as the input data</w:t>
      </w:r>
      <w:r w:rsidR="00116AF7">
        <w:rPr>
          <w:rFonts w:ascii="Times New Roman" w:hAnsi="Times New Roman" w:cs="Times New Roman" w:hint="eastAsia"/>
          <w:szCs w:val="21"/>
        </w:rPr>
        <w:t xml:space="preserve"> [6]</w:t>
      </w:r>
      <w:r w:rsidRPr="004B22CD">
        <w:rPr>
          <w:rFonts w:ascii="Times New Roman" w:hAnsi="Times New Roman" w:cs="Times New Roman"/>
          <w:szCs w:val="21"/>
        </w:rPr>
        <w:t>. Gene Ontology gene sets, including molecular function (MF), biological process (BP), and cellular component (CC) categories, were utilized.</w:t>
      </w:r>
    </w:p>
    <w:p w14:paraId="0D8BCFD3"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Gene Signature Scores Based on scRNA-seq Data</w:t>
      </w:r>
    </w:p>
    <w:p w14:paraId="47B08670" w14:textId="25513F55"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The macrophage function signature</w:t>
      </w:r>
      <w:r w:rsidRPr="004B22CD">
        <w:rPr>
          <w:rFonts w:ascii="Times New Roman" w:hAnsi="Times New Roman" w:cs="Times New Roman" w:hint="eastAsia"/>
          <w:szCs w:val="21"/>
        </w:rPr>
        <w:t xml:space="preserve"> and </w:t>
      </w:r>
      <w:r w:rsidRPr="004B22CD">
        <w:rPr>
          <w:rFonts w:ascii="Times New Roman" w:hAnsi="Times New Roman" w:cs="Times New Roman"/>
          <w:szCs w:val="21"/>
        </w:rPr>
        <w:t>SPEM score</w:t>
      </w:r>
      <w:r w:rsidRPr="004B22CD">
        <w:rPr>
          <w:rFonts w:ascii="Times New Roman" w:hAnsi="Times New Roman" w:cs="Times New Roman" w:hint="eastAsia"/>
          <w:szCs w:val="21"/>
        </w:rPr>
        <w:t xml:space="preserve"> </w:t>
      </w:r>
      <w:r w:rsidRPr="004B22CD">
        <w:rPr>
          <w:rFonts w:ascii="Times New Roman" w:hAnsi="Times New Roman" w:cs="Times New Roman"/>
          <w:szCs w:val="21"/>
        </w:rPr>
        <w:t xml:space="preserve">were calculated using the R package </w:t>
      </w:r>
      <w:r w:rsidR="00A51B01">
        <w:rPr>
          <w:rFonts w:ascii="Times New Roman" w:hAnsi="Times New Roman" w:cs="Times New Roman"/>
          <w:szCs w:val="21"/>
        </w:rPr>
        <w:t>“</w:t>
      </w:r>
      <w:r w:rsidRPr="004B22CD">
        <w:rPr>
          <w:rFonts w:ascii="Times New Roman" w:hAnsi="Times New Roman" w:cs="Times New Roman"/>
          <w:szCs w:val="21"/>
        </w:rPr>
        <w:t>UCell</w:t>
      </w:r>
      <w:r w:rsidR="00A51B01">
        <w:rPr>
          <w:rFonts w:ascii="Times New Roman" w:hAnsi="Times New Roman" w:cs="Times New Roman"/>
          <w:szCs w:val="21"/>
        </w:rPr>
        <w:t>”</w:t>
      </w:r>
      <w:r w:rsidRPr="004B22CD">
        <w:rPr>
          <w:rFonts w:ascii="Times New Roman" w:hAnsi="Times New Roman" w:cs="Times New Roman"/>
          <w:szCs w:val="21"/>
        </w:rPr>
        <w:t xml:space="preserve"> v2.2.0</w:t>
      </w:r>
      <w:r w:rsidRPr="004B22CD">
        <w:rPr>
          <w:rFonts w:ascii="Times New Roman" w:hAnsi="Times New Roman" w:cs="Times New Roman" w:hint="eastAsia"/>
          <w:szCs w:val="21"/>
        </w:rPr>
        <w:t>.</w:t>
      </w:r>
      <w:r w:rsidRPr="004B22CD">
        <w:rPr>
          <w:rFonts w:ascii="Times New Roman" w:hAnsi="Times New Roman" w:cs="Times New Roman"/>
          <w:szCs w:val="21"/>
        </w:rPr>
        <w:t xml:space="preserve"> All of the gene sets involved in the calculation are listed in </w:t>
      </w:r>
      <w:r w:rsidRPr="004B22CD">
        <w:rPr>
          <w:rFonts w:ascii="Times New Roman" w:hAnsi="Times New Roman" w:cs="Times New Roman" w:hint="eastAsia"/>
          <w:szCs w:val="21"/>
        </w:rPr>
        <w:t>Supplementary Table 3</w:t>
      </w:r>
      <w:r w:rsidR="005408CA">
        <w:rPr>
          <w:rFonts w:ascii="Times New Roman" w:hAnsi="Times New Roman" w:cs="Times New Roman" w:hint="eastAsia"/>
          <w:szCs w:val="21"/>
        </w:rPr>
        <w:t>.</w:t>
      </w:r>
    </w:p>
    <w:p w14:paraId="5A226265"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Pseudotime Trajectory Analysis: Monocle2</w:t>
      </w:r>
    </w:p>
    <w:p w14:paraId="7425ADD5" w14:textId="631CCD90" w:rsidR="00CC62E1" w:rsidRPr="004B22CD" w:rsidRDefault="00CC62E1" w:rsidP="00DF7A0E">
      <w:pPr>
        <w:spacing w:line="480" w:lineRule="auto"/>
        <w:rPr>
          <w:rFonts w:ascii="Times New Roman" w:hAnsi="Times New Roman" w:cs="Times New Roman"/>
          <w:szCs w:val="21"/>
        </w:rPr>
      </w:pPr>
      <w:r w:rsidRPr="004B22CD">
        <w:rPr>
          <w:rFonts w:ascii="Times New Roman" w:eastAsia="等线" w:hAnsi="Times New Roman" w:cs="Times New Roman"/>
          <w:szCs w:val="21"/>
        </w:rPr>
        <w:t>The cell</w:t>
      </w:r>
      <w:r w:rsidRPr="004B22CD">
        <w:rPr>
          <w:rFonts w:ascii="Times New Roman" w:hAnsi="Times New Roman" w:cs="Times New Roman"/>
          <w:szCs w:val="21"/>
        </w:rPr>
        <w:t xml:space="preserve"> differentiation trajectories of monocyte subtypes were reconstructed using </w:t>
      </w:r>
      <w:r w:rsidR="000F4D71">
        <w:rPr>
          <w:rFonts w:ascii="Times New Roman" w:hAnsi="Times New Roman" w:cs="Times New Roman"/>
          <w:szCs w:val="21"/>
        </w:rPr>
        <w:t>“</w:t>
      </w:r>
      <w:r w:rsidRPr="004B22CD">
        <w:rPr>
          <w:rFonts w:ascii="Times New Roman" w:hAnsi="Times New Roman" w:cs="Times New Roman"/>
          <w:szCs w:val="21"/>
        </w:rPr>
        <w:t>Monocle2</w:t>
      </w:r>
      <w:r w:rsidR="000F4D71">
        <w:rPr>
          <w:rFonts w:ascii="Times New Roman" w:hAnsi="Times New Roman" w:cs="Times New Roman"/>
          <w:szCs w:val="21"/>
        </w:rPr>
        <w:t>”</w:t>
      </w:r>
      <w:r w:rsidRPr="004B22CD">
        <w:rPr>
          <w:rFonts w:ascii="Times New Roman" w:hAnsi="Times New Roman" w:cs="Times New Roman"/>
          <w:szCs w:val="21"/>
        </w:rPr>
        <w:t xml:space="preserve"> v2.22.0</w:t>
      </w:r>
      <w:r w:rsidR="000F4D71">
        <w:rPr>
          <w:rFonts w:ascii="Times New Roman" w:hAnsi="Times New Roman" w:cs="Times New Roman" w:hint="eastAsia"/>
          <w:szCs w:val="21"/>
        </w:rPr>
        <w:t xml:space="preserve"> </w:t>
      </w:r>
      <w:r w:rsidR="000F4D71" w:rsidRPr="000F4D71">
        <w:rPr>
          <w:rFonts w:ascii="Times New Roman" w:hAnsi="Times New Roman" w:cs="Times New Roman" w:hint="eastAsia"/>
          <w:szCs w:val="21"/>
        </w:rPr>
        <w:t>(RRID:SCR_016339)</w:t>
      </w:r>
      <w:r w:rsidR="00116AF7">
        <w:rPr>
          <w:rFonts w:ascii="Times New Roman" w:hAnsi="Times New Roman" w:cs="Times New Roman" w:hint="eastAsia"/>
          <w:szCs w:val="21"/>
        </w:rPr>
        <w:t xml:space="preserve"> [7]</w:t>
      </w:r>
      <w:r w:rsidRPr="004B22CD">
        <w:rPr>
          <w:rFonts w:ascii="Times New Roman" w:hAnsi="Times New Roman" w:cs="Times New Roman"/>
          <w:szCs w:val="21"/>
        </w:rPr>
        <w:t xml:space="preserve">. </w:t>
      </w:r>
      <w:r w:rsidRPr="004B22CD">
        <w:rPr>
          <w:rFonts w:ascii="Times New Roman" w:eastAsia="等线" w:hAnsi="Times New Roman" w:cs="Times New Roman"/>
          <w:szCs w:val="21"/>
        </w:rPr>
        <w:t>To construct</w:t>
      </w:r>
      <w:r w:rsidRPr="004B22CD">
        <w:rPr>
          <w:rFonts w:ascii="Times New Roman" w:hAnsi="Times New Roman" w:cs="Times New Roman"/>
          <w:szCs w:val="21"/>
        </w:rPr>
        <w:t xml:space="preserve"> the trajectory, the top 2000 highly variable genes were selected using </w:t>
      </w:r>
      <w:r w:rsidR="000F4D71">
        <w:rPr>
          <w:rFonts w:ascii="Times New Roman" w:hAnsi="Times New Roman" w:cs="Times New Roman" w:hint="eastAsia"/>
          <w:szCs w:val="21"/>
        </w:rPr>
        <w:t xml:space="preserve">R package </w:t>
      </w:r>
      <w:r w:rsidR="000F4D71">
        <w:rPr>
          <w:rFonts w:ascii="Times New Roman" w:hAnsi="Times New Roman" w:cs="Times New Roman"/>
          <w:szCs w:val="21"/>
        </w:rPr>
        <w:t>“</w:t>
      </w:r>
      <w:r w:rsidRPr="004B22CD">
        <w:rPr>
          <w:rFonts w:ascii="Times New Roman" w:hAnsi="Times New Roman" w:cs="Times New Roman"/>
          <w:szCs w:val="21"/>
        </w:rPr>
        <w:t>Seurat</w:t>
      </w:r>
      <w:r w:rsidR="000F4D71">
        <w:rPr>
          <w:rFonts w:ascii="Times New Roman" w:hAnsi="Times New Roman" w:cs="Times New Roman"/>
          <w:szCs w:val="21"/>
        </w:rPr>
        <w:t>”</w:t>
      </w:r>
      <w:r w:rsidRPr="004B22CD">
        <w:rPr>
          <w:rFonts w:ascii="Times New Roman" w:hAnsi="Times New Roman" w:cs="Times New Roman"/>
          <w:szCs w:val="21"/>
        </w:rPr>
        <w:t xml:space="preserve"> (v3.1.2) “FindVariableFeatures”, and dimension reduction was performed using “DDRTree”. The trajectory was visualized using the “plot_cell_trajectory” function in the Monocle2 R package.</w:t>
      </w:r>
    </w:p>
    <w:p w14:paraId="648AA8DB"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Transcription Factor Regulon by SCENIC</w:t>
      </w:r>
    </w:p>
    <w:p w14:paraId="367CC9BA" w14:textId="1EF96FE2"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Transcription factor networks were constructed using </w:t>
      </w:r>
      <w:r w:rsidR="000F4D71" w:rsidRPr="000F4D71">
        <w:rPr>
          <w:rFonts w:ascii="Times New Roman" w:hAnsi="Times New Roman" w:cs="Times New Roman" w:hint="eastAsia"/>
          <w:szCs w:val="21"/>
        </w:rPr>
        <w:t>pySCENIC (RRID:SCR_025802)</w:t>
      </w:r>
      <w:r w:rsidRPr="004B22CD">
        <w:rPr>
          <w:rFonts w:ascii="Times New Roman" w:hAnsi="Times New Roman" w:cs="Times New Roman"/>
          <w:szCs w:val="21"/>
        </w:rPr>
        <w:t xml:space="preserve"> (v0.11.0)</w:t>
      </w:r>
      <w:r w:rsidR="00116AF7">
        <w:rPr>
          <w:rFonts w:ascii="Times New Roman" w:hAnsi="Times New Roman" w:cs="Times New Roman" w:hint="eastAsia"/>
          <w:noProof/>
          <w:szCs w:val="21"/>
          <w:vertAlign w:val="superscript"/>
        </w:rPr>
        <w:t xml:space="preserve"> </w:t>
      </w:r>
      <w:r w:rsidR="00116AF7">
        <w:rPr>
          <w:rFonts w:ascii="Times New Roman" w:hAnsi="Times New Roman" w:cs="Times New Roman" w:hint="eastAsia"/>
          <w:szCs w:val="21"/>
        </w:rPr>
        <w:t xml:space="preserve">[8] </w:t>
      </w:r>
      <w:r w:rsidRPr="004B22CD">
        <w:rPr>
          <w:rFonts w:ascii="Times New Roman" w:hAnsi="Times New Roman" w:cs="Times New Roman"/>
          <w:szCs w:val="21"/>
        </w:rPr>
        <w:t xml:space="preserve">with the scRNA expression matrix and transcription factors from AnimalTFDB. First, GRNBoost2 predicted a regulatory network on the </w:t>
      </w:r>
      <w:r w:rsidRPr="004B22CD">
        <w:rPr>
          <w:rFonts w:ascii="Times New Roman" w:eastAsia="等线" w:hAnsi="Times New Roman" w:cs="Times New Roman"/>
          <w:szCs w:val="21"/>
        </w:rPr>
        <w:t xml:space="preserve">basis of the </w:t>
      </w:r>
      <w:r w:rsidRPr="004B22CD">
        <w:rPr>
          <w:rFonts w:ascii="Times New Roman" w:hAnsi="Times New Roman" w:cs="Times New Roman"/>
          <w:szCs w:val="21"/>
        </w:rPr>
        <w:t xml:space="preserve">coexpression of regulators and targets. </w:t>
      </w:r>
      <w:r w:rsidRPr="004B22CD">
        <w:rPr>
          <w:rFonts w:ascii="Times New Roman" w:hAnsi="Times New Roman" w:cs="Times New Roman"/>
          <w:szCs w:val="21"/>
        </w:rPr>
        <w:lastRenderedPageBreak/>
        <w:t xml:space="preserve">CisTarget was then applied to exclude indirect targets and search for transcription factor binding motifs. Subsequently, AUCell was used for regulon activity quantification for each cell. Cluster-specific transcription factor (TF) regulons were identified according to Regulon </w:t>
      </w:r>
      <w:r w:rsidRPr="004B22CD">
        <w:rPr>
          <w:rFonts w:ascii="Times New Roman" w:eastAsia="等线" w:hAnsi="Times New Roman" w:cs="Times New Roman"/>
          <w:szCs w:val="21"/>
        </w:rPr>
        <w:t>specificity scores (RSSs</w:t>
      </w:r>
      <w:r w:rsidRPr="004B22CD">
        <w:rPr>
          <w:rFonts w:ascii="Times New Roman" w:hAnsi="Times New Roman" w:cs="Times New Roman"/>
          <w:szCs w:val="21"/>
        </w:rPr>
        <w:t>), and the activity of these TF regulons was visualized using heatmaps.</w:t>
      </w:r>
    </w:p>
    <w:p w14:paraId="6C53BB2F"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eastAsia="等线" w:hAnsi="Times New Roman" w:cs="Times New Roman"/>
          <w:b/>
          <w:bCs/>
          <w:szCs w:val="21"/>
        </w:rPr>
        <w:t>Cell‒cell</w:t>
      </w:r>
      <w:r w:rsidRPr="004B22CD">
        <w:rPr>
          <w:rFonts w:ascii="Times New Roman" w:hAnsi="Times New Roman" w:cs="Times New Roman" w:hint="eastAsia"/>
          <w:b/>
          <w:bCs/>
          <w:szCs w:val="21"/>
        </w:rPr>
        <w:t xml:space="preserve"> interaction analysis: NicheNet</w:t>
      </w:r>
    </w:p>
    <w:p w14:paraId="6340F960" w14:textId="1AC5E8D0" w:rsidR="00CC62E1" w:rsidRPr="004B22CD" w:rsidRDefault="00CC62E1" w:rsidP="00DF7A0E">
      <w:pPr>
        <w:spacing w:line="480" w:lineRule="auto"/>
        <w:rPr>
          <w:rFonts w:ascii="Times New Roman" w:hAnsi="Times New Roman" w:cs="Times New Roman"/>
          <w:szCs w:val="21"/>
        </w:rPr>
      </w:pPr>
      <w:r w:rsidRPr="004B22CD">
        <w:rPr>
          <w:rFonts w:ascii="Times New Roman" w:eastAsia="等线" w:hAnsi="Times New Roman" w:cs="Times New Roman"/>
          <w:szCs w:val="21"/>
        </w:rPr>
        <w:t>The cell‒cell</w:t>
      </w:r>
      <w:r w:rsidRPr="004B22CD">
        <w:rPr>
          <w:rFonts w:ascii="Times New Roman" w:hAnsi="Times New Roman" w:cs="Times New Roman" w:hint="eastAsia"/>
          <w:szCs w:val="21"/>
        </w:rPr>
        <w:t xml:space="preserve"> interaction (CCI) between FOLR2</w:t>
      </w:r>
      <w:r w:rsidRPr="004B22CD">
        <w:rPr>
          <w:rFonts w:ascii="Times New Roman" w:hAnsi="Times New Roman" w:cs="Times New Roman" w:hint="eastAsia"/>
          <w:szCs w:val="21"/>
          <w:vertAlign w:val="superscript"/>
        </w:rPr>
        <w:t>+</w:t>
      </w:r>
      <w:r w:rsidRPr="004B22CD">
        <w:rPr>
          <w:rFonts w:ascii="Times New Roman" w:hAnsi="Times New Roman" w:cs="Times New Roman" w:hint="eastAsia"/>
          <w:szCs w:val="21"/>
        </w:rPr>
        <w:t xml:space="preserve"> </w:t>
      </w:r>
      <w:r w:rsidRPr="004B22CD">
        <w:rPr>
          <w:rFonts w:ascii="Times New Roman" w:eastAsia="等线" w:hAnsi="Times New Roman" w:cs="Times New Roman"/>
          <w:szCs w:val="21"/>
        </w:rPr>
        <w:t>macrophages</w:t>
      </w:r>
      <w:r w:rsidRPr="004B22CD">
        <w:rPr>
          <w:rFonts w:ascii="Times New Roman" w:hAnsi="Times New Roman" w:cs="Times New Roman" w:hint="eastAsia"/>
          <w:szCs w:val="21"/>
        </w:rPr>
        <w:t xml:space="preserve"> and </w:t>
      </w:r>
      <w:r w:rsidRPr="004B22CD">
        <w:rPr>
          <w:rFonts w:ascii="Times New Roman" w:eastAsia="等线" w:hAnsi="Times New Roman" w:cs="Times New Roman"/>
          <w:szCs w:val="21"/>
        </w:rPr>
        <w:t>CD8</w:t>
      </w:r>
      <w:r w:rsidRPr="00FB5EEC">
        <w:rPr>
          <w:rFonts w:ascii="Times New Roman" w:eastAsia="等线" w:hAnsi="Times New Roman" w:cs="Times New Roman"/>
          <w:szCs w:val="21"/>
          <w:vertAlign w:val="superscript"/>
        </w:rPr>
        <w:t>+</w:t>
      </w:r>
      <w:r w:rsidRPr="004B22CD">
        <w:rPr>
          <w:rFonts w:ascii="Times New Roman" w:eastAsia="等线" w:hAnsi="Times New Roman" w:cs="Times New Roman"/>
          <w:szCs w:val="21"/>
        </w:rPr>
        <w:t xml:space="preserve"> T</w:t>
      </w:r>
      <w:r w:rsidRPr="004B22CD">
        <w:rPr>
          <w:rFonts w:ascii="Times New Roman" w:hAnsi="Times New Roman" w:cs="Times New Roman" w:hint="eastAsia"/>
          <w:szCs w:val="21"/>
        </w:rPr>
        <w:t xml:space="preserve"> cells </w:t>
      </w:r>
      <w:r w:rsidRPr="004B22CD">
        <w:rPr>
          <w:rFonts w:ascii="Times New Roman" w:eastAsia="等线" w:hAnsi="Times New Roman" w:cs="Times New Roman"/>
          <w:szCs w:val="21"/>
        </w:rPr>
        <w:t>was</w:t>
      </w:r>
      <w:r w:rsidRPr="004B22CD">
        <w:rPr>
          <w:rFonts w:ascii="Times New Roman" w:hAnsi="Times New Roman" w:cs="Times New Roman" w:hint="eastAsia"/>
          <w:szCs w:val="21"/>
        </w:rPr>
        <w:t xml:space="preserve"> predicted on </w:t>
      </w:r>
      <w:r w:rsidRPr="004B22CD">
        <w:rPr>
          <w:rFonts w:ascii="Times New Roman" w:eastAsia="等线" w:hAnsi="Times New Roman" w:cs="Times New Roman"/>
          <w:szCs w:val="21"/>
        </w:rPr>
        <w:t xml:space="preserve">the basis of </w:t>
      </w:r>
      <w:r w:rsidRPr="004B22CD">
        <w:rPr>
          <w:rFonts w:ascii="Times New Roman" w:hAnsi="Times New Roman" w:cs="Times New Roman" w:hint="eastAsia"/>
          <w:szCs w:val="21"/>
        </w:rPr>
        <w:t xml:space="preserve">known </w:t>
      </w:r>
      <w:r w:rsidRPr="004B22CD">
        <w:rPr>
          <w:rFonts w:ascii="Times New Roman" w:eastAsia="等线" w:hAnsi="Times New Roman" w:cs="Times New Roman"/>
          <w:szCs w:val="21"/>
        </w:rPr>
        <w:t>ligand‒receptor</w:t>
      </w:r>
      <w:r w:rsidRPr="004B22CD">
        <w:rPr>
          <w:rFonts w:ascii="Times New Roman" w:hAnsi="Times New Roman" w:cs="Times New Roman" w:hint="eastAsia"/>
          <w:szCs w:val="21"/>
        </w:rPr>
        <w:t xml:space="preserve"> pairs by NicheNet</w:t>
      </w:r>
      <w:r w:rsidR="008E5588" w:rsidRPr="008E5588">
        <w:rPr>
          <w:rFonts w:hint="eastAsia"/>
        </w:rPr>
        <w:t xml:space="preserve"> </w:t>
      </w:r>
      <w:r w:rsidR="008E5588" w:rsidRPr="008E5588">
        <w:rPr>
          <w:rFonts w:ascii="Times New Roman" w:hAnsi="Times New Roman" w:cs="Times New Roman" w:hint="eastAsia"/>
          <w:szCs w:val="21"/>
        </w:rPr>
        <w:t>(RRID:SCR_023158)</w:t>
      </w:r>
      <w:r w:rsidRPr="004B22CD">
        <w:rPr>
          <w:rFonts w:ascii="Times New Roman" w:hAnsi="Times New Roman" w:cs="Times New Roman" w:hint="eastAsia"/>
          <w:szCs w:val="21"/>
        </w:rPr>
        <w:t xml:space="preserve"> in R</w:t>
      </w:r>
      <w:r w:rsidR="00116AF7">
        <w:rPr>
          <w:rFonts w:ascii="Times New Roman" w:hAnsi="Times New Roman" w:cs="Times New Roman" w:hint="eastAsia"/>
          <w:noProof/>
          <w:szCs w:val="21"/>
        </w:rPr>
        <w:t xml:space="preserve"> [9]</w:t>
      </w:r>
      <w:r w:rsidRPr="004B22CD">
        <w:rPr>
          <w:rFonts w:ascii="Times New Roman" w:hAnsi="Times New Roman" w:cs="Times New Roman" w:hint="eastAsia"/>
          <w:szCs w:val="21"/>
        </w:rPr>
        <w:t xml:space="preserve">. Cell type signatures were derived from </w:t>
      </w:r>
      <w:r w:rsidRPr="004B22CD">
        <w:rPr>
          <w:rFonts w:ascii="Times New Roman" w:eastAsia="等线" w:hAnsi="Times New Roman" w:cs="Times New Roman"/>
          <w:szCs w:val="21"/>
        </w:rPr>
        <w:t xml:space="preserve">the </w:t>
      </w:r>
      <w:r w:rsidRPr="004B22CD">
        <w:rPr>
          <w:rFonts w:ascii="Times New Roman" w:hAnsi="Times New Roman" w:cs="Times New Roman" w:hint="eastAsia"/>
          <w:szCs w:val="21"/>
        </w:rPr>
        <w:t>top 100 DEGs from FOLR2</w:t>
      </w:r>
      <w:r w:rsidRPr="004B22CD">
        <w:rPr>
          <w:rFonts w:ascii="Times New Roman" w:hAnsi="Times New Roman" w:cs="Times New Roman" w:hint="eastAsia"/>
          <w:szCs w:val="21"/>
          <w:vertAlign w:val="superscript"/>
        </w:rPr>
        <w:t>+</w:t>
      </w:r>
      <w:r w:rsidRPr="004B22CD">
        <w:rPr>
          <w:rFonts w:ascii="Times New Roman" w:hAnsi="Times New Roman" w:cs="Times New Roman" w:hint="eastAsia"/>
          <w:szCs w:val="21"/>
        </w:rPr>
        <w:t xml:space="preserve"> </w:t>
      </w:r>
      <w:r w:rsidRPr="004B22CD">
        <w:rPr>
          <w:rFonts w:ascii="Times New Roman" w:eastAsia="等线" w:hAnsi="Times New Roman" w:cs="Times New Roman"/>
          <w:szCs w:val="21"/>
        </w:rPr>
        <w:t>macrophages</w:t>
      </w:r>
      <w:r w:rsidRPr="004B22CD">
        <w:rPr>
          <w:rFonts w:ascii="Times New Roman" w:hAnsi="Times New Roman" w:cs="Times New Roman" w:hint="eastAsia"/>
          <w:szCs w:val="21"/>
        </w:rPr>
        <w:t xml:space="preserve"> and </w:t>
      </w:r>
      <w:r w:rsidRPr="004B22CD">
        <w:rPr>
          <w:rFonts w:ascii="Times New Roman" w:eastAsia="等线" w:hAnsi="Times New Roman" w:cs="Times New Roman"/>
          <w:szCs w:val="21"/>
        </w:rPr>
        <w:t>CD8</w:t>
      </w:r>
      <w:r w:rsidRPr="00FB5EEC">
        <w:rPr>
          <w:rFonts w:ascii="Times New Roman" w:eastAsia="等线" w:hAnsi="Times New Roman" w:cs="Times New Roman"/>
          <w:szCs w:val="21"/>
          <w:vertAlign w:val="superscript"/>
        </w:rPr>
        <w:t>+</w:t>
      </w:r>
      <w:r w:rsidRPr="004B22CD">
        <w:rPr>
          <w:rFonts w:ascii="Times New Roman" w:eastAsia="等线" w:hAnsi="Times New Roman" w:cs="Times New Roman"/>
          <w:szCs w:val="21"/>
        </w:rPr>
        <w:t xml:space="preserve"> T</w:t>
      </w:r>
      <w:r w:rsidRPr="004B22CD">
        <w:rPr>
          <w:rFonts w:ascii="Times New Roman" w:hAnsi="Times New Roman" w:cs="Times New Roman" w:hint="eastAsia"/>
          <w:szCs w:val="21"/>
        </w:rPr>
        <w:t xml:space="preserve"> cells. Using DEGs, cell type</w:t>
      </w:r>
      <w:r w:rsidRPr="004B22CD">
        <w:rPr>
          <w:rFonts w:ascii="Times New Roman" w:eastAsia="等线" w:hAnsi="Times New Roman" w:cs="Times New Roman"/>
          <w:szCs w:val="21"/>
        </w:rPr>
        <w:t>-</w:t>
      </w:r>
      <w:r w:rsidRPr="004B22CD">
        <w:rPr>
          <w:rFonts w:ascii="Times New Roman" w:hAnsi="Times New Roman" w:cs="Times New Roman" w:hint="eastAsia"/>
          <w:szCs w:val="21"/>
        </w:rPr>
        <w:t xml:space="preserve">specific ligands were predicted and ranked by regulatory potential. The top 15% </w:t>
      </w:r>
      <w:r w:rsidRPr="004B22CD">
        <w:rPr>
          <w:rFonts w:ascii="Times New Roman" w:eastAsia="等线" w:hAnsi="Times New Roman" w:cs="Times New Roman"/>
          <w:szCs w:val="21"/>
        </w:rPr>
        <w:t xml:space="preserve">of the </w:t>
      </w:r>
      <w:r w:rsidRPr="004B22CD">
        <w:rPr>
          <w:rFonts w:ascii="Times New Roman" w:hAnsi="Times New Roman" w:cs="Times New Roman" w:hint="eastAsia"/>
          <w:szCs w:val="21"/>
        </w:rPr>
        <w:t>predicted ligands were considered significant and visualized in heatmaps.</w:t>
      </w:r>
    </w:p>
    <w:p w14:paraId="4EABC917"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eastAsia="等线" w:hAnsi="Times New Roman" w:cs="Times New Roman"/>
          <w:b/>
          <w:bCs/>
          <w:szCs w:val="21"/>
        </w:rPr>
        <w:t>Cell‒cell interaction analysis</w:t>
      </w:r>
      <w:r w:rsidRPr="004B22CD">
        <w:rPr>
          <w:rFonts w:ascii="Times New Roman" w:hAnsi="Times New Roman" w:cs="Times New Roman"/>
          <w:b/>
          <w:bCs/>
          <w:szCs w:val="21"/>
        </w:rPr>
        <w:t>: CellPhoneDB</w:t>
      </w:r>
    </w:p>
    <w:p w14:paraId="2F4E62CE" w14:textId="32C25A83" w:rsidR="00CC62E1" w:rsidRPr="004B22CD" w:rsidRDefault="00CC62E1" w:rsidP="00DF7A0E">
      <w:pPr>
        <w:spacing w:line="480" w:lineRule="auto"/>
        <w:rPr>
          <w:rFonts w:ascii="Times New Roman" w:hAnsi="Times New Roman" w:cs="Times New Roman"/>
          <w:szCs w:val="21"/>
        </w:rPr>
      </w:pPr>
      <w:r w:rsidRPr="002808E4">
        <w:rPr>
          <w:rFonts w:ascii="Times New Roman" w:eastAsia="等线" w:hAnsi="Times New Roman" w:cs="Times New Roman"/>
          <w:szCs w:val="21"/>
        </w:rPr>
        <w:t xml:space="preserve">The </w:t>
      </w:r>
      <w:r w:rsidRPr="004B22CD">
        <w:rPr>
          <w:rFonts w:ascii="Times New Roman" w:hAnsi="Times New Roman" w:cs="Times New Roman" w:hint="eastAsia"/>
          <w:szCs w:val="21"/>
        </w:rPr>
        <w:t>CCI between epithelial cells and FOLR2</w:t>
      </w:r>
      <w:r w:rsidRPr="004B22CD">
        <w:rPr>
          <w:rFonts w:ascii="Times New Roman" w:hAnsi="Times New Roman" w:cs="Times New Roman" w:hint="eastAsia"/>
          <w:szCs w:val="21"/>
          <w:vertAlign w:val="superscript"/>
        </w:rPr>
        <w:t>+</w:t>
      </w:r>
      <w:r w:rsidRPr="004B22CD">
        <w:rPr>
          <w:rFonts w:ascii="Times New Roman" w:hAnsi="Times New Roman" w:cs="Times New Roman" w:hint="eastAsia"/>
          <w:szCs w:val="21"/>
        </w:rPr>
        <w:t xml:space="preserve"> macrophages </w:t>
      </w:r>
      <w:r w:rsidRPr="004B22CD">
        <w:rPr>
          <w:rFonts w:ascii="Times New Roman" w:eastAsia="等线" w:hAnsi="Times New Roman" w:cs="Times New Roman"/>
          <w:szCs w:val="21"/>
        </w:rPr>
        <w:t>was</w:t>
      </w:r>
      <w:r w:rsidRPr="004B22CD">
        <w:rPr>
          <w:rFonts w:ascii="Times New Roman" w:hAnsi="Times New Roman" w:cs="Times New Roman"/>
          <w:szCs w:val="21"/>
        </w:rPr>
        <w:t xml:space="preserve"> predicted on </w:t>
      </w:r>
      <w:r w:rsidRPr="004B22CD">
        <w:rPr>
          <w:rFonts w:ascii="Times New Roman" w:eastAsia="等线" w:hAnsi="Times New Roman" w:cs="Times New Roman"/>
          <w:szCs w:val="21"/>
        </w:rPr>
        <w:t xml:space="preserve">the basis of </w:t>
      </w:r>
      <w:r w:rsidRPr="004B22CD">
        <w:rPr>
          <w:rFonts w:ascii="Times New Roman" w:hAnsi="Times New Roman" w:cs="Times New Roman"/>
          <w:szCs w:val="21"/>
        </w:rPr>
        <w:t>known ligand–receptor pairs using CellPhoneDB</w:t>
      </w:r>
      <w:r w:rsidR="008E5588">
        <w:rPr>
          <w:rFonts w:ascii="Times New Roman" w:hAnsi="Times New Roman" w:cs="Times New Roman" w:hint="eastAsia"/>
          <w:szCs w:val="21"/>
        </w:rPr>
        <w:t xml:space="preserve"> </w:t>
      </w:r>
      <w:r w:rsidR="008E5588" w:rsidRPr="008E5588">
        <w:rPr>
          <w:rFonts w:ascii="Times New Roman" w:hAnsi="Times New Roman" w:cs="Times New Roman" w:hint="eastAsia"/>
          <w:szCs w:val="21"/>
        </w:rPr>
        <w:t>(RRID:SCR_017054)</w:t>
      </w:r>
      <w:r w:rsidRPr="004B22CD">
        <w:rPr>
          <w:rFonts w:ascii="Times New Roman" w:hAnsi="Times New Roman" w:cs="Times New Roman"/>
          <w:szCs w:val="21"/>
        </w:rPr>
        <w:t xml:space="preserve"> (v4.0.0)</w:t>
      </w:r>
      <w:r w:rsidR="00116AF7">
        <w:rPr>
          <w:rFonts w:ascii="Times New Roman" w:hAnsi="Times New Roman" w:cs="Times New Roman" w:hint="eastAsia"/>
          <w:noProof/>
          <w:szCs w:val="21"/>
          <w:vertAlign w:val="superscript"/>
        </w:rPr>
        <w:t xml:space="preserve"> </w:t>
      </w:r>
      <w:r w:rsidR="00116AF7">
        <w:rPr>
          <w:rFonts w:ascii="Times New Roman" w:hAnsi="Times New Roman" w:cs="Times New Roman" w:hint="eastAsia"/>
          <w:szCs w:val="21"/>
        </w:rPr>
        <w:t>[10]</w:t>
      </w:r>
      <w:r w:rsidRPr="004B22CD">
        <w:rPr>
          <w:rFonts w:ascii="Times New Roman" w:hAnsi="Times New Roman" w:cs="Times New Roman"/>
          <w:szCs w:val="21"/>
        </w:rPr>
        <w:t xml:space="preserve">. The permutation number for calculating the null distribution of average </w:t>
      </w:r>
      <w:r w:rsidRPr="004B22CD">
        <w:rPr>
          <w:rFonts w:ascii="Times New Roman" w:eastAsia="等线" w:hAnsi="Times New Roman" w:cs="Times New Roman"/>
          <w:szCs w:val="21"/>
        </w:rPr>
        <w:t>ligand‒receptor</w:t>
      </w:r>
      <w:r w:rsidRPr="004B22CD">
        <w:rPr>
          <w:rFonts w:ascii="Times New Roman" w:hAnsi="Times New Roman" w:cs="Times New Roman"/>
          <w:szCs w:val="21"/>
        </w:rPr>
        <w:t xml:space="preserve"> pair expression with randomized cell identities was set to 1000. Individual ligand or receptor expression was thresholded by a cutoff on the </w:t>
      </w:r>
      <w:r w:rsidRPr="004B22CD">
        <w:rPr>
          <w:rFonts w:ascii="Times New Roman" w:eastAsia="等线" w:hAnsi="Times New Roman" w:cs="Times New Roman"/>
          <w:szCs w:val="21"/>
        </w:rPr>
        <w:t xml:space="preserve">basis of the </w:t>
      </w:r>
      <w:r w:rsidRPr="004B22CD">
        <w:rPr>
          <w:rFonts w:ascii="Times New Roman" w:hAnsi="Times New Roman" w:cs="Times New Roman"/>
          <w:szCs w:val="21"/>
        </w:rPr>
        <w:t>average log gene expression distribution for all genes across each cell type. Predicted interaction pairs with a p</w:t>
      </w:r>
      <w:r w:rsidRPr="004B22CD">
        <w:rPr>
          <w:rFonts w:ascii="Times New Roman" w:eastAsia="等线" w:hAnsi="Times New Roman" w:cs="Times New Roman"/>
          <w:szCs w:val="21"/>
        </w:rPr>
        <w:t xml:space="preserve"> </w:t>
      </w:r>
      <w:r w:rsidRPr="004B22CD">
        <w:rPr>
          <w:rFonts w:ascii="Times New Roman" w:hAnsi="Times New Roman" w:cs="Times New Roman"/>
          <w:szCs w:val="21"/>
        </w:rPr>
        <w:t>value &lt;0.05 and an average log expression</w:t>
      </w:r>
      <w:r w:rsidRPr="004B22CD">
        <w:rPr>
          <w:rFonts w:ascii="Times New Roman" w:hAnsi="Times New Roman" w:cs="Times New Roman" w:hint="eastAsia"/>
          <w:szCs w:val="21"/>
        </w:rPr>
        <w:t xml:space="preserve"> </w:t>
      </w:r>
      <w:r w:rsidRPr="004B22CD">
        <w:rPr>
          <w:rFonts w:ascii="Times New Roman" w:hAnsi="Times New Roman" w:cs="Times New Roman"/>
          <w:szCs w:val="21"/>
        </w:rPr>
        <w:t>&gt;0.1 were considered significant and visualized using the “heatmap_plot” and “dot_plot” functions in CellPhoneDB.</w:t>
      </w:r>
    </w:p>
    <w:p w14:paraId="6D313E71"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Single-Cell Metabolism Analysis: scMetabolism</w:t>
      </w:r>
    </w:p>
    <w:p w14:paraId="15356B71" w14:textId="6E5AC77F"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scMetabolism (v0.2.1), an R package designed for </w:t>
      </w:r>
      <w:r w:rsidRPr="004B22CD">
        <w:rPr>
          <w:rFonts w:ascii="Times New Roman" w:eastAsia="等线" w:hAnsi="Times New Roman" w:cs="Times New Roman"/>
          <w:szCs w:val="21"/>
        </w:rPr>
        <w:t xml:space="preserve">the </w:t>
      </w:r>
      <w:r w:rsidRPr="004B22CD">
        <w:rPr>
          <w:rFonts w:ascii="Times New Roman" w:hAnsi="Times New Roman" w:cs="Times New Roman"/>
          <w:szCs w:val="21"/>
        </w:rPr>
        <w:t>quantification of single-cell metabolic activity, was applied for analysis</w:t>
      </w:r>
      <w:r w:rsidR="00116AF7">
        <w:rPr>
          <w:rFonts w:ascii="Times New Roman" w:hAnsi="Times New Roman" w:cs="Times New Roman" w:hint="eastAsia"/>
          <w:noProof/>
          <w:szCs w:val="21"/>
        </w:rPr>
        <w:t xml:space="preserve"> [11]</w:t>
      </w:r>
      <w:r w:rsidRPr="004B22CD">
        <w:rPr>
          <w:rFonts w:ascii="Times New Roman" w:hAnsi="Times New Roman" w:cs="Times New Roman" w:hint="eastAsia"/>
          <w:szCs w:val="21"/>
        </w:rPr>
        <w:t>.</w:t>
      </w:r>
      <w:r w:rsidRPr="004B22CD">
        <w:rPr>
          <w:rFonts w:ascii="Times New Roman" w:hAnsi="Times New Roman" w:cs="Times New Roman"/>
          <w:szCs w:val="21"/>
        </w:rPr>
        <w:t xml:space="preserve"> KEGG metabolic </w:t>
      </w:r>
      <w:r w:rsidRPr="004B22CD">
        <w:rPr>
          <w:rFonts w:ascii="Times New Roman" w:eastAsia="等线" w:hAnsi="Times New Roman" w:cs="Times New Roman"/>
          <w:szCs w:val="21"/>
        </w:rPr>
        <w:t>pathway data</w:t>
      </w:r>
      <w:r w:rsidRPr="004B22CD">
        <w:rPr>
          <w:rFonts w:ascii="Times New Roman" w:hAnsi="Times New Roman" w:cs="Times New Roman"/>
          <w:szCs w:val="21"/>
        </w:rPr>
        <w:t xml:space="preserve"> were collected, and the metabolic </w:t>
      </w:r>
      <w:r w:rsidRPr="004B22CD">
        <w:rPr>
          <w:rFonts w:ascii="Times New Roman" w:hAnsi="Times New Roman" w:cs="Times New Roman"/>
          <w:szCs w:val="21"/>
        </w:rPr>
        <w:lastRenderedPageBreak/>
        <w:t xml:space="preserve">pathway enrichment scores were calculated on </w:t>
      </w:r>
      <w:r w:rsidRPr="004B22CD">
        <w:rPr>
          <w:rFonts w:ascii="Times New Roman" w:eastAsia="等线" w:hAnsi="Times New Roman" w:cs="Times New Roman"/>
          <w:szCs w:val="21"/>
        </w:rPr>
        <w:t xml:space="preserve">the basis of </w:t>
      </w:r>
      <w:r w:rsidRPr="004B22CD">
        <w:rPr>
          <w:rFonts w:ascii="Times New Roman" w:hAnsi="Times New Roman" w:cs="Times New Roman"/>
          <w:szCs w:val="21"/>
        </w:rPr>
        <w:t>VISION. The scores of specific pathways were visualized using the FeaturePlot and VlnPlot functions in Seurat.</w:t>
      </w:r>
    </w:p>
    <w:p w14:paraId="3D67813A"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KM plotter data</w:t>
      </w:r>
    </w:p>
    <w:p w14:paraId="46D56A3B" w14:textId="1CA18FE5"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The correlation </w:t>
      </w:r>
      <w:r w:rsidRPr="004B22CD">
        <w:rPr>
          <w:rFonts w:ascii="Times New Roman" w:eastAsia="等线" w:hAnsi="Times New Roman" w:cs="Times New Roman"/>
          <w:szCs w:val="21"/>
        </w:rPr>
        <w:t>between</w:t>
      </w:r>
      <w:r w:rsidRPr="004B22CD">
        <w:rPr>
          <w:rFonts w:ascii="Times New Roman" w:hAnsi="Times New Roman" w:cs="Times New Roman"/>
          <w:szCs w:val="21"/>
        </w:rPr>
        <w:t xml:space="preserve"> overall survival (OS) and gene expression </w:t>
      </w:r>
      <w:r w:rsidRPr="004B22CD">
        <w:rPr>
          <w:rFonts w:ascii="Times New Roman" w:eastAsia="等线" w:hAnsi="Times New Roman" w:cs="Times New Roman"/>
          <w:szCs w:val="21"/>
        </w:rPr>
        <w:t xml:space="preserve">in gastric cancer (GC) patients </w:t>
      </w:r>
      <w:r w:rsidRPr="004B22CD">
        <w:rPr>
          <w:rFonts w:ascii="Times New Roman" w:hAnsi="Times New Roman" w:cs="Times New Roman"/>
          <w:szCs w:val="21"/>
        </w:rPr>
        <w:t xml:space="preserve">was obtained from the </w:t>
      </w:r>
      <w:r w:rsidRPr="004B22CD">
        <w:rPr>
          <w:rFonts w:ascii="Times New Roman" w:eastAsia="等线" w:hAnsi="Times New Roman" w:cs="Times New Roman"/>
          <w:szCs w:val="21"/>
        </w:rPr>
        <w:t>Kaplan‒Meier plotter gastric</w:t>
      </w:r>
      <w:r w:rsidRPr="004B22CD">
        <w:rPr>
          <w:rFonts w:ascii="Times New Roman" w:hAnsi="Times New Roman" w:cs="Times New Roman"/>
          <w:szCs w:val="21"/>
        </w:rPr>
        <w:t xml:space="preserve"> cancer dataset </w:t>
      </w:r>
      <w:r w:rsidRPr="004B22CD">
        <w:rPr>
          <w:rFonts w:ascii="Times New Roman" w:hAnsi="Times New Roman" w:cs="Times New Roman" w:hint="eastAsia"/>
          <w:szCs w:val="21"/>
        </w:rPr>
        <w:t>(</w:t>
      </w:r>
      <w:hyperlink r:id="rId6" w:history="1">
        <w:r w:rsidRPr="00935B19">
          <w:rPr>
            <w:rStyle w:val="a7"/>
            <w:rFonts w:ascii="Times New Roman" w:hAnsi="Times New Roman" w:cs="Times New Roman"/>
            <w:szCs w:val="21"/>
          </w:rPr>
          <w:t>www.kmplot.com</w:t>
        </w:r>
      </w:hyperlink>
      <w:r w:rsidRPr="004B22CD">
        <w:rPr>
          <w:rFonts w:ascii="Times New Roman" w:hAnsi="Times New Roman" w:cs="Times New Roman" w:hint="eastAsia"/>
          <w:szCs w:val="21"/>
        </w:rPr>
        <w:t>)</w:t>
      </w:r>
      <w:r w:rsidR="008E5588" w:rsidRPr="008E5588">
        <w:rPr>
          <w:rFonts w:ascii="Times New Roman" w:hAnsi="Times New Roman" w:cs="Times New Roman" w:hint="eastAsia"/>
          <w:szCs w:val="21"/>
        </w:rPr>
        <w:t xml:space="preserve"> </w:t>
      </w:r>
      <w:r w:rsidR="008E5588" w:rsidRPr="00B9587E">
        <w:rPr>
          <w:rFonts w:ascii="Times New Roman" w:hAnsi="Times New Roman" w:cs="Times New Roman" w:hint="eastAsia"/>
          <w:szCs w:val="21"/>
        </w:rPr>
        <w:t>(RRID:SCR_024521)</w:t>
      </w:r>
      <w:r w:rsidR="00116AF7">
        <w:rPr>
          <w:rFonts w:ascii="Times New Roman" w:hAnsi="Times New Roman" w:cs="Times New Roman" w:hint="eastAsia"/>
          <w:noProof/>
          <w:szCs w:val="21"/>
        </w:rPr>
        <w:t xml:space="preserve"> [12].</w:t>
      </w:r>
      <w:r w:rsidRPr="004B22CD">
        <w:rPr>
          <w:rFonts w:ascii="Times New Roman" w:hAnsi="Times New Roman" w:cs="Times New Roman"/>
          <w:szCs w:val="21"/>
        </w:rPr>
        <w:t xml:space="preserve"> We used FOLR2/C1QA and FOLR2/C1QC to calculate the survival probability of GC patients.</w:t>
      </w:r>
    </w:p>
    <w:p w14:paraId="04594350"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TCGA Data and Analysis</w:t>
      </w:r>
    </w:p>
    <w:p w14:paraId="6F77FA6C" w14:textId="23ECE70B" w:rsidR="00CC62E1" w:rsidRPr="004B22CD"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Bulk RNA-sequencing expression profiles and corresponding clinical information for GC patients were downloaded from the TCGA dataset </w:t>
      </w:r>
      <w:r w:rsidR="008E5588" w:rsidRPr="008E5588">
        <w:rPr>
          <w:rFonts w:ascii="Times New Roman" w:hAnsi="Times New Roman" w:cs="Times New Roman" w:hint="eastAsia"/>
          <w:szCs w:val="21"/>
        </w:rPr>
        <w:t>(RRID:SCR_003193)</w:t>
      </w:r>
      <w:r w:rsidR="008E5588" w:rsidRPr="008E5588">
        <w:rPr>
          <w:rFonts w:ascii="Times New Roman" w:hAnsi="Times New Roman" w:cs="Times New Roman"/>
          <w:szCs w:val="21"/>
        </w:rPr>
        <w:t xml:space="preserve"> </w:t>
      </w:r>
      <w:r w:rsidRPr="004B22CD">
        <w:rPr>
          <w:rFonts w:ascii="Times New Roman" w:hAnsi="Times New Roman" w:cs="Times New Roman"/>
          <w:szCs w:val="21"/>
        </w:rPr>
        <w:t xml:space="preserve">(https://portal.gdc.com). Spearman’s correlation analysis was performed to </w:t>
      </w:r>
      <w:r w:rsidRPr="004B22CD">
        <w:rPr>
          <w:rFonts w:ascii="Times New Roman" w:eastAsia="等线" w:hAnsi="Times New Roman" w:cs="Times New Roman"/>
          <w:szCs w:val="21"/>
        </w:rPr>
        <w:t>determine</w:t>
      </w:r>
      <w:r w:rsidRPr="004B22CD">
        <w:rPr>
          <w:rFonts w:ascii="Times New Roman" w:hAnsi="Times New Roman" w:cs="Times New Roman"/>
          <w:szCs w:val="21"/>
        </w:rPr>
        <w:t xml:space="preserve"> the correlation between </w:t>
      </w:r>
      <w:r w:rsidRPr="004B22CD">
        <w:rPr>
          <w:rFonts w:ascii="Times New Roman" w:hAnsi="Times New Roman" w:cs="Times New Roman"/>
          <w:i/>
          <w:iCs/>
          <w:szCs w:val="21"/>
        </w:rPr>
        <w:t>FOLR2</w:t>
      </w:r>
      <w:r w:rsidRPr="004B22CD">
        <w:rPr>
          <w:rFonts w:ascii="Times New Roman" w:hAnsi="Times New Roman" w:cs="Times New Roman"/>
          <w:szCs w:val="21"/>
        </w:rPr>
        <w:t xml:space="preserve"> and other genes. The two-gene correlation analysis scatter plot was created using the R package </w:t>
      </w:r>
      <w:r w:rsidR="008E5588">
        <w:rPr>
          <w:rFonts w:ascii="Times New Roman" w:hAnsi="Times New Roman" w:cs="Times New Roman"/>
          <w:szCs w:val="21"/>
        </w:rPr>
        <w:t>“</w:t>
      </w:r>
      <w:r w:rsidRPr="004B22CD">
        <w:rPr>
          <w:rFonts w:ascii="Times New Roman" w:hAnsi="Times New Roman" w:cs="Times New Roman"/>
          <w:szCs w:val="21"/>
        </w:rPr>
        <w:t>ggstatsplot</w:t>
      </w:r>
      <w:r w:rsidR="008E5588">
        <w:rPr>
          <w:rFonts w:ascii="Times New Roman" w:hAnsi="Times New Roman" w:cs="Times New Roman"/>
          <w:szCs w:val="21"/>
        </w:rPr>
        <w:t>”</w:t>
      </w:r>
      <w:r w:rsidRPr="004B22CD">
        <w:rPr>
          <w:rFonts w:ascii="Times New Roman" w:hAnsi="Times New Roman" w:cs="Times New Roman"/>
          <w:szCs w:val="21"/>
        </w:rPr>
        <w:t xml:space="preserve">, </w:t>
      </w:r>
      <w:r w:rsidRPr="004B22CD">
        <w:rPr>
          <w:rFonts w:ascii="Times New Roman" w:eastAsia="等线" w:hAnsi="Times New Roman" w:cs="Times New Roman"/>
          <w:szCs w:val="21"/>
        </w:rPr>
        <w:t>whereas multigene</w:t>
      </w:r>
      <w:r w:rsidRPr="004B22CD">
        <w:rPr>
          <w:rFonts w:ascii="Times New Roman" w:hAnsi="Times New Roman" w:cs="Times New Roman"/>
          <w:szCs w:val="21"/>
        </w:rPr>
        <w:t xml:space="preserve"> correlations were visualized using a correlation diagonal heatmap created with the R package corrplot</w:t>
      </w:r>
      <w:r w:rsidR="008E5588" w:rsidRPr="008E5588">
        <w:rPr>
          <w:rFonts w:hint="eastAsia"/>
        </w:rPr>
        <w:t xml:space="preserve"> </w:t>
      </w:r>
      <w:r w:rsidR="008E5588" w:rsidRPr="008E5588">
        <w:rPr>
          <w:rFonts w:ascii="Times New Roman" w:hAnsi="Times New Roman" w:cs="Times New Roman" w:hint="eastAsia"/>
          <w:szCs w:val="21"/>
        </w:rPr>
        <w:t>(RRID:SCR_024683)</w:t>
      </w:r>
      <w:r w:rsidRPr="004B22CD">
        <w:rPr>
          <w:rFonts w:ascii="Times New Roman" w:hAnsi="Times New Roman" w:cs="Times New Roman"/>
          <w:szCs w:val="21"/>
        </w:rPr>
        <w:t>.</w:t>
      </w:r>
    </w:p>
    <w:p w14:paraId="68CF016F" w14:textId="77777777" w:rsidR="00CC62E1" w:rsidRPr="004B22CD" w:rsidRDefault="00CC62E1" w:rsidP="00DF7A0E">
      <w:pPr>
        <w:spacing w:line="480" w:lineRule="auto"/>
        <w:rPr>
          <w:rFonts w:ascii="Times New Roman" w:hAnsi="Times New Roman" w:cs="Times New Roman"/>
          <w:b/>
          <w:bCs/>
          <w:szCs w:val="21"/>
        </w:rPr>
      </w:pPr>
      <w:r w:rsidRPr="004B22CD">
        <w:rPr>
          <w:rFonts w:ascii="Times New Roman" w:hAnsi="Times New Roman" w:cs="Times New Roman"/>
          <w:b/>
          <w:bCs/>
          <w:szCs w:val="21"/>
        </w:rPr>
        <w:t>CIBERSORT Immune Infiltration Estimation</w:t>
      </w:r>
    </w:p>
    <w:p w14:paraId="6876F76F" w14:textId="7D2F1487" w:rsidR="00CC62E1" w:rsidRPr="003A09F8" w:rsidRDefault="00CC62E1" w:rsidP="00DF7A0E">
      <w:pPr>
        <w:spacing w:line="480" w:lineRule="auto"/>
        <w:rPr>
          <w:rFonts w:ascii="Times New Roman" w:hAnsi="Times New Roman" w:cs="Times New Roman"/>
          <w:szCs w:val="21"/>
        </w:rPr>
      </w:pPr>
      <w:r w:rsidRPr="004B22CD">
        <w:rPr>
          <w:rFonts w:ascii="Times New Roman" w:hAnsi="Times New Roman" w:cs="Times New Roman"/>
          <w:szCs w:val="21"/>
        </w:rPr>
        <w:t xml:space="preserve">The </w:t>
      </w:r>
      <w:r w:rsidRPr="004B22CD">
        <w:rPr>
          <w:rFonts w:ascii="Times New Roman" w:eastAsia="等线" w:hAnsi="Times New Roman" w:cs="Times New Roman"/>
          <w:szCs w:val="21"/>
        </w:rPr>
        <w:t>associations</w:t>
      </w:r>
      <w:r w:rsidRPr="004B22CD">
        <w:rPr>
          <w:rFonts w:ascii="Times New Roman" w:hAnsi="Times New Roman" w:cs="Times New Roman"/>
          <w:szCs w:val="21"/>
        </w:rPr>
        <w:t xml:space="preserve"> between immune infiltrates and gene expression </w:t>
      </w:r>
      <w:r w:rsidRPr="004B22CD">
        <w:rPr>
          <w:rFonts w:ascii="Times New Roman" w:eastAsia="等线" w:hAnsi="Times New Roman" w:cs="Times New Roman"/>
          <w:szCs w:val="21"/>
        </w:rPr>
        <w:t>were</w:t>
      </w:r>
      <w:r w:rsidRPr="004B22CD">
        <w:rPr>
          <w:rFonts w:ascii="Times New Roman" w:hAnsi="Times New Roman" w:cs="Times New Roman"/>
          <w:szCs w:val="21"/>
        </w:rPr>
        <w:t xml:space="preserve"> obtained from </w:t>
      </w:r>
      <w:r w:rsidRPr="004B22CD">
        <w:rPr>
          <w:rFonts w:ascii="Times New Roman" w:eastAsia="等线" w:hAnsi="Times New Roman" w:cs="Times New Roman"/>
          <w:szCs w:val="21"/>
        </w:rPr>
        <w:t>TIMER 2</w:t>
      </w:r>
      <w:r w:rsidRPr="004B22CD">
        <w:rPr>
          <w:rFonts w:ascii="Times New Roman" w:hAnsi="Times New Roman" w:cs="Times New Roman"/>
          <w:szCs w:val="21"/>
        </w:rPr>
        <w:t xml:space="preserve">.0 </w:t>
      </w:r>
      <w:r w:rsidR="008E5588" w:rsidRPr="008E5588">
        <w:rPr>
          <w:rFonts w:ascii="Times New Roman" w:hAnsi="Times New Roman" w:cs="Times New Roman" w:hint="eastAsia"/>
          <w:szCs w:val="21"/>
        </w:rPr>
        <w:t>(RRID:SCR_018737)</w:t>
      </w:r>
      <w:r w:rsidR="008E5588" w:rsidRPr="008E5588">
        <w:rPr>
          <w:rFonts w:ascii="Times New Roman" w:hAnsi="Times New Roman" w:cs="Times New Roman"/>
          <w:szCs w:val="21"/>
        </w:rPr>
        <w:t xml:space="preserve"> </w:t>
      </w:r>
      <w:r w:rsidRPr="004B22CD">
        <w:rPr>
          <w:rFonts w:ascii="Times New Roman" w:hAnsi="Times New Roman" w:cs="Times New Roman"/>
          <w:szCs w:val="21"/>
        </w:rPr>
        <w:t>(</w:t>
      </w:r>
      <w:hyperlink r:id="rId7" w:history="1">
        <w:r w:rsidRPr="00935B19">
          <w:rPr>
            <w:rStyle w:val="a7"/>
            <w:rFonts w:ascii="Times New Roman" w:hAnsi="Times New Roman" w:cs="Times New Roman"/>
            <w:szCs w:val="21"/>
            <w:shd w:val="clear" w:color="auto" w:fill="FFFFFF"/>
          </w:rPr>
          <w:t>http://timer.cistrome.org/</w:t>
        </w:r>
      </w:hyperlink>
      <w:r w:rsidRPr="004B22CD">
        <w:rPr>
          <w:rFonts w:ascii="Times New Roman" w:hAnsi="Times New Roman" w:cs="Times New Roman"/>
          <w:szCs w:val="21"/>
        </w:rPr>
        <w:t>)</w:t>
      </w:r>
      <w:r w:rsidR="00116AF7">
        <w:rPr>
          <w:rFonts w:ascii="Times New Roman" w:hAnsi="Times New Roman" w:cs="Times New Roman" w:hint="eastAsia"/>
          <w:szCs w:val="21"/>
        </w:rPr>
        <w:t xml:space="preserve"> [13]</w:t>
      </w:r>
      <w:r w:rsidRPr="004B22CD">
        <w:rPr>
          <w:rFonts w:ascii="Times New Roman" w:hAnsi="Times New Roman" w:cs="Times New Roman"/>
          <w:szCs w:val="21"/>
        </w:rPr>
        <w:t xml:space="preserve">. We investigated the relationship between </w:t>
      </w:r>
      <w:r w:rsidRPr="004B22CD">
        <w:rPr>
          <w:rFonts w:ascii="Times New Roman" w:hAnsi="Times New Roman" w:cs="Times New Roman"/>
          <w:i/>
          <w:iCs/>
          <w:szCs w:val="21"/>
        </w:rPr>
        <w:t>FOLR2</w:t>
      </w:r>
      <w:r w:rsidRPr="004B22CD">
        <w:rPr>
          <w:rFonts w:ascii="Times New Roman" w:hAnsi="Times New Roman" w:cs="Times New Roman"/>
          <w:szCs w:val="21"/>
        </w:rPr>
        <w:t xml:space="preserve"> gene expression and immune infiltrates across diverse cancer types.</w:t>
      </w:r>
    </w:p>
    <w:p w14:paraId="36FF3DAF" w14:textId="77777777" w:rsidR="00CC62E1" w:rsidRDefault="00CC62E1" w:rsidP="00DF7A0E">
      <w:pPr>
        <w:spacing w:line="480" w:lineRule="auto"/>
        <w:rPr>
          <w:rFonts w:ascii="Times New Roman" w:hAnsi="Times New Roman" w:cs="Times New Roman"/>
          <w:b/>
          <w:bCs/>
        </w:rPr>
      </w:pPr>
    </w:p>
    <w:p w14:paraId="78EE2CAD" w14:textId="77777777" w:rsidR="00CC62E1" w:rsidRDefault="00CC62E1" w:rsidP="00DF7A0E">
      <w:pPr>
        <w:spacing w:line="480" w:lineRule="auto"/>
        <w:rPr>
          <w:rFonts w:ascii="Times New Roman" w:hAnsi="Times New Roman" w:cs="Times New Roman"/>
          <w:b/>
          <w:bCs/>
        </w:rPr>
      </w:pPr>
      <w:r>
        <w:rPr>
          <w:rFonts w:ascii="Times New Roman" w:hAnsi="Times New Roman" w:cs="Times New Roman" w:hint="eastAsia"/>
          <w:b/>
          <w:bCs/>
        </w:rPr>
        <w:t>Reference</w:t>
      </w:r>
    </w:p>
    <w:p w14:paraId="6434DB56"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1.</w:t>
      </w:r>
      <w:r w:rsidRPr="0014243E">
        <w:rPr>
          <w:rFonts w:ascii="Times New Roman" w:hAnsi="Times New Roman" w:cs="Times New Roman"/>
          <w:sz w:val="21"/>
          <w:szCs w:val="21"/>
        </w:rPr>
        <w:tab/>
        <w:t xml:space="preserve">Dura B, Choi JY, Zhang K, et al. scFTD-seq: freeze-thaw lysis based, portable approach toward highly distributed single-cell 3' mRNA profiling. </w:t>
      </w:r>
      <w:r w:rsidRPr="00F91A85">
        <w:rPr>
          <w:rFonts w:ascii="Times New Roman" w:hAnsi="Times New Roman" w:cs="Times New Roman"/>
          <w:i/>
          <w:iCs/>
          <w:sz w:val="21"/>
          <w:szCs w:val="21"/>
        </w:rPr>
        <w:t xml:space="preserve">Nucleic Acids Res </w:t>
      </w:r>
      <w:r w:rsidRPr="0014243E">
        <w:rPr>
          <w:rFonts w:ascii="Times New Roman" w:hAnsi="Times New Roman" w:cs="Times New Roman"/>
          <w:sz w:val="21"/>
          <w:szCs w:val="21"/>
        </w:rPr>
        <w:t>2019;47:e16.</w:t>
      </w:r>
    </w:p>
    <w:p w14:paraId="5ACF610F"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lastRenderedPageBreak/>
        <w:t>2.</w:t>
      </w:r>
      <w:r w:rsidRPr="0014243E">
        <w:rPr>
          <w:rFonts w:ascii="Times New Roman" w:hAnsi="Times New Roman" w:cs="Times New Roman"/>
          <w:sz w:val="21"/>
          <w:szCs w:val="21"/>
        </w:rPr>
        <w:tab/>
        <w:t xml:space="preserve">Wolf FA, Angerer P, Theis FJ. SCANPY: large-scale single-cell gene expression data analysis. </w:t>
      </w:r>
      <w:r w:rsidRPr="00F91A85">
        <w:rPr>
          <w:rFonts w:ascii="Times New Roman" w:hAnsi="Times New Roman" w:cs="Times New Roman"/>
          <w:i/>
          <w:iCs/>
          <w:sz w:val="21"/>
          <w:szCs w:val="21"/>
        </w:rPr>
        <w:t>Genome Biol</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2018</w:t>
      </w:r>
      <w:r w:rsidRPr="0014243E">
        <w:rPr>
          <w:rFonts w:ascii="Times New Roman" w:hAnsi="Times New Roman" w:cs="Times New Roman"/>
          <w:sz w:val="21"/>
          <w:szCs w:val="21"/>
        </w:rPr>
        <w:t>;19:15.</w:t>
      </w:r>
    </w:p>
    <w:p w14:paraId="60CB6F16"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3.</w:t>
      </w:r>
      <w:r w:rsidRPr="0014243E">
        <w:rPr>
          <w:rFonts w:ascii="Times New Roman" w:hAnsi="Times New Roman" w:cs="Times New Roman"/>
          <w:sz w:val="21"/>
          <w:szCs w:val="21"/>
        </w:rPr>
        <w:tab/>
        <w:t xml:space="preserve">Tirosh I, Venteicher AS, Hebert C, et al. Single-cell RNA-seq supports a developmental hierarchy in human oligodendroglioma. </w:t>
      </w:r>
      <w:r w:rsidRPr="00F91A85">
        <w:rPr>
          <w:rFonts w:ascii="Times New Roman" w:hAnsi="Times New Roman" w:cs="Times New Roman"/>
          <w:i/>
          <w:iCs/>
          <w:sz w:val="21"/>
          <w:szCs w:val="21"/>
        </w:rPr>
        <w:t>Nature</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2016</w:t>
      </w:r>
      <w:r w:rsidRPr="0014243E">
        <w:rPr>
          <w:rFonts w:ascii="Times New Roman" w:hAnsi="Times New Roman" w:cs="Times New Roman"/>
          <w:sz w:val="21"/>
          <w:szCs w:val="21"/>
        </w:rPr>
        <w:t>;539:309-313.</w:t>
      </w:r>
    </w:p>
    <w:p w14:paraId="77719BBF"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4.</w:t>
      </w:r>
      <w:r w:rsidRPr="0014243E">
        <w:rPr>
          <w:rFonts w:ascii="Times New Roman" w:hAnsi="Times New Roman" w:cs="Times New Roman"/>
          <w:sz w:val="21"/>
          <w:szCs w:val="21"/>
        </w:rPr>
        <w:tab/>
        <w:t xml:space="preserve">Yu G, Wang LG, Han Y, et al. clusterProfiler: an R package for comparing biological themes among gene clusters. </w:t>
      </w:r>
      <w:r w:rsidRPr="00F91A85">
        <w:rPr>
          <w:rFonts w:ascii="Times New Roman" w:hAnsi="Times New Roman" w:cs="Times New Roman"/>
          <w:i/>
          <w:iCs/>
          <w:sz w:val="21"/>
          <w:szCs w:val="21"/>
        </w:rPr>
        <w:t xml:space="preserve">OMICS </w:t>
      </w:r>
      <w:r w:rsidRPr="00893500">
        <w:rPr>
          <w:rFonts w:ascii="Times New Roman" w:hAnsi="Times New Roman" w:cs="Times New Roman"/>
          <w:b/>
          <w:bCs/>
          <w:sz w:val="21"/>
          <w:szCs w:val="21"/>
        </w:rPr>
        <w:t>2012</w:t>
      </w:r>
      <w:r w:rsidRPr="0014243E">
        <w:rPr>
          <w:rFonts w:ascii="Times New Roman" w:hAnsi="Times New Roman" w:cs="Times New Roman"/>
          <w:sz w:val="21"/>
          <w:szCs w:val="21"/>
        </w:rPr>
        <w:t>;16:284-7.</w:t>
      </w:r>
    </w:p>
    <w:p w14:paraId="5C70D8C9"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5.</w:t>
      </w:r>
      <w:r w:rsidRPr="0014243E">
        <w:rPr>
          <w:rFonts w:ascii="Times New Roman" w:hAnsi="Times New Roman" w:cs="Times New Roman"/>
          <w:sz w:val="21"/>
          <w:szCs w:val="21"/>
        </w:rPr>
        <w:tab/>
        <w:t xml:space="preserve">Liberzon A, Birger C, Thorvaldsdottir H, et al. The Molecular Signatures Database (MSigDB) hallmark gene set collection. </w:t>
      </w:r>
      <w:r w:rsidRPr="00F91A85">
        <w:rPr>
          <w:rFonts w:ascii="Times New Roman" w:hAnsi="Times New Roman" w:cs="Times New Roman"/>
          <w:i/>
          <w:iCs/>
          <w:sz w:val="21"/>
          <w:szCs w:val="21"/>
        </w:rPr>
        <w:t>Cell Syst</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2015</w:t>
      </w:r>
      <w:r w:rsidRPr="0014243E">
        <w:rPr>
          <w:rFonts w:ascii="Times New Roman" w:hAnsi="Times New Roman" w:cs="Times New Roman"/>
          <w:sz w:val="21"/>
          <w:szCs w:val="21"/>
        </w:rPr>
        <w:t>;1:417-425.</w:t>
      </w:r>
    </w:p>
    <w:p w14:paraId="70396E29"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6.</w:t>
      </w:r>
      <w:r w:rsidRPr="0014243E">
        <w:rPr>
          <w:rFonts w:ascii="Times New Roman" w:hAnsi="Times New Roman" w:cs="Times New Roman"/>
          <w:sz w:val="21"/>
          <w:szCs w:val="21"/>
        </w:rPr>
        <w:tab/>
        <w:t xml:space="preserve">Hanzelmann S, Castelo R, Guinney J. GSVA: gene set variation analysis for microarray and RNA-seq data. </w:t>
      </w:r>
      <w:r w:rsidRPr="00F91A85">
        <w:rPr>
          <w:rFonts w:ascii="Times New Roman" w:hAnsi="Times New Roman" w:cs="Times New Roman"/>
          <w:i/>
          <w:iCs/>
          <w:sz w:val="21"/>
          <w:szCs w:val="21"/>
        </w:rPr>
        <w:t>BMC Bioinformatics</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2013</w:t>
      </w:r>
      <w:r w:rsidRPr="0014243E">
        <w:rPr>
          <w:rFonts w:ascii="Times New Roman" w:hAnsi="Times New Roman" w:cs="Times New Roman"/>
          <w:sz w:val="21"/>
          <w:szCs w:val="21"/>
        </w:rPr>
        <w:t>;14:7.</w:t>
      </w:r>
    </w:p>
    <w:p w14:paraId="6643FE3F"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7.</w:t>
      </w:r>
      <w:r w:rsidRPr="0014243E">
        <w:rPr>
          <w:rFonts w:ascii="Times New Roman" w:hAnsi="Times New Roman" w:cs="Times New Roman"/>
          <w:sz w:val="21"/>
          <w:szCs w:val="21"/>
        </w:rPr>
        <w:tab/>
        <w:t xml:space="preserve">Andreatta M, Carmona SJ. UCell: Robust and scalable single-cell gene signature scoring. </w:t>
      </w:r>
      <w:r w:rsidRPr="00F91A85">
        <w:rPr>
          <w:rFonts w:ascii="Times New Roman" w:hAnsi="Times New Roman" w:cs="Times New Roman"/>
          <w:i/>
          <w:iCs/>
          <w:sz w:val="21"/>
          <w:szCs w:val="21"/>
        </w:rPr>
        <w:t>Comput Struct Biotechnol J</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2021</w:t>
      </w:r>
      <w:r w:rsidRPr="0014243E">
        <w:rPr>
          <w:rFonts w:ascii="Times New Roman" w:hAnsi="Times New Roman" w:cs="Times New Roman"/>
          <w:sz w:val="21"/>
          <w:szCs w:val="21"/>
        </w:rPr>
        <w:t>;19:3796-3798.</w:t>
      </w:r>
    </w:p>
    <w:p w14:paraId="597DB1B1"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8.</w:t>
      </w:r>
      <w:r w:rsidRPr="0014243E">
        <w:rPr>
          <w:rFonts w:ascii="Times New Roman" w:hAnsi="Times New Roman" w:cs="Times New Roman"/>
          <w:sz w:val="21"/>
          <w:szCs w:val="21"/>
        </w:rPr>
        <w:tab/>
        <w:t>Van de Sande B, Flerin C, Davie K, et al. A scalable SCENIC workflow for single-cell gene regulatory network analysis.</w:t>
      </w:r>
      <w:r w:rsidRPr="00F91A85">
        <w:rPr>
          <w:rFonts w:ascii="Times New Roman" w:hAnsi="Times New Roman" w:cs="Times New Roman"/>
          <w:i/>
          <w:iCs/>
          <w:sz w:val="21"/>
          <w:szCs w:val="21"/>
        </w:rPr>
        <w:t xml:space="preserve"> Nat Protoc </w:t>
      </w:r>
      <w:r w:rsidRPr="00893500">
        <w:rPr>
          <w:rFonts w:ascii="Times New Roman" w:hAnsi="Times New Roman" w:cs="Times New Roman"/>
          <w:b/>
          <w:bCs/>
          <w:sz w:val="21"/>
          <w:szCs w:val="21"/>
        </w:rPr>
        <w:t>2020</w:t>
      </w:r>
      <w:r w:rsidRPr="0014243E">
        <w:rPr>
          <w:rFonts w:ascii="Times New Roman" w:hAnsi="Times New Roman" w:cs="Times New Roman"/>
          <w:sz w:val="21"/>
          <w:szCs w:val="21"/>
        </w:rPr>
        <w:t>;15:2247-2276.</w:t>
      </w:r>
    </w:p>
    <w:p w14:paraId="4616C857"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9.</w:t>
      </w:r>
      <w:r w:rsidRPr="0014243E">
        <w:rPr>
          <w:rFonts w:ascii="Times New Roman" w:hAnsi="Times New Roman" w:cs="Times New Roman"/>
          <w:sz w:val="21"/>
          <w:szCs w:val="21"/>
        </w:rPr>
        <w:tab/>
        <w:t xml:space="preserve">Browaeys R, Saelens W, Saeys Y. NicheNet: modeling intercellular communication by linking ligands to target genes. </w:t>
      </w:r>
      <w:r w:rsidRPr="00F91A85">
        <w:rPr>
          <w:rFonts w:ascii="Times New Roman" w:hAnsi="Times New Roman" w:cs="Times New Roman"/>
          <w:i/>
          <w:iCs/>
          <w:sz w:val="21"/>
          <w:szCs w:val="21"/>
        </w:rPr>
        <w:t>Nat Methods</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2020</w:t>
      </w:r>
      <w:r w:rsidRPr="0014243E">
        <w:rPr>
          <w:rFonts w:ascii="Times New Roman" w:hAnsi="Times New Roman" w:cs="Times New Roman"/>
          <w:sz w:val="21"/>
          <w:szCs w:val="21"/>
        </w:rPr>
        <w:t>;17:159-162.</w:t>
      </w:r>
    </w:p>
    <w:p w14:paraId="731080CD"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10.</w:t>
      </w:r>
      <w:r w:rsidRPr="0014243E">
        <w:rPr>
          <w:rFonts w:ascii="Times New Roman" w:hAnsi="Times New Roman" w:cs="Times New Roman"/>
          <w:sz w:val="21"/>
          <w:szCs w:val="21"/>
        </w:rPr>
        <w:tab/>
        <w:t xml:space="preserve">Efremova M, Vento-Tormo M, Teichmann SA, et al. CellPhoneDB: inferring cell-cell communication from combined expression of multi-subunit ligand-receptor complexes. </w:t>
      </w:r>
      <w:r w:rsidRPr="00F91A85">
        <w:rPr>
          <w:rFonts w:ascii="Times New Roman" w:hAnsi="Times New Roman" w:cs="Times New Roman"/>
          <w:i/>
          <w:iCs/>
          <w:sz w:val="21"/>
          <w:szCs w:val="21"/>
        </w:rPr>
        <w:t xml:space="preserve">Nat Protoc </w:t>
      </w:r>
      <w:r w:rsidRPr="00893500">
        <w:rPr>
          <w:rFonts w:ascii="Times New Roman" w:hAnsi="Times New Roman" w:cs="Times New Roman"/>
          <w:b/>
          <w:bCs/>
          <w:sz w:val="21"/>
          <w:szCs w:val="21"/>
        </w:rPr>
        <w:t>2020</w:t>
      </w:r>
      <w:r w:rsidRPr="0014243E">
        <w:rPr>
          <w:rFonts w:ascii="Times New Roman" w:hAnsi="Times New Roman" w:cs="Times New Roman"/>
          <w:sz w:val="21"/>
          <w:szCs w:val="21"/>
        </w:rPr>
        <w:t>;15:1484-1506.</w:t>
      </w:r>
    </w:p>
    <w:p w14:paraId="5B2A3873"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11.</w:t>
      </w:r>
      <w:r w:rsidRPr="0014243E">
        <w:rPr>
          <w:rFonts w:ascii="Times New Roman" w:hAnsi="Times New Roman" w:cs="Times New Roman"/>
          <w:sz w:val="21"/>
          <w:szCs w:val="21"/>
        </w:rPr>
        <w:tab/>
        <w:t xml:space="preserve">Wu Y, Yang S, Ma J, et al. Spatiotemporal Immune Landscape of Colorectal Cancer Liver Metastasis at Single-Cell Level. </w:t>
      </w:r>
      <w:r w:rsidRPr="00F91A85">
        <w:rPr>
          <w:rFonts w:ascii="Times New Roman" w:hAnsi="Times New Roman" w:cs="Times New Roman"/>
          <w:i/>
          <w:iCs/>
          <w:sz w:val="21"/>
          <w:szCs w:val="21"/>
        </w:rPr>
        <w:t xml:space="preserve">Cancer Discov </w:t>
      </w:r>
      <w:r w:rsidRPr="00893500">
        <w:rPr>
          <w:rFonts w:ascii="Times New Roman" w:hAnsi="Times New Roman" w:cs="Times New Roman"/>
          <w:b/>
          <w:bCs/>
          <w:sz w:val="21"/>
          <w:szCs w:val="21"/>
        </w:rPr>
        <w:t>2022</w:t>
      </w:r>
      <w:r w:rsidRPr="0014243E">
        <w:rPr>
          <w:rFonts w:ascii="Times New Roman" w:hAnsi="Times New Roman" w:cs="Times New Roman"/>
          <w:sz w:val="21"/>
          <w:szCs w:val="21"/>
        </w:rPr>
        <w:t>;12:134-153.</w:t>
      </w:r>
    </w:p>
    <w:p w14:paraId="7DC476E7"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12.</w:t>
      </w:r>
      <w:r w:rsidRPr="0014243E">
        <w:rPr>
          <w:rFonts w:ascii="Times New Roman" w:hAnsi="Times New Roman" w:cs="Times New Roman"/>
          <w:sz w:val="21"/>
          <w:szCs w:val="21"/>
        </w:rPr>
        <w:tab/>
        <w:t xml:space="preserve">Gyorffy B. Integrated analysis of public datasets for the discovery and validation of </w:t>
      </w:r>
      <w:r w:rsidRPr="0014243E">
        <w:rPr>
          <w:rFonts w:ascii="Times New Roman" w:hAnsi="Times New Roman" w:cs="Times New Roman"/>
          <w:sz w:val="21"/>
          <w:szCs w:val="21"/>
        </w:rPr>
        <w:lastRenderedPageBreak/>
        <w:t xml:space="preserve">survival-associated genes in solid tumors. </w:t>
      </w:r>
      <w:r w:rsidRPr="00F91A85">
        <w:rPr>
          <w:rFonts w:ascii="Times New Roman" w:hAnsi="Times New Roman" w:cs="Times New Roman"/>
          <w:i/>
          <w:iCs/>
          <w:sz w:val="21"/>
          <w:szCs w:val="21"/>
        </w:rPr>
        <w:t>Innovation (Camb)</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2024</w:t>
      </w:r>
      <w:r w:rsidRPr="0014243E">
        <w:rPr>
          <w:rFonts w:ascii="Times New Roman" w:hAnsi="Times New Roman" w:cs="Times New Roman"/>
          <w:sz w:val="21"/>
          <w:szCs w:val="21"/>
        </w:rPr>
        <w:t>;5:100625.</w:t>
      </w:r>
    </w:p>
    <w:p w14:paraId="75128808" w14:textId="77777777" w:rsidR="00CC62E1" w:rsidRPr="0014243E" w:rsidRDefault="00CC62E1" w:rsidP="00DF7A0E">
      <w:pPr>
        <w:pStyle w:val="EndNoteBibliography"/>
        <w:spacing w:line="480" w:lineRule="auto"/>
        <w:ind w:left="720" w:hanging="720"/>
        <w:rPr>
          <w:rFonts w:ascii="Times New Roman" w:hAnsi="Times New Roman" w:cs="Times New Roman"/>
          <w:sz w:val="21"/>
          <w:szCs w:val="21"/>
        </w:rPr>
      </w:pPr>
      <w:r w:rsidRPr="0014243E">
        <w:rPr>
          <w:rFonts w:ascii="Times New Roman" w:hAnsi="Times New Roman" w:cs="Times New Roman"/>
          <w:sz w:val="21"/>
          <w:szCs w:val="21"/>
        </w:rPr>
        <w:t>13.</w:t>
      </w:r>
      <w:r w:rsidRPr="0014243E">
        <w:rPr>
          <w:rFonts w:ascii="Times New Roman" w:hAnsi="Times New Roman" w:cs="Times New Roman"/>
          <w:sz w:val="21"/>
          <w:szCs w:val="21"/>
        </w:rPr>
        <w:tab/>
        <w:t xml:space="preserve">Li T, Fu J, Zeng Z, et al. TIMER2.0 for analysis of tumor-infiltrating immune cells. </w:t>
      </w:r>
      <w:r w:rsidRPr="00F91A85">
        <w:rPr>
          <w:rFonts w:ascii="Times New Roman" w:hAnsi="Times New Roman" w:cs="Times New Roman"/>
          <w:i/>
          <w:iCs/>
          <w:sz w:val="21"/>
          <w:szCs w:val="21"/>
        </w:rPr>
        <w:t>Nucleic Acids Res</w:t>
      </w:r>
      <w:r w:rsidRPr="0014243E">
        <w:rPr>
          <w:rFonts w:ascii="Times New Roman" w:hAnsi="Times New Roman" w:cs="Times New Roman"/>
          <w:sz w:val="21"/>
          <w:szCs w:val="21"/>
        </w:rPr>
        <w:t xml:space="preserve"> </w:t>
      </w:r>
      <w:r w:rsidRPr="00893500">
        <w:rPr>
          <w:rFonts w:ascii="Times New Roman" w:hAnsi="Times New Roman" w:cs="Times New Roman"/>
          <w:b/>
          <w:bCs/>
          <w:sz w:val="21"/>
          <w:szCs w:val="21"/>
        </w:rPr>
        <w:t>2020</w:t>
      </w:r>
      <w:r w:rsidRPr="0014243E">
        <w:rPr>
          <w:rFonts w:ascii="Times New Roman" w:hAnsi="Times New Roman" w:cs="Times New Roman"/>
          <w:sz w:val="21"/>
          <w:szCs w:val="21"/>
        </w:rPr>
        <w:t>;48:W509-W514.</w:t>
      </w:r>
    </w:p>
    <w:p w14:paraId="62F98E85" w14:textId="77777777" w:rsidR="00CC62E1" w:rsidRPr="00484B08" w:rsidRDefault="00CC62E1" w:rsidP="00DF7A0E">
      <w:pPr>
        <w:spacing w:line="480" w:lineRule="auto"/>
        <w:rPr>
          <w:rFonts w:ascii="Times New Roman" w:hAnsi="Times New Roman" w:cs="Times New Roman"/>
          <w:b/>
          <w:bCs/>
        </w:rPr>
      </w:pPr>
    </w:p>
    <w:p w14:paraId="1ADD68A6" w14:textId="77777777" w:rsidR="00330F5C" w:rsidRDefault="00330F5C" w:rsidP="00DF7A0E">
      <w:pPr>
        <w:spacing w:line="480" w:lineRule="auto"/>
        <w:rPr>
          <w:rFonts w:hint="eastAsia"/>
        </w:rPr>
      </w:pPr>
    </w:p>
    <w:sectPr w:rsidR="00330F5C" w:rsidSect="00DF7A0E">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5A0E4" w14:textId="77777777" w:rsidR="00F62C51" w:rsidRDefault="00F62C51" w:rsidP="005408CA">
      <w:pPr>
        <w:rPr>
          <w:rFonts w:hint="eastAsia"/>
        </w:rPr>
      </w:pPr>
      <w:r>
        <w:separator/>
      </w:r>
    </w:p>
  </w:endnote>
  <w:endnote w:type="continuationSeparator" w:id="0">
    <w:p w14:paraId="348BA2EF" w14:textId="77777777" w:rsidR="00F62C51" w:rsidRDefault="00F62C51" w:rsidP="005408C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48C8B3" w14:textId="77777777" w:rsidR="00F62C51" w:rsidRDefault="00F62C51" w:rsidP="005408CA">
      <w:pPr>
        <w:rPr>
          <w:rFonts w:hint="eastAsia"/>
        </w:rPr>
      </w:pPr>
      <w:r>
        <w:separator/>
      </w:r>
    </w:p>
  </w:footnote>
  <w:footnote w:type="continuationSeparator" w:id="0">
    <w:p w14:paraId="68C17C42" w14:textId="77777777" w:rsidR="00F62C51" w:rsidRDefault="00F62C51" w:rsidP="005408CA">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CC62E1"/>
    <w:rsid w:val="000232A2"/>
    <w:rsid w:val="000F4D71"/>
    <w:rsid w:val="00116125"/>
    <w:rsid w:val="00116AF7"/>
    <w:rsid w:val="00164793"/>
    <w:rsid w:val="001A582A"/>
    <w:rsid w:val="00203718"/>
    <w:rsid w:val="00330F5C"/>
    <w:rsid w:val="0034444B"/>
    <w:rsid w:val="003663B5"/>
    <w:rsid w:val="003A2B73"/>
    <w:rsid w:val="003B38DE"/>
    <w:rsid w:val="00451475"/>
    <w:rsid w:val="005408CA"/>
    <w:rsid w:val="006123BD"/>
    <w:rsid w:val="00650440"/>
    <w:rsid w:val="006C57A4"/>
    <w:rsid w:val="00720B56"/>
    <w:rsid w:val="00737044"/>
    <w:rsid w:val="0076613D"/>
    <w:rsid w:val="0078568B"/>
    <w:rsid w:val="00791609"/>
    <w:rsid w:val="0079781C"/>
    <w:rsid w:val="0082153C"/>
    <w:rsid w:val="00893500"/>
    <w:rsid w:val="008E5588"/>
    <w:rsid w:val="009115CB"/>
    <w:rsid w:val="009A1913"/>
    <w:rsid w:val="00A51B01"/>
    <w:rsid w:val="00AE59FC"/>
    <w:rsid w:val="00B87CB6"/>
    <w:rsid w:val="00CC62E1"/>
    <w:rsid w:val="00DF3110"/>
    <w:rsid w:val="00DF7A0E"/>
    <w:rsid w:val="00E528ED"/>
    <w:rsid w:val="00E57407"/>
    <w:rsid w:val="00EC4E41"/>
    <w:rsid w:val="00F01531"/>
    <w:rsid w:val="00F62C51"/>
    <w:rsid w:val="00F91A85"/>
    <w:rsid w:val="00FB4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6D033"/>
  <w15:chartTrackingRefBased/>
  <w15:docId w15:val="{A837D8F8-9F9E-40D6-8187-37BAE487D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62E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right2s-h4">
    <w:name w:val="content-right_2s-h4"/>
    <w:basedOn w:val="a0"/>
    <w:rsid w:val="00CC62E1"/>
  </w:style>
  <w:style w:type="paragraph" w:styleId="a3">
    <w:name w:val="header"/>
    <w:basedOn w:val="a"/>
    <w:link w:val="a4"/>
    <w:uiPriority w:val="99"/>
    <w:unhideWhenUsed/>
    <w:rsid w:val="00CC62E1"/>
    <w:pPr>
      <w:tabs>
        <w:tab w:val="center" w:pos="4153"/>
        <w:tab w:val="right" w:pos="8306"/>
      </w:tabs>
      <w:snapToGrid w:val="0"/>
      <w:jc w:val="center"/>
    </w:pPr>
    <w:rPr>
      <w:sz w:val="18"/>
      <w:szCs w:val="18"/>
    </w:rPr>
  </w:style>
  <w:style w:type="character" w:customStyle="1" w:styleId="a4">
    <w:name w:val="页眉 字符"/>
    <w:basedOn w:val="a0"/>
    <w:link w:val="a3"/>
    <w:uiPriority w:val="99"/>
    <w:rsid w:val="00CC62E1"/>
    <w:rPr>
      <w:sz w:val="18"/>
      <w:szCs w:val="18"/>
    </w:rPr>
  </w:style>
  <w:style w:type="paragraph" w:styleId="a5">
    <w:name w:val="footer"/>
    <w:basedOn w:val="a"/>
    <w:link w:val="a6"/>
    <w:uiPriority w:val="99"/>
    <w:unhideWhenUsed/>
    <w:rsid w:val="00CC62E1"/>
    <w:pPr>
      <w:tabs>
        <w:tab w:val="center" w:pos="4153"/>
        <w:tab w:val="right" w:pos="8306"/>
      </w:tabs>
      <w:snapToGrid w:val="0"/>
      <w:jc w:val="left"/>
    </w:pPr>
    <w:rPr>
      <w:sz w:val="18"/>
      <w:szCs w:val="18"/>
    </w:rPr>
  </w:style>
  <w:style w:type="character" w:customStyle="1" w:styleId="a6">
    <w:name w:val="页脚 字符"/>
    <w:basedOn w:val="a0"/>
    <w:link w:val="a5"/>
    <w:uiPriority w:val="99"/>
    <w:rsid w:val="00CC62E1"/>
    <w:rPr>
      <w:sz w:val="18"/>
      <w:szCs w:val="18"/>
    </w:rPr>
  </w:style>
  <w:style w:type="character" w:styleId="a7">
    <w:name w:val="Hyperlink"/>
    <w:basedOn w:val="a0"/>
    <w:uiPriority w:val="99"/>
    <w:unhideWhenUsed/>
    <w:rsid w:val="00CC62E1"/>
    <w:rPr>
      <w:color w:val="0563C1" w:themeColor="hyperlink"/>
      <w:u w:val="single"/>
    </w:rPr>
  </w:style>
  <w:style w:type="character" w:styleId="a8">
    <w:name w:val="Unresolved Mention"/>
    <w:basedOn w:val="a0"/>
    <w:uiPriority w:val="99"/>
    <w:semiHidden/>
    <w:unhideWhenUsed/>
    <w:rsid w:val="00CC62E1"/>
    <w:rPr>
      <w:color w:val="605E5C"/>
      <w:shd w:val="clear" w:color="auto" w:fill="E1DFDD"/>
    </w:rPr>
  </w:style>
  <w:style w:type="paragraph" w:customStyle="1" w:styleId="EndNoteBibliographyTitle">
    <w:name w:val="EndNote Bibliography Title"/>
    <w:basedOn w:val="a"/>
    <w:link w:val="EndNoteBibliographyTitle0"/>
    <w:rsid w:val="00CC62E1"/>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CC62E1"/>
    <w:rPr>
      <w:rFonts w:ascii="等线" w:eastAsia="等线" w:hAnsi="等线"/>
      <w:noProof/>
      <w:sz w:val="20"/>
    </w:rPr>
  </w:style>
  <w:style w:type="paragraph" w:customStyle="1" w:styleId="EndNoteBibliography">
    <w:name w:val="EndNote Bibliography"/>
    <w:basedOn w:val="a"/>
    <w:link w:val="EndNoteBibliography0"/>
    <w:rsid w:val="00CC62E1"/>
    <w:rPr>
      <w:rFonts w:ascii="等线" w:eastAsia="等线" w:hAnsi="等线"/>
      <w:noProof/>
      <w:sz w:val="20"/>
    </w:rPr>
  </w:style>
  <w:style w:type="character" w:customStyle="1" w:styleId="EndNoteBibliography0">
    <w:name w:val="EndNote Bibliography 字符"/>
    <w:basedOn w:val="a0"/>
    <w:link w:val="EndNoteBibliography"/>
    <w:rsid w:val="00CC62E1"/>
    <w:rPr>
      <w:rFonts w:ascii="等线" w:eastAsia="等线" w:hAnsi="等线"/>
      <w:noProof/>
      <w:sz w:val="20"/>
    </w:rPr>
  </w:style>
  <w:style w:type="character" w:styleId="a9">
    <w:name w:val="line number"/>
    <w:basedOn w:val="a0"/>
    <w:uiPriority w:val="99"/>
    <w:semiHidden/>
    <w:unhideWhenUsed/>
    <w:rsid w:val="00DF7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006694">
      <w:bodyDiv w:val="1"/>
      <w:marLeft w:val="0"/>
      <w:marRight w:val="0"/>
      <w:marTop w:val="0"/>
      <w:marBottom w:val="0"/>
      <w:divBdr>
        <w:top w:val="none" w:sz="0" w:space="0" w:color="auto"/>
        <w:left w:val="none" w:sz="0" w:space="0" w:color="auto"/>
        <w:bottom w:val="none" w:sz="0" w:space="0" w:color="auto"/>
        <w:right w:val="none" w:sz="0" w:space="0" w:color="auto"/>
      </w:divBdr>
    </w:div>
    <w:div w:id="81024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timer.cistrom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mplot.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8</Pages>
  <Words>1853</Words>
  <Characters>10566</Characters>
  <Application>Microsoft Office Word</Application>
  <DocSecurity>0</DocSecurity>
  <Lines>88</Lines>
  <Paragraphs>24</Paragraphs>
  <ScaleCrop>false</ScaleCrop>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雨欣 何</dc:creator>
  <cp:keywords/>
  <dc:description/>
  <cp:lastModifiedBy>雨欣 何</cp:lastModifiedBy>
  <cp:revision>26</cp:revision>
  <dcterms:created xsi:type="dcterms:W3CDTF">2024-09-06T04:11:00Z</dcterms:created>
  <dcterms:modified xsi:type="dcterms:W3CDTF">2024-10-23T14:53:00Z</dcterms:modified>
</cp:coreProperties>
</file>