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1FDD2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4"/>
          <w:u w:val="none"/>
        </w:rPr>
      </w:pPr>
    </w:p>
    <w:p w14:paraId="69BB4172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4"/>
          <w:u w:val="none"/>
        </w:rPr>
      </w:pPr>
    </w:p>
    <w:p w14:paraId="2E27FE70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4"/>
          <w:u w:val="none"/>
        </w:rPr>
      </w:pPr>
    </w:p>
    <w:p w14:paraId="482FF2AE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4"/>
          <w:u w:val="none"/>
        </w:rPr>
      </w:pPr>
    </w:p>
    <w:p w14:paraId="043F524C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4"/>
          <w:u w:val="none"/>
        </w:rPr>
      </w:pPr>
    </w:p>
    <w:p w14:paraId="4DB30AE8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4"/>
          <w:u w:val="none"/>
        </w:rPr>
      </w:pPr>
    </w:p>
    <w:p w14:paraId="1DF654FD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4"/>
          <w:u w:val="none"/>
        </w:rPr>
      </w:pPr>
    </w:p>
    <w:p w14:paraId="3164E2A6">
      <w:pPr>
        <w:spacing w:line="480" w:lineRule="auto"/>
        <w:jc w:val="center"/>
        <w:rPr>
          <w:rFonts w:hint="default" w:ascii="Arial" w:hAnsi="Arial" w:cs="Arial" w:eastAsiaTheme="minorEastAsia"/>
          <w:b w:val="0"/>
          <w:bCs/>
          <w:sz w:val="24"/>
          <w:szCs w:val="24"/>
          <w:u w:val="none"/>
          <w:lang w:val="en-US" w:eastAsia="zh-CN"/>
        </w:rPr>
      </w:pPr>
      <w:r>
        <w:rPr>
          <w:rFonts w:hint="default" w:ascii="Arial" w:hAnsi="Arial" w:cs="Arial"/>
          <w:b w:val="0"/>
          <w:bCs/>
          <w:sz w:val="24"/>
          <w:szCs w:val="24"/>
          <w:u w:val="none"/>
        </w:rPr>
        <w:t xml:space="preserve">Supplementary </w:t>
      </w:r>
      <w:r>
        <w:rPr>
          <w:rFonts w:hint="default" w:ascii="Arial" w:hAnsi="Arial" w:cs="Arial"/>
          <w:b w:val="0"/>
          <w:bCs/>
          <w:sz w:val="24"/>
          <w:szCs w:val="24"/>
          <w:u w:val="none"/>
          <w:lang w:val="en-US" w:eastAsia="zh-CN"/>
        </w:rPr>
        <w:t>data to</w:t>
      </w:r>
    </w:p>
    <w:p w14:paraId="71FC866A">
      <w:pPr>
        <w:spacing w:line="480" w:lineRule="auto"/>
        <w:jc w:val="center"/>
        <w:rPr>
          <w:rFonts w:hint="default" w:ascii="Arial" w:hAnsi="Arial" w:cs="Arial"/>
          <w:b/>
          <w:bCs w:val="0"/>
          <w:sz w:val="24"/>
        </w:rPr>
      </w:pPr>
      <w:r>
        <w:rPr>
          <w:rFonts w:hint="default" w:ascii="Arial" w:hAnsi="Arial" w:cs="Arial"/>
          <w:b/>
          <w:bCs w:val="0"/>
          <w:sz w:val="24"/>
        </w:rPr>
        <w:t xml:space="preserve">NONO interacts with </w:t>
      </w:r>
      <w:r>
        <w:rPr>
          <w:rFonts w:hint="default" w:ascii="Arial" w:hAnsi="Arial" w:cs="Arial"/>
          <w:b/>
          <w:bCs w:val="0"/>
          <w:sz w:val="24"/>
          <w:lang w:val="en-US" w:eastAsia="zh-CN"/>
        </w:rPr>
        <w:t xml:space="preserve">nuclear </w:t>
      </w:r>
      <w:r>
        <w:rPr>
          <w:rFonts w:hint="default" w:ascii="Arial" w:hAnsi="Arial" w:cs="Arial"/>
          <w:b/>
          <w:bCs w:val="0"/>
          <w:sz w:val="24"/>
        </w:rPr>
        <w:t>PKM2 and directs histone H3 phosphorylation to promote triple-negative breast cancer metastasis</w:t>
      </w:r>
    </w:p>
    <w:p w14:paraId="58A496D8">
      <w:pPr>
        <w:spacing w:line="480" w:lineRule="auto"/>
        <w:jc w:val="center"/>
        <w:rPr>
          <w:rFonts w:hint="default" w:ascii="Times New Roman" w:hAnsi="Times New Roman" w:cs="Times New Roman"/>
          <w:bCs/>
          <w:sz w:val="24"/>
        </w:rPr>
      </w:pPr>
    </w:p>
    <w:p w14:paraId="122F16D3">
      <w:pPr>
        <w:spacing w:line="480" w:lineRule="auto"/>
        <w:jc w:val="center"/>
        <w:rPr>
          <w:rFonts w:hint="default" w:ascii="Times New Roman" w:hAnsi="Times New Roman" w:cs="Times New Roman"/>
          <w:bCs/>
          <w:sz w:val="24"/>
        </w:rPr>
      </w:pPr>
    </w:p>
    <w:p w14:paraId="4ECE244B">
      <w:pPr>
        <w:spacing w:line="480" w:lineRule="auto"/>
        <w:jc w:val="center"/>
        <w:rPr>
          <w:rFonts w:hint="default" w:ascii="Times New Roman" w:hAnsi="Times New Roman" w:cs="Times New Roman"/>
          <w:bCs/>
          <w:sz w:val="24"/>
        </w:rPr>
      </w:pPr>
    </w:p>
    <w:p w14:paraId="59C9D02F">
      <w:pPr>
        <w:spacing w:line="480" w:lineRule="auto"/>
        <w:jc w:val="center"/>
        <w:rPr>
          <w:rFonts w:hint="default" w:ascii="Times New Roman" w:hAnsi="Times New Roman" w:cs="Times New Roman"/>
          <w:bCs/>
          <w:sz w:val="24"/>
        </w:rPr>
      </w:pPr>
    </w:p>
    <w:p w14:paraId="31A48314">
      <w:pPr>
        <w:spacing w:line="480" w:lineRule="auto"/>
        <w:jc w:val="center"/>
        <w:rPr>
          <w:rFonts w:hint="default" w:ascii="Times New Roman" w:hAnsi="Times New Roman" w:cs="Times New Roman"/>
          <w:bCs/>
          <w:sz w:val="24"/>
        </w:rPr>
      </w:pPr>
    </w:p>
    <w:p w14:paraId="74C5CE90">
      <w:pPr>
        <w:spacing w:line="480" w:lineRule="auto"/>
        <w:jc w:val="center"/>
        <w:rPr>
          <w:rFonts w:hint="default" w:ascii="Times New Roman" w:hAnsi="Times New Roman" w:cs="Times New Roman"/>
          <w:bCs/>
          <w:sz w:val="24"/>
        </w:rPr>
      </w:pPr>
    </w:p>
    <w:p w14:paraId="2BE613B6">
      <w:pPr>
        <w:spacing w:line="480" w:lineRule="auto"/>
        <w:jc w:val="center"/>
        <w:rPr>
          <w:rFonts w:hint="default" w:ascii="Times New Roman" w:hAnsi="Times New Roman" w:cs="Times New Roman"/>
          <w:bCs/>
          <w:sz w:val="24"/>
        </w:rPr>
      </w:pPr>
    </w:p>
    <w:p w14:paraId="451EA771">
      <w:pPr>
        <w:spacing w:line="480" w:lineRule="auto"/>
        <w:jc w:val="center"/>
        <w:rPr>
          <w:rFonts w:hint="default" w:ascii="Times New Roman" w:hAnsi="Times New Roman" w:cs="Times New Roman"/>
          <w:bCs/>
          <w:sz w:val="24"/>
        </w:rPr>
      </w:pPr>
    </w:p>
    <w:p w14:paraId="7BAC82ED">
      <w:pPr>
        <w:spacing w:line="480" w:lineRule="auto"/>
        <w:jc w:val="center"/>
        <w:rPr>
          <w:rFonts w:hint="default" w:ascii="Times New Roman" w:hAnsi="Times New Roman" w:cs="Times New Roman"/>
          <w:bCs/>
          <w:sz w:val="24"/>
        </w:rPr>
      </w:pPr>
    </w:p>
    <w:p w14:paraId="112FA6A8">
      <w:pPr>
        <w:spacing w:line="480" w:lineRule="auto"/>
        <w:jc w:val="both"/>
        <w:rPr>
          <w:rFonts w:hint="default" w:ascii="Times New Roman" w:hAnsi="Times New Roman" w:cs="Times New Roman"/>
          <w:bCs/>
          <w:sz w:val="24"/>
        </w:rPr>
      </w:pPr>
    </w:p>
    <w:p w14:paraId="04622F65">
      <w:pPr>
        <w:spacing w:line="480" w:lineRule="auto"/>
        <w:jc w:val="both"/>
        <w:rPr>
          <w:rFonts w:hint="default" w:ascii="Times New Roman" w:hAnsi="Times New Roman" w:cs="Times New Roman"/>
          <w:bCs/>
          <w:sz w:val="24"/>
        </w:rPr>
      </w:pPr>
    </w:p>
    <w:p w14:paraId="4497FD62">
      <w:pPr>
        <w:spacing w:line="480" w:lineRule="auto"/>
        <w:jc w:val="both"/>
        <w:rPr>
          <w:rFonts w:hint="default" w:ascii="Times New Roman" w:hAnsi="Times New Roman" w:cs="Times New Roman"/>
          <w:bCs/>
          <w:sz w:val="24"/>
        </w:rPr>
      </w:pPr>
    </w:p>
    <w:p w14:paraId="0A255B8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>
        <w:drawing>
          <wp:inline distT="0" distB="0" distL="0" distR="0">
            <wp:extent cx="2757805" cy="1310005"/>
            <wp:effectExtent l="0" t="0" r="4445" b="4445"/>
            <wp:docPr id="12109968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996836" name="图片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57805" cy="131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132A1">
      <w:pPr>
        <w:spacing w:line="480" w:lineRule="auto"/>
        <w:rPr>
          <w:rFonts w:hint="default" w:ascii="Arial" w:hAnsi="Arial" w:cs="Arial"/>
          <w:sz w:val="21"/>
          <w:szCs w:val="21"/>
        </w:rPr>
      </w:pPr>
      <w:bookmarkStart w:id="0" w:name="OLE_LINK1"/>
      <w:r>
        <w:rPr>
          <w:rFonts w:hint="default" w:ascii="Arial" w:hAnsi="Arial" w:cs="Arial"/>
          <w:b/>
          <w:sz w:val="21"/>
          <w:szCs w:val="21"/>
        </w:rPr>
        <w:t xml:space="preserve">Figure </w:t>
      </w:r>
      <w:r>
        <w:rPr>
          <w:rFonts w:hint="default" w:ascii="Arial" w:hAnsi="Arial" w:cs="Arial"/>
          <w:b/>
          <w:sz w:val="21"/>
          <w:szCs w:val="21"/>
          <w:lang w:val="en-US" w:eastAsia="zh-CN"/>
        </w:rPr>
        <w:t>S</w:t>
      </w:r>
      <w:r>
        <w:rPr>
          <w:rFonts w:hint="default" w:ascii="Arial" w:hAnsi="Arial" w:cs="Arial"/>
          <w:b/>
          <w:sz w:val="21"/>
          <w:szCs w:val="21"/>
        </w:rPr>
        <w:t xml:space="preserve">1. </w:t>
      </w:r>
      <w:r>
        <w:rPr>
          <w:rFonts w:hint="default" w:ascii="Arial" w:hAnsi="Arial" w:cs="Arial"/>
          <w:b/>
          <w:bCs w:val="0"/>
          <w:sz w:val="21"/>
          <w:szCs w:val="21"/>
        </w:rPr>
        <w:t>Expression levels of NONO or PKM2 in human breast cancer tissues from the Gene Expression Omnibus repository GSE76275.</w:t>
      </w:r>
      <w:bookmarkEnd w:id="0"/>
      <w:r>
        <w:rPr>
          <w:rFonts w:hint="default" w:ascii="Arial" w:hAnsi="Arial" w:cs="Arial"/>
          <w:sz w:val="21"/>
          <w:szCs w:val="21"/>
        </w:rPr>
        <w:t xml:space="preserve"> </w:t>
      </w:r>
    </w:p>
    <w:p w14:paraId="1DB07694">
      <w:pPr>
        <w:spacing w:line="48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  <w:lang w:val="en-US" w:eastAsia="zh-CN"/>
        </w:rPr>
        <w:t>(</w:t>
      </w:r>
      <w:r>
        <w:rPr>
          <w:rFonts w:hint="default" w:ascii="Arial" w:hAnsi="Arial" w:cs="Arial"/>
          <w:b/>
          <w:bCs/>
          <w:sz w:val="21"/>
          <w:szCs w:val="21"/>
        </w:rPr>
        <w:t>A</w:t>
      </w:r>
      <w:r>
        <w:rPr>
          <w:rFonts w:hint="default" w:ascii="Arial" w:hAnsi="Arial" w:cs="Arial"/>
          <w:b/>
          <w:bCs/>
          <w:sz w:val="21"/>
          <w:szCs w:val="21"/>
          <w:lang w:val="en-US" w:eastAsia="zh-CN"/>
        </w:rPr>
        <w:t>)</w:t>
      </w:r>
      <w:r>
        <w:rPr>
          <w:rFonts w:hint="default" w:ascii="Arial" w:hAnsi="Arial" w:cs="Arial"/>
          <w:sz w:val="21"/>
          <w:szCs w:val="21"/>
        </w:rPr>
        <w:t xml:space="preserve"> Quantitative analysis of NONO expression levels in non-TNBC (n = 67) and TNBC (n = 198) </w:t>
      </w:r>
      <w:r>
        <w:rPr>
          <w:rFonts w:hint="default" w:ascii="Arial" w:hAnsi="Arial" w:eastAsia="等线" w:cs="Arial"/>
          <w:sz w:val="21"/>
          <w:szCs w:val="21"/>
        </w:rPr>
        <w:t>tissue</w:t>
      </w:r>
      <w:r>
        <w:rPr>
          <w:rFonts w:hint="default" w:ascii="Arial" w:hAnsi="Arial" w:cs="Arial"/>
          <w:sz w:val="21"/>
          <w:szCs w:val="21"/>
        </w:rPr>
        <w:t xml:space="preserve"> </w:t>
      </w:r>
      <w:r>
        <w:rPr>
          <w:rFonts w:hint="default" w:ascii="Arial" w:hAnsi="Arial" w:eastAsia="等线" w:cs="Arial"/>
          <w:sz w:val="21"/>
          <w:szCs w:val="21"/>
        </w:rPr>
        <w:t>samples</w:t>
      </w:r>
      <w:r>
        <w:rPr>
          <w:rFonts w:hint="default" w:ascii="Arial" w:hAnsi="Arial" w:cs="Arial"/>
          <w:sz w:val="21"/>
          <w:szCs w:val="21"/>
        </w:rPr>
        <w:t xml:space="preserve">. </w:t>
      </w:r>
      <w:r>
        <w:rPr>
          <w:rFonts w:hint="default" w:ascii="Arial" w:hAnsi="Arial" w:eastAsia="等线" w:cs="Arial"/>
          <w:sz w:val="21"/>
          <w:szCs w:val="21"/>
        </w:rPr>
        <w:t>The data</w:t>
      </w:r>
      <w:r>
        <w:rPr>
          <w:rFonts w:hint="default" w:ascii="Arial" w:hAnsi="Arial" w:cs="Arial"/>
          <w:sz w:val="21"/>
          <w:szCs w:val="21"/>
        </w:rPr>
        <w:t xml:space="preserve"> are </w:t>
      </w:r>
      <w:r>
        <w:rPr>
          <w:rFonts w:hint="default" w:ascii="Arial" w:hAnsi="Arial" w:eastAsia="等线" w:cs="Arial"/>
          <w:sz w:val="21"/>
          <w:szCs w:val="21"/>
        </w:rPr>
        <w:t>presented as the</w:t>
      </w:r>
      <w:r>
        <w:rPr>
          <w:rFonts w:hint="default" w:ascii="Arial" w:hAnsi="Arial" w:eastAsia="等线" w:cs="Arial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mean</w:t>
      </w:r>
      <w:r>
        <w:rPr>
          <w:rFonts w:hint="default" w:ascii="Arial" w:hAnsi="Arial" w:cs="Arial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 ± </w:t>
      </w:r>
      <w:r>
        <w:rPr>
          <w:rFonts w:hint="default" w:ascii="Arial" w:hAnsi="Arial" w:eastAsia="等线" w:cs="Arial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SD</w:t>
      </w:r>
      <w:r>
        <w:rPr>
          <w:rFonts w:hint="default" w:ascii="Arial" w:hAnsi="Arial" w:cs="Arial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. *</w:t>
      </w:r>
      <w:r>
        <w:rPr>
          <w:rFonts w:hint="default" w:ascii="Arial" w:hAnsi="Arial" w:cs="Arial"/>
          <w:sz w:val="21"/>
          <w:szCs w:val="21"/>
        </w:rPr>
        <w:t>**</w:t>
      </w:r>
      <w:r>
        <w:rPr>
          <w:rFonts w:hint="default" w:ascii="Arial" w:hAnsi="Arial" w:cs="Arial"/>
          <w:i/>
          <w:sz w:val="21"/>
          <w:szCs w:val="21"/>
        </w:rPr>
        <w:t>P</w:t>
      </w:r>
      <w:r>
        <w:rPr>
          <w:rFonts w:hint="default" w:ascii="Arial" w:hAnsi="Arial" w:cs="Arial"/>
          <w:sz w:val="21"/>
          <w:szCs w:val="21"/>
        </w:rPr>
        <w:t> &lt; 0.001.</w:t>
      </w:r>
      <w:r>
        <w:rPr>
          <w:rFonts w:hint="default" w:ascii="Arial" w:hAnsi="Arial" w:cs="Arial"/>
          <w:color w:val="000000"/>
          <w:sz w:val="21"/>
          <w:szCs w:val="21"/>
        </w:rPr>
        <w:t xml:space="preserve"> </w:t>
      </w:r>
      <w:r>
        <w:rPr>
          <w:rFonts w:hint="default" w:ascii="Arial" w:hAnsi="Arial" w:cs="Arial"/>
          <w:b/>
          <w:bCs/>
          <w:color w:val="000000"/>
          <w:sz w:val="21"/>
          <w:szCs w:val="21"/>
          <w:lang w:val="en-US" w:eastAsia="zh-CN"/>
        </w:rPr>
        <w:t>(</w:t>
      </w:r>
      <w:r>
        <w:rPr>
          <w:rFonts w:hint="default" w:ascii="Arial" w:hAnsi="Arial" w:cs="Arial"/>
          <w:b/>
          <w:bCs/>
          <w:color w:val="000000"/>
          <w:sz w:val="21"/>
          <w:szCs w:val="21"/>
        </w:rPr>
        <w:t>B</w:t>
      </w:r>
      <w:r>
        <w:rPr>
          <w:rFonts w:hint="default" w:ascii="Arial" w:hAnsi="Arial" w:cs="Arial"/>
          <w:b/>
          <w:bCs/>
          <w:color w:val="000000"/>
          <w:sz w:val="21"/>
          <w:szCs w:val="21"/>
          <w:lang w:val="en-US" w:eastAsia="zh-CN"/>
        </w:rPr>
        <w:t>)</w:t>
      </w:r>
      <w:r>
        <w:rPr>
          <w:rFonts w:hint="default" w:ascii="Arial" w:hAnsi="Arial" w:cs="Arial"/>
          <w:color w:val="000000"/>
          <w:sz w:val="21"/>
          <w:szCs w:val="21"/>
        </w:rPr>
        <w:t xml:space="preserve"> </w:t>
      </w:r>
      <w:r>
        <w:rPr>
          <w:rFonts w:hint="default" w:ascii="Arial" w:hAnsi="Arial" w:cs="Arial"/>
          <w:sz w:val="21"/>
          <w:szCs w:val="21"/>
        </w:rPr>
        <w:t xml:space="preserve">Quantitative analysis of PKM2 expression levels in non-TNBC (n = 67) and TNBC (n = 198) </w:t>
      </w:r>
      <w:r>
        <w:rPr>
          <w:rFonts w:hint="default" w:ascii="Arial" w:hAnsi="Arial" w:eastAsia="等线" w:cs="Arial"/>
          <w:sz w:val="21"/>
          <w:szCs w:val="21"/>
        </w:rPr>
        <w:t>tissue</w:t>
      </w:r>
      <w:r>
        <w:rPr>
          <w:rFonts w:hint="default" w:ascii="Arial" w:hAnsi="Arial" w:cs="Arial"/>
          <w:sz w:val="21"/>
          <w:szCs w:val="21"/>
        </w:rPr>
        <w:t xml:space="preserve"> </w:t>
      </w:r>
      <w:r>
        <w:rPr>
          <w:rFonts w:hint="default" w:ascii="Arial" w:hAnsi="Arial" w:eastAsia="等线" w:cs="Arial"/>
          <w:sz w:val="21"/>
          <w:szCs w:val="21"/>
        </w:rPr>
        <w:t>samples</w:t>
      </w:r>
      <w:r>
        <w:rPr>
          <w:rFonts w:hint="default" w:ascii="Arial" w:hAnsi="Arial" w:cs="Arial"/>
          <w:sz w:val="21"/>
          <w:szCs w:val="21"/>
        </w:rPr>
        <w:t xml:space="preserve">. </w:t>
      </w:r>
      <w:r>
        <w:rPr>
          <w:rFonts w:hint="default" w:ascii="Arial" w:hAnsi="Arial" w:eastAsia="等线" w:cs="Arial"/>
          <w:sz w:val="21"/>
          <w:szCs w:val="21"/>
        </w:rPr>
        <w:t>The data</w:t>
      </w:r>
      <w:r>
        <w:rPr>
          <w:rFonts w:hint="default" w:ascii="Arial" w:hAnsi="Arial" w:cs="Arial"/>
          <w:sz w:val="21"/>
          <w:szCs w:val="21"/>
        </w:rPr>
        <w:t xml:space="preserve"> are </w:t>
      </w:r>
      <w:r>
        <w:rPr>
          <w:rFonts w:hint="default" w:ascii="Arial" w:hAnsi="Arial" w:eastAsia="等线" w:cs="Arial"/>
          <w:sz w:val="21"/>
          <w:szCs w:val="21"/>
        </w:rPr>
        <w:t xml:space="preserve">presented as the </w:t>
      </w:r>
      <w:r>
        <w:rPr>
          <w:rFonts w:hint="default" w:ascii="Arial" w:hAnsi="Arial" w:eastAsia="等线" w:cs="Arial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mean</w:t>
      </w:r>
      <w:r>
        <w:rPr>
          <w:rFonts w:hint="default" w:ascii="Arial" w:hAnsi="Arial" w:cs="Arial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 ± </w:t>
      </w:r>
      <w:r>
        <w:rPr>
          <w:rFonts w:hint="default" w:ascii="Arial" w:hAnsi="Arial" w:eastAsia="等线" w:cs="Arial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SD</w:t>
      </w:r>
      <w:r>
        <w:rPr>
          <w:rFonts w:hint="default" w:ascii="Arial" w:hAnsi="Arial" w:cs="Arial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Arial" w:hAnsi="Arial" w:cs="Arial"/>
          <w:sz w:val="21"/>
          <w:szCs w:val="21"/>
        </w:rPr>
        <w:t>***</w:t>
      </w:r>
      <w:r>
        <w:rPr>
          <w:rFonts w:hint="default" w:ascii="Arial" w:hAnsi="Arial" w:cs="Arial"/>
          <w:i/>
          <w:sz w:val="21"/>
          <w:szCs w:val="21"/>
        </w:rPr>
        <w:t>P</w:t>
      </w:r>
      <w:r>
        <w:rPr>
          <w:rFonts w:hint="default" w:ascii="Arial" w:hAnsi="Arial" w:cs="Arial"/>
          <w:sz w:val="21"/>
          <w:szCs w:val="21"/>
        </w:rPr>
        <w:t> &lt; 0.001.</w:t>
      </w:r>
    </w:p>
    <w:p w14:paraId="15C1D37A">
      <w:pPr>
        <w:spacing w:line="480" w:lineRule="auto"/>
        <w:jc w:val="center"/>
        <w:rPr>
          <w:rFonts w:hint="eastAsia" w:ascii="Times New Roman" w:hAnsi="Times New Roman" w:cs="Times New Roman" w:eastAsiaTheme="minorEastAsia"/>
          <w:color w:val="FF0000"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color w:val="FF0000"/>
          <w:sz w:val="24"/>
          <w:lang w:eastAsia="zh-CN"/>
        </w:rPr>
        <w:drawing>
          <wp:inline distT="0" distB="0" distL="114300" distR="114300">
            <wp:extent cx="5048885" cy="5674995"/>
            <wp:effectExtent l="0" t="0" r="18415" b="1905"/>
            <wp:docPr id="1" name="图片 1" descr="Supplementary materials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materials_02"/>
                    <pic:cNvPicPr>
                      <a:picLocks noChangeAspect="1"/>
                    </pic:cNvPicPr>
                  </pic:nvPicPr>
                  <pic:blipFill>
                    <a:blip r:embed="rId6"/>
                    <a:srcRect l="2544" t="6026" r="2677" b="20224"/>
                    <a:stretch>
                      <a:fillRect/>
                    </a:stretch>
                  </pic:blipFill>
                  <pic:spPr>
                    <a:xfrm>
                      <a:off x="0" y="0"/>
                      <a:ext cx="5048885" cy="567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EE389">
      <w:pPr>
        <w:spacing w:line="480" w:lineRule="auto"/>
        <w:rPr>
          <w:rFonts w:hint="default" w:ascii="Arial" w:hAnsi="Arial" w:cs="Arial"/>
          <w:b/>
          <w:bCs w:val="0"/>
          <w:sz w:val="21"/>
          <w:szCs w:val="21"/>
        </w:rPr>
      </w:pPr>
      <w:bookmarkStart w:id="1" w:name="OLE_LINK2"/>
      <w:r>
        <w:rPr>
          <w:rFonts w:hint="default" w:ascii="Arial" w:hAnsi="Arial" w:cs="Arial"/>
          <w:b/>
          <w:bCs w:val="0"/>
          <w:sz w:val="21"/>
          <w:szCs w:val="21"/>
        </w:rPr>
        <w:t xml:space="preserve">Figure </w:t>
      </w:r>
      <w:r>
        <w:rPr>
          <w:rFonts w:hint="default" w:ascii="Arial" w:hAnsi="Arial" w:cs="Arial"/>
          <w:b/>
          <w:bCs w:val="0"/>
          <w:sz w:val="21"/>
          <w:szCs w:val="21"/>
          <w:lang w:val="en-US" w:eastAsia="zh-CN"/>
        </w:rPr>
        <w:t>S2</w:t>
      </w:r>
      <w:r>
        <w:rPr>
          <w:rFonts w:hint="default" w:ascii="Arial" w:hAnsi="Arial" w:cs="Arial"/>
          <w:b/>
          <w:bCs w:val="0"/>
          <w:sz w:val="21"/>
          <w:szCs w:val="21"/>
        </w:rPr>
        <w:t xml:space="preserve">. NONO and PKM2 promote cell proliferation and metastasis by upregulating </w:t>
      </w:r>
      <w:bookmarkStart w:id="2" w:name="OLE_LINK19"/>
      <w:bookmarkStart w:id="3" w:name="OLE_LINK20"/>
      <w:r>
        <w:rPr>
          <w:rFonts w:hint="default" w:ascii="Arial" w:hAnsi="Arial" w:cs="Arial"/>
          <w:b/>
          <w:bCs w:val="0"/>
          <w:i/>
          <w:sz w:val="21"/>
          <w:szCs w:val="21"/>
        </w:rPr>
        <w:t>SERPINE1</w:t>
      </w:r>
      <w:r>
        <w:rPr>
          <w:rFonts w:hint="default" w:ascii="Arial" w:hAnsi="Arial" w:cs="Arial"/>
          <w:b/>
          <w:bCs w:val="0"/>
          <w:sz w:val="21"/>
          <w:szCs w:val="21"/>
        </w:rPr>
        <w:t xml:space="preserve"> transcription in BT-549 cells.</w:t>
      </w:r>
      <w:bookmarkEnd w:id="1"/>
    </w:p>
    <w:p w14:paraId="47DA9C47">
      <w:pPr>
        <w:spacing w:line="48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sz w:val="21"/>
          <w:szCs w:val="21"/>
        </w:rPr>
        <w:t xml:space="preserve"> </w:t>
      </w:r>
      <w:r>
        <w:rPr>
          <w:rFonts w:hint="default" w:ascii="Arial" w:hAnsi="Arial" w:cs="Arial"/>
          <w:b/>
          <w:sz w:val="21"/>
          <w:szCs w:val="21"/>
          <w:lang w:val="en-US" w:eastAsia="zh-CN"/>
        </w:rPr>
        <w:t>(</w:t>
      </w:r>
      <w:r>
        <w:rPr>
          <w:rFonts w:hint="default" w:ascii="Arial" w:hAnsi="Arial" w:cs="Arial"/>
          <w:b/>
          <w:sz w:val="21"/>
          <w:szCs w:val="21"/>
        </w:rPr>
        <w:t>A</w:t>
      </w:r>
      <w:r>
        <w:rPr>
          <w:rFonts w:hint="default" w:ascii="Arial" w:hAnsi="Arial" w:cs="Arial"/>
          <w:b/>
          <w:sz w:val="21"/>
          <w:szCs w:val="21"/>
          <w:lang w:val="en-US" w:eastAsia="zh-CN"/>
        </w:rPr>
        <w:t>)</w:t>
      </w:r>
      <w:r>
        <w:rPr>
          <w:rFonts w:hint="default" w:ascii="Arial" w:hAnsi="Arial" w:cs="Arial"/>
          <w:b/>
          <w:sz w:val="21"/>
          <w:szCs w:val="21"/>
        </w:rPr>
        <w:t xml:space="preserve"> </w:t>
      </w:r>
      <w:r>
        <w:rPr>
          <w:rFonts w:hint="default" w:ascii="Arial" w:hAnsi="Arial" w:eastAsia="等线" w:cs="Arial"/>
          <w:sz w:val="21"/>
          <w:szCs w:val="21"/>
        </w:rPr>
        <w:t>The relative</w:t>
      </w:r>
      <w:r>
        <w:rPr>
          <w:rFonts w:hint="default" w:ascii="Arial" w:hAnsi="Arial" w:cs="Arial"/>
          <w:sz w:val="21"/>
          <w:szCs w:val="21"/>
        </w:rPr>
        <w:t xml:space="preserve"> mRNA level of </w:t>
      </w:r>
      <w:r>
        <w:rPr>
          <w:rFonts w:hint="default" w:ascii="Arial" w:hAnsi="Arial" w:cs="Arial"/>
          <w:i/>
          <w:sz w:val="21"/>
          <w:szCs w:val="21"/>
        </w:rPr>
        <w:t>SERPINE1</w:t>
      </w:r>
      <w:r>
        <w:rPr>
          <w:rFonts w:hint="default" w:ascii="Arial" w:hAnsi="Arial" w:cs="Arial"/>
          <w:sz w:val="21"/>
          <w:szCs w:val="21"/>
        </w:rPr>
        <w:t xml:space="preserve"> normalized to </w:t>
      </w:r>
      <w:r>
        <w:rPr>
          <w:rFonts w:hint="default" w:ascii="Arial" w:hAnsi="Arial" w:eastAsia="等线" w:cs="Arial"/>
          <w:sz w:val="21"/>
          <w:szCs w:val="21"/>
        </w:rPr>
        <w:t xml:space="preserve">that of </w:t>
      </w:r>
      <w:r>
        <w:rPr>
          <w:rFonts w:hint="default" w:ascii="Arial" w:hAnsi="Arial" w:cs="Arial"/>
          <w:i/>
          <w:sz w:val="21"/>
          <w:szCs w:val="21"/>
        </w:rPr>
        <w:t>GAPDH</w:t>
      </w:r>
      <w:r>
        <w:rPr>
          <w:rFonts w:hint="default" w:ascii="Arial" w:hAnsi="Arial" w:cs="Arial"/>
          <w:sz w:val="21"/>
          <w:szCs w:val="21"/>
        </w:rPr>
        <w:t xml:space="preserve"> was examined by </w:t>
      </w:r>
      <w:r>
        <w:rPr>
          <w:rFonts w:hint="default" w:ascii="Arial" w:hAnsi="Arial" w:eastAsia="等线" w:cs="Arial"/>
          <w:sz w:val="21"/>
          <w:szCs w:val="21"/>
        </w:rPr>
        <w:t>RT‒qPCR</w:t>
      </w:r>
      <w:r>
        <w:rPr>
          <w:rFonts w:hint="default" w:ascii="Arial" w:hAnsi="Arial" w:cs="Arial"/>
          <w:sz w:val="21"/>
          <w:szCs w:val="21"/>
        </w:rPr>
        <w:t xml:space="preserve"> in NC and NONO-KD BT-549 cells. </w:t>
      </w:r>
      <w:r>
        <w:rPr>
          <w:rFonts w:hint="default" w:ascii="Arial" w:hAnsi="Arial" w:eastAsia="等线" w:cs="Arial"/>
          <w:sz w:val="21"/>
          <w:szCs w:val="21"/>
        </w:rPr>
        <w:t>The data are presented as the mean ± SD</w:t>
      </w:r>
      <w:r>
        <w:rPr>
          <w:rFonts w:hint="default" w:ascii="Arial" w:hAnsi="Arial" w:cs="Arial"/>
          <w:sz w:val="21"/>
          <w:szCs w:val="21"/>
        </w:rPr>
        <w:t xml:space="preserve"> (n = 3). *</w:t>
      </w:r>
      <w:r>
        <w:rPr>
          <w:rFonts w:hint="default" w:ascii="Arial" w:hAnsi="Arial" w:cs="Arial"/>
          <w:i/>
          <w:sz w:val="21"/>
          <w:szCs w:val="21"/>
        </w:rPr>
        <w:t>P</w:t>
      </w:r>
      <w:r>
        <w:rPr>
          <w:rFonts w:hint="default" w:ascii="Arial" w:hAnsi="Arial" w:cs="Arial"/>
          <w:sz w:val="21"/>
          <w:szCs w:val="21"/>
        </w:rPr>
        <w:t> &lt; 0.05, ****</w:t>
      </w:r>
      <w:r>
        <w:rPr>
          <w:rFonts w:hint="default" w:ascii="Arial" w:hAnsi="Arial" w:cs="Arial"/>
          <w:i/>
          <w:sz w:val="21"/>
          <w:szCs w:val="21"/>
        </w:rPr>
        <w:t>P</w:t>
      </w:r>
      <w:r>
        <w:rPr>
          <w:rFonts w:hint="default" w:ascii="Arial" w:hAnsi="Arial" w:cs="Arial"/>
          <w:sz w:val="21"/>
          <w:szCs w:val="21"/>
        </w:rPr>
        <w:t xml:space="preserve"> &lt; 0.0001 compared to NC. </w:t>
      </w:r>
      <w:r>
        <w:rPr>
          <w:rFonts w:hint="default" w:ascii="Arial" w:hAnsi="Arial" w:cs="Arial"/>
          <w:b/>
          <w:bCs/>
          <w:sz w:val="21"/>
          <w:szCs w:val="21"/>
          <w:lang w:val="en-US" w:eastAsia="zh-CN"/>
        </w:rPr>
        <w:t>(</w:t>
      </w:r>
      <w:r>
        <w:rPr>
          <w:rFonts w:hint="default" w:ascii="Arial" w:hAnsi="Arial" w:cs="Arial"/>
          <w:b/>
          <w:bCs/>
          <w:sz w:val="21"/>
          <w:szCs w:val="21"/>
        </w:rPr>
        <w:t>B</w:t>
      </w:r>
      <w:r>
        <w:rPr>
          <w:rFonts w:hint="default" w:ascii="Arial" w:hAnsi="Arial" w:cs="Arial"/>
          <w:b/>
          <w:bCs/>
          <w:sz w:val="21"/>
          <w:szCs w:val="21"/>
          <w:lang w:val="en-US" w:eastAsia="zh-CN"/>
        </w:rPr>
        <w:t>)</w:t>
      </w:r>
      <w:r>
        <w:rPr>
          <w:rFonts w:hint="default" w:ascii="Arial" w:hAnsi="Arial" w:cs="Arial"/>
          <w:sz w:val="21"/>
          <w:szCs w:val="21"/>
        </w:rPr>
        <w:t xml:space="preserve"> The protein expression of PAI-1 </w:t>
      </w:r>
      <w:r>
        <w:rPr>
          <w:rFonts w:hint="default" w:ascii="Arial" w:hAnsi="Arial" w:eastAsia="等线" w:cs="Arial"/>
          <w:sz w:val="21"/>
          <w:szCs w:val="21"/>
        </w:rPr>
        <w:t xml:space="preserve">in NC and NONO-KD BT-549 cells </w:t>
      </w:r>
      <w:r>
        <w:rPr>
          <w:rFonts w:hint="default" w:ascii="Arial" w:hAnsi="Arial" w:cs="Arial"/>
          <w:sz w:val="21"/>
          <w:szCs w:val="21"/>
        </w:rPr>
        <w:t xml:space="preserve">was assessed by western blot analyses with the indicated antibodies. </w:t>
      </w:r>
      <w:r>
        <w:rPr>
          <w:rFonts w:hint="default" w:ascii="Arial" w:hAnsi="Arial" w:cs="Arial"/>
          <w:b/>
          <w:bCs/>
          <w:sz w:val="21"/>
          <w:szCs w:val="21"/>
          <w:lang w:val="en-US" w:eastAsia="zh-CN"/>
        </w:rPr>
        <w:t>(C)</w:t>
      </w:r>
      <w:r>
        <w:rPr>
          <w:rFonts w:hint="default" w:ascii="Arial" w:hAnsi="Arial" w:cs="Arial"/>
          <w:b/>
          <w:sz w:val="21"/>
          <w:szCs w:val="21"/>
        </w:rPr>
        <w:t xml:space="preserve"> </w:t>
      </w:r>
      <w:r>
        <w:rPr>
          <w:rFonts w:hint="default" w:ascii="Arial" w:hAnsi="Arial" w:cs="Arial"/>
          <w:sz w:val="21"/>
          <w:szCs w:val="21"/>
        </w:rPr>
        <w:t xml:space="preserve">Western blot analysis of </w:t>
      </w:r>
      <w:r>
        <w:rPr>
          <w:rFonts w:hint="default" w:ascii="Arial" w:hAnsi="Arial" w:eastAsia="等线" w:cs="Arial"/>
          <w:sz w:val="21"/>
          <w:szCs w:val="21"/>
        </w:rPr>
        <w:t xml:space="preserve">the </w:t>
      </w:r>
      <w:r>
        <w:rPr>
          <w:rFonts w:hint="default" w:ascii="Arial" w:hAnsi="Arial" w:cs="Arial"/>
          <w:sz w:val="21"/>
          <w:szCs w:val="21"/>
        </w:rPr>
        <w:t>indicated proteins in</w:t>
      </w:r>
      <w:r>
        <w:rPr>
          <w:rFonts w:hint="default" w:ascii="Arial" w:hAnsi="Arial" w:eastAsia="等线" w:cs="Arial"/>
          <w:sz w:val="21"/>
          <w:szCs w:val="21"/>
        </w:rPr>
        <w:t xml:space="preserve"> </w:t>
      </w:r>
      <w:r>
        <w:rPr>
          <w:rFonts w:hint="default" w:ascii="Arial" w:hAnsi="Arial" w:cs="Arial"/>
          <w:sz w:val="21"/>
          <w:szCs w:val="21"/>
        </w:rPr>
        <w:t xml:space="preserve">BT-549 cells treated with NC, NONO-KD, </w:t>
      </w:r>
      <w:r>
        <w:rPr>
          <w:rFonts w:hint="default" w:ascii="Arial" w:hAnsi="Arial" w:eastAsia="等线" w:cs="Arial"/>
          <w:sz w:val="21"/>
          <w:szCs w:val="21"/>
        </w:rPr>
        <w:t>or</w:t>
      </w:r>
      <w:r>
        <w:rPr>
          <w:rFonts w:hint="default" w:ascii="Arial" w:hAnsi="Arial" w:cs="Arial"/>
          <w:sz w:val="21"/>
          <w:szCs w:val="21"/>
        </w:rPr>
        <w:t xml:space="preserve"> NONO-KD + PAI-1. GAPDH served as a loading control.</w:t>
      </w:r>
      <w:r>
        <w:rPr>
          <w:rFonts w:hint="default" w:ascii="Arial" w:hAnsi="Arial" w:cs="Arial"/>
          <w:b/>
          <w:sz w:val="21"/>
          <w:szCs w:val="21"/>
        </w:rPr>
        <w:t xml:space="preserve"> </w:t>
      </w:r>
      <w:r>
        <w:rPr>
          <w:rFonts w:hint="default" w:ascii="Arial" w:hAnsi="Arial" w:cs="Arial"/>
          <w:b/>
          <w:bCs/>
          <w:sz w:val="21"/>
          <w:szCs w:val="21"/>
          <w:lang w:val="en-US" w:eastAsia="zh-CN"/>
        </w:rPr>
        <w:t>(D)</w:t>
      </w:r>
      <w:r>
        <w:rPr>
          <w:rFonts w:hint="default" w:ascii="Arial" w:hAnsi="Arial" w:cs="Arial"/>
          <w:sz w:val="21"/>
          <w:szCs w:val="21"/>
        </w:rPr>
        <w:t xml:space="preserve"> Cell proliferation was examined by </w:t>
      </w:r>
      <w:r>
        <w:rPr>
          <w:rFonts w:hint="default" w:ascii="Arial" w:hAnsi="Arial" w:eastAsia="等线" w:cs="Arial"/>
          <w:sz w:val="21"/>
          <w:szCs w:val="21"/>
        </w:rPr>
        <w:t xml:space="preserve">a </w:t>
      </w:r>
      <w:r>
        <w:rPr>
          <w:rFonts w:hint="default" w:ascii="Arial" w:hAnsi="Arial" w:cs="Arial"/>
          <w:sz w:val="21"/>
          <w:szCs w:val="21"/>
        </w:rPr>
        <w:t xml:space="preserve">CCK-8 assay in BT-549 cells treated with NC, NONO-KD, </w:t>
      </w:r>
      <w:r>
        <w:rPr>
          <w:rFonts w:hint="default" w:ascii="Arial" w:hAnsi="Arial" w:eastAsia="等线" w:cs="Arial"/>
          <w:sz w:val="21"/>
          <w:szCs w:val="21"/>
        </w:rPr>
        <w:t>or</w:t>
      </w:r>
      <w:r>
        <w:rPr>
          <w:rFonts w:hint="default" w:ascii="Arial" w:hAnsi="Arial" w:cs="Arial"/>
          <w:sz w:val="21"/>
          <w:szCs w:val="21"/>
        </w:rPr>
        <w:t xml:space="preserve"> NONO-KD + PAI-1. </w:t>
      </w:r>
      <w:r>
        <w:rPr>
          <w:rFonts w:hint="default" w:ascii="Arial" w:hAnsi="Arial" w:eastAsia="等线" w:cs="Arial"/>
          <w:sz w:val="21"/>
          <w:szCs w:val="21"/>
        </w:rPr>
        <w:t>The data are presented as the mean ± SD</w:t>
      </w:r>
      <w:r>
        <w:rPr>
          <w:rFonts w:hint="default" w:ascii="Arial" w:hAnsi="Arial" w:cs="Arial"/>
          <w:sz w:val="21"/>
          <w:szCs w:val="21"/>
        </w:rPr>
        <w:t xml:space="preserve"> (n = 5). ***</w:t>
      </w:r>
      <w:r>
        <w:rPr>
          <w:rFonts w:hint="default" w:ascii="Arial" w:hAnsi="Arial" w:cs="Arial"/>
          <w:i/>
          <w:sz w:val="21"/>
          <w:szCs w:val="21"/>
        </w:rPr>
        <w:t>P</w:t>
      </w:r>
      <w:r>
        <w:rPr>
          <w:rFonts w:hint="default" w:ascii="Arial" w:hAnsi="Arial" w:cs="Arial"/>
          <w:sz w:val="21"/>
          <w:szCs w:val="21"/>
        </w:rPr>
        <w:t xml:space="preserve"> &lt; 0.001 compared to </w:t>
      </w:r>
      <w:r>
        <w:rPr>
          <w:rFonts w:hint="default" w:ascii="Arial" w:hAnsi="Arial" w:eastAsia="等线" w:cs="Arial"/>
          <w:sz w:val="21"/>
          <w:szCs w:val="21"/>
        </w:rPr>
        <w:t xml:space="preserve">the </w:t>
      </w:r>
      <w:r>
        <w:rPr>
          <w:rFonts w:hint="default" w:ascii="Arial" w:hAnsi="Arial" w:cs="Arial"/>
          <w:sz w:val="21"/>
          <w:szCs w:val="21"/>
        </w:rPr>
        <w:t xml:space="preserve">NONO-KD group. </w:t>
      </w:r>
      <w:r>
        <w:rPr>
          <w:rFonts w:hint="default" w:ascii="Arial" w:hAnsi="Arial" w:cs="Arial"/>
          <w:b/>
          <w:bCs/>
          <w:sz w:val="21"/>
          <w:szCs w:val="21"/>
          <w:lang w:val="en-US" w:eastAsia="zh-CN"/>
        </w:rPr>
        <w:t>(E)</w:t>
      </w:r>
      <w:r>
        <w:rPr>
          <w:rFonts w:hint="default" w:ascii="Arial" w:hAnsi="Arial" w:cs="Arial"/>
          <w:sz w:val="21"/>
          <w:szCs w:val="21"/>
        </w:rPr>
        <w:t xml:space="preserve"> Colony formation </w:t>
      </w:r>
      <w:r>
        <w:rPr>
          <w:rFonts w:hint="default" w:ascii="Arial" w:hAnsi="Arial" w:eastAsia="等线" w:cs="Arial"/>
          <w:sz w:val="21"/>
          <w:szCs w:val="21"/>
        </w:rPr>
        <w:t>ability of</w:t>
      </w:r>
      <w:r>
        <w:rPr>
          <w:rFonts w:hint="default" w:ascii="Arial" w:hAnsi="Arial" w:cs="Arial"/>
          <w:sz w:val="21"/>
          <w:szCs w:val="21"/>
        </w:rPr>
        <w:t xml:space="preserve"> BT-549 cells treated with NC, NONO-KD, </w:t>
      </w:r>
      <w:r>
        <w:rPr>
          <w:rFonts w:hint="default" w:ascii="Arial" w:hAnsi="Arial" w:eastAsia="等线" w:cs="Arial"/>
          <w:sz w:val="21"/>
          <w:szCs w:val="21"/>
        </w:rPr>
        <w:t>or</w:t>
      </w:r>
      <w:r>
        <w:rPr>
          <w:rFonts w:hint="default" w:ascii="Arial" w:hAnsi="Arial" w:cs="Arial"/>
          <w:sz w:val="21"/>
          <w:szCs w:val="21"/>
        </w:rPr>
        <w:t xml:space="preserve"> NONO-KD + PAI-1</w:t>
      </w:r>
      <w:r>
        <w:rPr>
          <w:rFonts w:hint="default" w:ascii="Arial" w:hAnsi="Arial" w:eastAsia="等线" w:cs="Arial"/>
          <w:sz w:val="21"/>
          <w:szCs w:val="21"/>
        </w:rPr>
        <w:t xml:space="preserve"> was determined. The data are presented as the mean ± SD</w:t>
      </w:r>
      <w:r>
        <w:rPr>
          <w:rFonts w:hint="default" w:ascii="Arial" w:hAnsi="Arial" w:cs="Arial"/>
          <w:sz w:val="21"/>
          <w:szCs w:val="21"/>
        </w:rPr>
        <w:t xml:space="preserve"> (n = 3). *</w:t>
      </w:r>
      <w:r>
        <w:rPr>
          <w:rFonts w:hint="default" w:ascii="Arial" w:hAnsi="Arial" w:cs="Arial"/>
          <w:i/>
          <w:sz w:val="21"/>
          <w:szCs w:val="21"/>
        </w:rPr>
        <w:t>P</w:t>
      </w:r>
      <w:r>
        <w:rPr>
          <w:rFonts w:hint="default" w:ascii="Arial" w:hAnsi="Arial" w:cs="Arial"/>
          <w:sz w:val="21"/>
          <w:szCs w:val="21"/>
        </w:rPr>
        <w:t> &lt; 0.05, **</w:t>
      </w:r>
      <w:r>
        <w:rPr>
          <w:rFonts w:hint="default" w:ascii="Arial" w:hAnsi="Arial" w:cs="Arial"/>
          <w:i/>
          <w:sz w:val="21"/>
          <w:szCs w:val="21"/>
        </w:rPr>
        <w:t>P</w:t>
      </w:r>
      <w:r>
        <w:rPr>
          <w:rFonts w:hint="default" w:ascii="Arial" w:hAnsi="Arial" w:cs="Arial"/>
          <w:sz w:val="21"/>
          <w:szCs w:val="21"/>
        </w:rPr>
        <w:t xml:space="preserve"> &lt; 0.01 compared to </w:t>
      </w:r>
      <w:r>
        <w:rPr>
          <w:rFonts w:hint="default" w:ascii="Arial" w:hAnsi="Arial" w:eastAsia="等线" w:cs="Arial"/>
          <w:sz w:val="21"/>
          <w:szCs w:val="21"/>
        </w:rPr>
        <w:t xml:space="preserve">the </w:t>
      </w:r>
      <w:r>
        <w:rPr>
          <w:rFonts w:hint="default" w:ascii="Arial" w:hAnsi="Arial" w:cs="Arial"/>
          <w:sz w:val="21"/>
          <w:szCs w:val="21"/>
        </w:rPr>
        <w:t xml:space="preserve">corresponding control. </w:t>
      </w:r>
      <w:r>
        <w:rPr>
          <w:rFonts w:hint="default" w:ascii="Arial" w:hAnsi="Arial" w:cs="Arial"/>
          <w:b/>
          <w:bCs/>
          <w:sz w:val="21"/>
          <w:szCs w:val="21"/>
          <w:lang w:val="en-US" w:eastAsia="zh-CN"/>
        </w:rPr>
        <w:t>(F)</w:t>
      </w:r>
      <w:r>
        <w:rPr>
          <w:rFonts w:hint="default" w:ascii="Arial" w:hAnsi="Arial" w:cs="Arial"/>
          <w:sz w:val="21"/>
          <w:szCs w:val="21"/>
        </w:rPr>
        <w:t xml:space="preserve"> Representative images of </w:t>
      </w:r>
      <w:r>
        <w:rPr>
          <w:rFonts w:hint="default" w:ascii="Arial" w:hAnsi="Arial" w:eastAsia="等线" w:cs="Arial"/>
          <w:sz w:val="21"/>
          <w:szCs w:val="21"/>
        </w:rPr>
        <w:t xml:space="preserve">the </w:t>
      </w:r>
      <w:r>
        <w:rPr>
          <w:rFonts w:hint="default" w:ascii="Arial" w:hAnsi="Arial" w:cs="Arial"/>
          <w:sz w:val="21"/>
          <w:szCs w:val="21"/>
        </w:rPr>
        <w:t xml:space="preserve">migration (top panels) and invasion (bottom panels) of BT-549 cells treated with NC, NONO-KD, </w:t>
      </w:r>
      <w:r>
        <w:rPr>
          <w:rFonts w:hint="default" w:ascii="Arial" w:hAnsi="Arial" w:eastAsia="等线" w:cs="Arial"/>
          <w:sz w:val="21"/>
          <w:szCs w:val="21"/>
        </w:rPr>
        <w:t>or</w:t>
      </w:r>
      <w:r>
        <w:rPr>
          <w:rFonts w:hint="default" w:ascii="Arial" w:hAnsi="Arial" w:cs="Arial"/>
          <w:sz w:val="21"/>
          <w:szCs w:val="21"/>
        </w:rPr>
        <w:t xml:space="preserve"> NONO-KD + PAI-1. </w:t>
      </w:r>
      <w:r>
        <w:rPr>
          <w:rFonts w:hint="default" w:ascii="Arial" w:hAnsi="Arial" w:eastAsia="等线" w:cs="Arial"/>
          <w:sz w:val="21"/>
          <w:szCs w:val="21"/>
        </w:rPr>
        <w:t>The data are presented as the mean ± SD</w:t>
      </w:r>
      <w:r>
        <w:rPr>
          <w:rFonts w:hint="default" w:ascii="Arial" w:hAnsi="Arial" w:cs="Arial"/>
          <w:sz w:val="21"/>
          <w:szCs w:val="21"/>
        </w:rPr>
        <w:t xml:space="preserve"> (n = 5). ***</w:t>
      </w:r>
      <w:r>
        <w:rPr>
          <w:rFonts w:hint="default" w:ascii="Arial" w:hAnsi="Arial" w:cs="Arial"/>
          <w:i/>
          <w:sz w:val="21"/>
          <w:szCs w:val="21"/>
        </w:rPr>
        <w:t>P</w:t>
      </w:r>
      <w:r>
        <w:rPr>
          <w:rFonts w:hint="default" w:ascii="Arial" w:hAnsi="Arial" w:cs="Arial"/>
          <w:sz w:val="21"/>
          <w:szCs w:val="21"/>
        </w:rPr>
        <w:t> &lt; 0.001, ****</w:t>
      </w:r>
      <w:r>
        <w:rPr>
          <w:rFonts w:hint="default" w:ascii="Arial" w:hAnsi="Arial" w:cs="Arial"/>
          <w:i/>
          <w:sz w:val="21"/>
          <w:szCs w:val="21"/>
        </w:rPr>
        <w:t>P</w:t>
      </w:r>
      <w:r>
        <w:rPr>
          <w:rFonts w:hint="default" w:ascii="Arial" w:hAnsi="Arial" w:cs="Arial"/>
          <w:sz w:val="21"/>
          <w:szCs w:val="21"/>
        </w:rPr>
        <w:t xml:space="preserve"> &lt; 0.0001 compared to </w:t>
      </w:r>
      <w:r>
        <w:rPr>
          <w:rFonts w:hint="default" w:ascii="Arial" w:hAnsi="Arial" w:eastAsia="等线" w:cs="Arial"/>
          <w:sz w:val="21"/>
          <w:szCs w:val="21"/>
        </w:rPr>
        <w:t xml:space="preserve">the </w:t>
      </w:r>
      <w:r>
        <w:rPr>
          <w:rFonts w:hint="default" w:ascii="Arial" w:hAnsi="Arial" w:cs="Arial"/>
          <w:sz w:val="21"/>
          <w:szCs w:val="21"/>
        </w:rPr>
        <w:t xml:space="preserve">corresponding control. </w:t>
      </w:r>
      <w:r>
        <w:rPr>
          <w:rFonts w:hint="default" w:ascii="Arial" w:hAnsi="Arial" w:cs="Arial"/>
          <w:b/>
          <w:bCs/>
          <w:sz w:val="21"/>
          <w:szCs w:val="21"/>
          <w:lang w:val="en-US" w:eastAsia="zh-CN"/>
        </w:rPr>
        <w:t>(G)</w:t>
      </w:r>
      <w:r>
        <w:rPr>
          <w:rFonts w:hint="default" w:ascii="Arial" w:hAnsi="Arial" w:cs="Arial"/>
          <w:b/>
          <w:sz w:val="21"/>
          <w:szCs w:val="21"/>
        </w:rPr>
        <w:t xml:space="preserve"> </w:t>
      </w:r>
      <w:r>
        <w:rPr>
          <w:rFonts w:hint="default" w:ascii="Arial" w:hAnsi="Arial" w:eastAsia="等线" w:cs="Arial"/>
          <w:sz w:val="21"/>
          <w:szCs w:val="21"/>
        </w:rPr>
        <w:t>The relative</w:t>
      </w:r>
      <w:r>
        <w:rPr>
          <w:rFonts w:hint="default" w:ascii="Arial" w:hAnsi="Arial" w:cs="Arial"/>
          <w:sz w:val="21"/>
          <w:szCs w:val="21"/>
        </w:rPr>
        <w:t xml:space="preserve"> mRNA level of </w:t>
      </w:r>
      <w:r>
        <w:rPr>
          <w:rFonts w:hint="default" w:ascii="Arial" w:hAnsi="Arial" w:cs="Arial"/>
          <w:i/>
          <w:sz w:val="21"/>
          <w:szCs w:val="21"/>
        </w:rPr>
        <w:t>SERPINE1</w:t>
      </w:r>
      <w:r>
        <w:rPr>
          <w:rFonts w:hint="default" w:ascii="Arial" w:hAnsi="Arial" w:cs="Arial"/>
          <w:sz w:val="21"/>
          <w:szCs w:val="21"/>
        </w:rPr>
        <w:t xml:space="preserve"> (normalized to </w:t>
      </w:r>
      <w:r>
        <w:rPr>
          <w:rFonts w:hint="default" w:ascii="Arial" w:hAnsi="Arial" w:eastAsia="等线" w:cs="Arial"/>
          <w:sz w:val="21"/>
          <w:szCs w:val="21"/>
        </w:rPr>
        <w:t xml:space="preserve">that of </w:t>
      </w:r>
      <w:r>
        <w:rPr>
          <w:rFonts w:hint="default" w:ascii="Arial" w:hAnsi="Arial" w:cs="Arial"/>
          <w:i/>
          <w:sz w:val="21"/>
          <w:szCs w:val="21"/>
        </w:rPr>
        <w:t>GAPDH</w:t>
      </w:r>
      <w:r>
        <w:rPr>
          <w:rFonts w:hint="default" w:ascii="Arial" w:hAnsi="Arial" w:cs="Arial"/>
          <w:sz w:val="21"/>
          <w:szCs w:val="21"/>
        </w:rPr>
        <w:t>) in NC and PKM2-KD BT-549 cells</w:t>
      </w:r>
      <w:r>
        <w:rPr>
          <w:rFonts w:hint="default" w:ascii="Arial" w:hAnsi="Arial" w:eastAsia="等线" w:cs="Arial"/>
          <w:sz w:val="21"/>
          <w:szCs w:val="21"/>
        </w:rPr>
        <w:t xml:space="preserve"> was examined by RT‒qPCR. The data are presented as the mean ± SD</w:t>
      </w:r>
      <w:r>
        <w:rPr>
          <w:rFonts w:hint="default" w:ascii="Arial" w:hAnsi="Arial" w:cs="Arial"/>
          <w:sz w:val="21"/>
          <w:szCs w:val="21"/>
        </w:rPr>
        <w:t xml:space="preserve"> (n = 3). ****</w:t>
      </w:r>
      <w:r>
        <w:rPr>
          <w:rFonts w:hint="default" w:ascii="Arial" w:hAnsi="Arial" w:cs="Arial"/>
          <w:i/>
          <w:sz w:val="21"/>
          <w:szCs w:val="21"/>
        </w:rPr>
        <w:t>P</w:t>
      </w:r>
      <w:r>
        <w:rPr>
          <w:rFonts w:hint="default" w:ascii="Arial" w:hAnsi="Arial" w:cs="Arial"/>
          <w:sz w:val="21"/>
          <w:szCs w:val="21"/>
        </w:rPr>
        <w:t xml:space="preserve"> &lt; 0.0001 compared to NC. </w:t>
      </w:r>
      <w:r>
        <w:rPr>
          <w:rFonts w:hint="default" w:ascii="Arial" w:hAnsi="Arial" w:cs="Arial"/>
          <w:b/>
          <w:bCs/>
          <w:sz w:val="21"/>
          <w:szCs w:val="21"/>
          <w:lang w:val="en-US" w:eastAsia="zh-CN"/>
        </w:rPr>
        <w:t>(H)</w:t>
      </w:r>
      <w:r>
        <w:rPr>
          <w:rFonts w:hint="default" w:ascii="Arial" w:hAnsi="Arial" w:cs="Arial"/>
          <w:b/>
          <w:sz w:val="21"/>
          <w:szCs w:val="21"/>
        </w:rPr>
        <w:t xml:space="preserve"> </w:t>
      </w:r>
      <w:r>
        <w:rPr>
          <w:rFonts w:hint="default" w:ascii="Arial" w:hAnsi="Arial" w:cs="Arial"/>
          <w:sz w:val="21"/>
          <w:szCs w:val="21"/>
        </w:rPr>
        <w:t xml:space="preserve">The protein expression of PAI-1 </w:t>
      </w:r>
      <w:r>
        <w:rPr>
          <w:rFonts w:hint="default" w:ascii="Arial" w:hAnsi="Arial" w:eastAsia="等线" w:cs="Arial"/>
          <w:sz w:val="21"/>
          <w:szCs w:val="21"/>
        </w:rPr>
        <w:t xml:space="preserve">in NC and PKM2-KD BT-549 cells </w:t>
      </w:r>
      <w:r>
        <w:rPr>
          <w:rFonts w:hint="default" w:ascii="Arial" w:hAnsi="Arial" w:cs="Arial"/>
          <w:sz w:val="21"/>
          <w:szCs w:val="21"/>
        </w:rPr>
        <w:t xml:space="preserve">was assessed by western blot analyses with the indicated antibodies. </w:t>
      </w:r>
      <w:r>
        <w:rPr>
          <w:rFonts w:hint="default" w:ascii="Arial" w:hAnsi="Arial" w:cs="Arial"/>
          <w:b/>
          <w:bCs/>
          <w:sz w:val="21"/>
          <w:szCs w:val="21"/>
          <w:lang w:val="en-US" w:eastAsia="zh-CN"/>
        </w:rPr>
        <w:t>(I)</w:t>
      </w:r>
      <w:r>
        <w:rPr>
          <w:rFonts w:hint="default" w:ascii="Arial" w:hAnsi="Arial" w:cs="Arial"/>
          <w:b/>
          <w:sz w:val="21"/>
          <w:szCs w:val="21"/>
        </w:rPr>
        <w:t xml:space="preserve"> </w:t>
      </w:r>
      <w:r>
        <w:rPr>
          <w:rFonts w:hint="default" w:ascii="Arial" w:hAnsi="Arial" w:cs="Arial"/>
          <w:sz w:val="21"/>
          <w:szCs w:val="21"/>
        </w:rPr>
        <w:t xml:space="preserve">Western blot analysis of </w:t>
      </w:r>
      <w:r>
        <w:rPr>
          <w:rFonts w:hint="default" w:ascii="Arial" w:hAnsi="Arial" w:eastAsia="等线" w:cs="Arial"/>
          <w:sz w:val="21"/>
          <w:szCs w:val="21"/>
        </w:rPr>
        <w:t xml:space="preserve">the </w:t>
      </w:r>
      <w:r>
        <w:rPr>
          <w:rFonts w:hint="default" w:ascii="Arial" w:hAnsi="Arial" w:cs="Arial"/>
          <w:sz w:val="21"/>
          <w:szCs w:val="21"/>
        </w:rPr>
        <w:t xml:space="preserve">indicated proteins in BT-549 cells treated with NC, PKM2-KD, </w:t>
      </w:r>
      <w:r>
        <w:rPr>
          <w:rFonts w:hint="default" w:ascii="Arial" w:hAnsi="Arial" w:eastAsia="等线" w:cs="Arial"/>
          <w:sz w:val="21"/>
          <w:szCs w:val="21"/>
        </w:rPr>
        <w:t>or</w:t>
      </w:r>
      <w:r>
        <w:rPr>
          <w:rFonts w:hint="default" w:ascii="Arial" w:hAnsi="Arial" w:cs="Arial"/>
          <w:sz w:val="21"/>
          <w:szCs w:val="21"/>
        </w:rPr>
        <w:t xml:space="preserve"> PKM2-KD + PAI-1. GAPDH served as a loading control. </w:t>
      </w:r>
      <w:r>
        <w:rPr>
          <w:rFonts w:hint="default" w:ascii="Arial" w:hAnsi="Arial" w:cs="Arial"/>
          <w:b/>
          <w:bCs/>
          <w:sz w:val="21"/>
          <w:szCs w:val="21"/>
          <w:lang w:val="en-US" w:eastAsia="zh-CN"/>
        </w:rPr>
        <w:t>(J)</w:t>
      </w:r>
      <w:r>
        <w:rPr>
          <w:rFonts w:hint="default" w:ascii="Arial" w:hAnsi="Arial" w:cs="Arial"/>
          <w:sz w:val="21"/>
          <w:szCs w:val="21"/>
        </w:rPr>
        <w:t xml:space="preserve"> Cell proliferation was examined by </w:t>
      </w:r>
      <w:r>
        <w:rPr>
          <w:rFonts w:hint="default" w:ascii="Arial" w:hAnsi="Arial" w:eastAsia="等线" w:cs="Arial"/>
          <w:sz w:val="21"/>
          <w:szCs w:val="21"/>
        </w:rPr>
        <w:t xml:space="preserve">a </w:t>
      </w:r>
      <w:r>
        <w:rPr>
          <w:rFonts w:hint="default" w:ascii="Arial" w:hAnsi="Arial" w:cs="Arial"/>
          <w:sz w:val="21"/>
          <w:szCs w:val="21"/>
        </w:rPr>
        <w:t xml:space="preserve">CCK-8 assay in BT-549 cells treated with NC, PKM2-KD, </w:t>
      </w:r>
      <w:r>
        <w:rPr>
          <w:rFonts w:hint="default" w:ascii="Arial" w:hAnsi="Arial" w:eastAsia="等线" w:cs="Arial"/>
          <w:sz w:val="21"/>
          <w:szCs w:val="21"/>
        </w:rPr>
        <w:t>or</w:t>
      </w:r>
      <w:r>
        <w:rPr>
          <w:rFonts w:hint="default" w:ascii="Arial" w:hAnsi="Arial" w:cs="Arial"/>
          <w:sz w:val="21"/>
          <w:szCs w:val="21"/>
        </w:rPr>
        <w:t xml:space="preserve"> PKM2-KD + PAI-1. </w:t>
      </w:r>
      <w:r>
        <w:rPr>
          <w:rFonts w:hint="default" w:ascii="Arial" w:hAnsi="Arial" w:eastAsia="等线" w:cs="Arial"/>
          <w:sz w:val="21"/>
          <w:szCs w:val="21"/>
        </w:rPr>
        <w:t>The data are presented as the mean ± SD</w:t>
      </w:r>
      <w:r>
        <w:rPr>
          <w:rFonts w:hint="default" w:ascii="Arial" w:hAnsi="Arial" w:cs="Arial"/>
          <w:sz w:val="21"/>
          <w:szCs w:val="21"/>
        </w:rPr>
        <w:t xml:space="preserve"> (n = 5). ***</w:t>
      </w:r>
      <w:r>
        <w:rPr>
          <w:rFonts w:hint="default" w:ascii="Arial" w:hAnsi="Arial" w:cs="Arial"/>
          <w:i/>
          <w:sz w:val="21"/>
          <w:szCs w:val="21"/>
        </w:rPr>
        <w:t>P</w:t>
      </w:r>
      <w:r>
        <w:rPr>
          <w:rFonts w:hint="default" w:ascii="Arial" w:hAnsi="Arial" w:cs="Arial"/>
          <w:sz w:val="21"/>
          <w:szCs w:val="21"/>
        </w:rPr>
        <w:t xml:space="preserve"> &lt; 0.001 compared to </w:t>
      </w:r>
      <w:r>
        <w:rPr>
          <w:rFonts w:hint="default" w:ascii="Arial" w:hAnsi="Arial" w:eastAsia="等线" w:cs="Arial"/>
          <w:sz w:val="21"/>
          <w:szCs w:val="21"/>
        </w:rPr>
        <w:t xml:space="preserve">the </w:t>
      </w:r>
      <w:r>
        <w:rPr>
          <w:rFonts w:hint="default" w:ascii="Arial" w:hAnsi="Arial" w:cs="Arial"/>
          <w:sz w:val="21"/>
          <w:szCs w:val="21"/>
        </w:rPr>
        <w:t xml:space="preserve">PKM2-KD group. </w:t>
      </w:r>
      <w:r>
        <w:rPr>
          <w:rFonts w:hint="default" w:ascii="Arial" w:hAnsi="Arial" w:cs="Arial"/>
          <w:b/>
          <w:bCs/>
          <w:sz w:val="21"/>
          <w:szCs w:val="21"/>
          <w:lang w:val="en-US" w:eastAsia="zh-CN"/>
        </w:rPr>
        <w:t>(K)</w:t>
      </w:r>
      <w:r>
        <w:rPr>
          <w:rFonts w:hint="default" w:ascii="Arial" w:hAnsi="Arial" w:cs="Arial"/>
          <w:b/>
          <w:sz w:val="21"/>
          <w:szCs w:val="21"/>
        </w:rPr>
        <w:t xml:space="preserve"> </w:t>
      </w:r>
      <w:r>
        <w:rPr>
          <w:rFonts w:hint="default" w:ascii="Arial" w:hAnsi="Arial" w:cs="Arial"/>
          <w:sz w:val="21"/>
          <w:szCs w:val="21"/>
        </w:rPr>
        <w:t xml:space="preserve">Colony formation was determined in BT-549 cells treated with NC, PKM2-KD, </w:t>
      </w:r>
      <w:r>
        <w:rPr>
          <w:rFonts w:hint="default" w:ascii="Arial" w:hAnsi="Arial" w:eastAsia="等线" w:cs="Arial"/>
          <w:sz w:val="21"/>
          <w:szCs w:val="21"/>
        </w:rPr>
        <w:t>or</w:t>
      </w:r>
      <w:r>
        <w:rPr>
          <w:rFonts w:hint="default" w:ascii="Arial" w:hAnsi="Arial" w:cs="Arial"/>
          <w:sz w:val="21"/>
          <w:szCs w:val="21"/>
        </w:rPr>
        <w:t xml:space="preserve"> PKM2-KD + PAI-1. </w:t>
      </w:r>
      <w:r>
        <w:rPr>
          <w:rFonts w:hint="default" w:ascii="Arial" w:hAnsi="Arial" w:eastAsia="等线" w:cs="Arial"/>
          <w:sz w:val="21"/>
          <w:szCs w:val="21"/>
        </w:rPr>
        <w:t>The data are presented as the mean ± SD</w:t>
      </w:r>
      <w:r>
        <w:rPr>
          <w:rFonts w:hint="default" w:ascii="Arial" w:hAnsi="Arial" w:cs="Arial"/>
          <w:sz w:val="21"/>
          <w:szCs w:val="21"/>
        </w:rPr>
        <w:t xml:space="preserve"> (n = 3). *</w:t>
      </w:r>
      <w:r>
        <w:rPr>
          <w:rFonts w:hint="default" w:ascii="Arial" w:hAnsi="Arial" w:cs="Arial"/>
          <w:i/>
          <w:sz w:val="21"/>
          <w:szCs w:val="21"/>
        </w:rPr>
        <w:t>P</w:t>
      </w:r>
      <w:r>
        <w:rPr>
          <w:rFonts w:hint="default" w:ascii="Arial" w:hAnsi="Arial" w:cs="Arial"/>
          <w:sz w:val="21"/>
          <w:szCs w:val="21"/>
        </w:rPr>
        <w:t> &lt; 0.05, ***</w:t>
      </w:r>
      <w:r>
        <w:rPr>
          <w:rFonts w:hint="default" w:ascii="Arial" w:hAnsi="Arial" w:cs="Arial"/>
          <w:i/>
          <w:sz w:val="21"/>
          <w:szCs w:val="21"/>
        </w:rPr>
        <w:t>P</w:t>
      </w:r>
      <w:r>
        <w:rPr>
          <w:rFonts w:hint="default" w:ascii="Arial" w:hAnsi="Arial" w:cs="Arial"/>
          <w:sz w:val="21"/>
          <w:szCs w:val="21"/>
        </w:rPr>
        <w:t xml:space="preserve"> &lt; 0.001 compared with </w:t>
      </w:r>
      <w:r>
        <w:rPr>
          <w:rFonts w:hint="default" w:ascii="Arial" w:hAnsi="Arial" w:eastAsia="等线" w:cs="Arial"/>
          <w:sz w:val="21"/>
          <w:szCs w:val="21"/>
        </w:rPr>
        <w:t xml:space="preserve">the </w:t>
      </w:r>
      <w:r>
        <w:rPr>
          <w:rFonts w:hint="default" w:ascii="Arial" w:hAnsi="Arial" w:cs="Arial"/>
          <w:sz w:val="21"/>
          <w:szCs w:val="21"/>
        </w:rPr>
        <w:t xml:space="preserve">PKM2-KD group. </w:t>
      </w:r>
      <w:r>
        <w:rPr>
          <w:rFonts w:hint="default" w:ascii="Arial" w:hAnsi="Arial" w:cs="Arial"/>
          <w:b/>
          <w:bCs/>
          <w:sz w:val="21"/>
          <w:szCs w:val="21"/>
          <w:lang w:val="en-US" w:eastAsia="zh-CN"/>
        </w:rPr>
        <w:t>(L)</w:t>
      </w:r>
      <w:r>
        <w:rPr>
          <w:rFonts w:hint="default" w:ascii="Arial" w:hAnsi="Arial" w:cs="Arial"/>
          <w:sz w:val="21"/>
          <w:szCs w:val="21"/>
        </w:rPr>
        <w:t xml:space="preserve"> Representative images of </w:t>
      </w:r>
      <w:r>
        <w:rPr>
          <w:rFonts w:hint="default" w:ascii="Arial" w:hAnsi="Arial" w:eastAsia="等线" w:cs="Arial"/>
          <w:sz w:val="21"/>
          <w:szCs w:val="21"/>
        </w:rPr>
        <w:t xml:space="preserve">the </w:t>
      </w:r>
      <w:r>
        <w:rPr>
          <w:rFonts w:hint="default" w:ascii="Arial" w:hAnsi="Arial" w:cs="Arial"/>
          <w:sz w:val="21"/>
          <w:szCs w:val="21"/>
        </w:rPr>
        <w:t xml:space="preserve">migration (top panels) and invasion (bottom panels) of BT-549 cells treated with NC, PKM2-KD, </w:t>
      </w:r>
      <w:r>
        <w:rPr>
          <w:rFonts w:hint="default" w:ascii="Arial" w:hAnsi="Arial" w:eastAsia="等线" w:cs="Arial"/>
          <w:sz w:val="21"/>
          <w:szCs w:val="21"/>
        </w:rPr>
        <w:t>or</w:t>
      </w:r>
      <w:r>
        <w:rPr>
          <w:rFonts w:hint="default" w:ascii="Arial" w:hAnsi="Arial" w:cs="Arial"/>
          <w:sz w:val="21"/>
          <w:szCs w:val="21"/>
        </w:rPr>
        <w:t xml:space="preserve"> PKM2-KD + PAI-1. </w:t>
      </w:r>
      <w:r>
        <w:rPr>
          <w:rFonts w:hint="default" w:ascii="Arial" w:hAnsi="Arial" w:eastAsia="等线" w:cs="Arial"/>
          <w:sz w:val="21"/>
          <w:szCs w:val="21"/>
        </w:rPr>
        <w:t>The data are presented as the mean ± SD</w:t>
      </w:r>
      <w:r>
        <w:rPr>
          <w:rFonts w:hint="default" w:ascii="Arial" w:hAnsi="Arial" w:cs="Arial"/>
          <w:sz w:val="21"/>
          <w:szCs w:val="21"/>
        </w:rPr>
        <w:t xml:space="preserve"> (n = 5). **</w:t>
      </w:r>
      <w:r>
        <w:rPr>
          <w:rFonts w:hint="default" w:ascii="Arial" w:hAnsi="Arial" w:cs="Arial"/>
          <w:i/>
          <w:sz w:val="21"/>
          <w:szCs w:val="21"/>
        </w:rPr>
        <w:t>P</w:t>
      </w:r>
      <w:r>
        <w:rPr>
          <w:rFonts w:hint="default" w:ascii="Arial" w:hAnsi="Arial" w:cs="Arial"/>
          <w:sz w:val="21"/>
          <w:szCs w:val="21"/>
        </w:rPr>
        <w:t> &lt; 0.01, ****</w:t>
      </w:r>
      <w:r>
        <w:rPr>
          <w:rFonts w:hint="default" w:ascii="Arial" w:hAnsi="Arial" w:cs="Arial"/>
          <w:i/>
          <w:sz w:val="21"/>
          <w:szCs w:val="21"/>
        </w:rPr>
        <w:t>P</w:t>
      </w:r>
      <w:r>
        <w:rPr>
          <w:rFonts w:hint="default" w:ascii="Arial" w:hAnsi="Arial" w:cs="Arial"/>
          <w:sz w:val="21"/>
          <w:szCs w:val="21"/>
        </w:rPr>
        <w:t xml:space="preserve"> &lt; 0.0001 compared to </w:t>
      </w:r>
      <w:r>
        <w:rPr>
          <w:rFonts w:hint="default" w:ascii="Arial" w:hAnsi="Arial" w:eastAsia="等线" w:cs="Arial"/>
          <w:sz w:val="21"/>
          <w:szCs w:val="21"/>
        </w:rPr>
        <w:t xml:space="preserve">the </w:t>
      </w:r>
      <w:r>
        <w:rPr>
          <w:rFonts w:hint="default" w:ascii="Arial" w:hAnsi="Arial" w:cs="Arial"/>
          <w:sz w:val="21"/>
          <w:szCs w:val="21"/>
        </w:rPr>
        <w:t xml:space="preserve">corresponding control. </w:t>
      </w:r>
      <w:r>
        <w:rPr>
          <w:rFonts w:hint="default" w:ascii="Arial" w:hAnsi="Arial" w:cs="Arial"/>
          <w:b/>
          <w:bCs/>
          <w:sz w:val="21"/>
          <w:szCs w:val="21"/>
          <w:lang w:val="en-US" w:eastAsia="zh-CN"/>
        </w:rPr>
        <w:t>(M)</w:t>
      </w:r>
      <w:r>
        <w:rPr>
          <w:rFonts w:hint="default" w:ascii="Arial" w:hAnsi="Arial" w:cs="Arial"/>
          <w:b/>
          <w:sz w:val="21"/>
          <w:szCs w:val="21"/>
        </w:rPr>
        <w:t xml:space="preserve"> </w:t>
      </w:r>
      <w:r>
        <w:rPr>
          <w:rFonts w:hint="default" w:ascii="Arial" w:hAnsi="Arial" w:cs="Arial"/>
          <w:sz w:val="21"/>
          <w:szCs w:val="21"/>
        </w:rPr>
        <w:t xml:space="preserve">Representative images of IHC staining of PAI-1 in matched normal tissues (n = 60) and TNBC tissues (n = 60). Scale bar, 50 μm. </w:t>
      </w:r>
      <w:r>
        <w:rPr>
          <w:rFonts w:hint="default" w:ascii="Arial" w:hAnsi="Arial" w:cs="Arial"/>
          <w:b/>
          <w:bCs/>
          <w:sz w:val="21"/>
          <w:szCs w:val="21"/>
          <w:lang w:val="en-US" w:eastAsia="zh-CN"/>
        </w:rPr>
        <w:t>(N)</w:t>
      </w:r>
      <w:r>
        <w:rPr>
          <w:rFonts w:hint="default" w:ascii="Arial" w:hAnsi="Arial" w:cs="Arial"/>
          <w:sz w:val="21"/>
          <w:szCs w:val="21"/>
        </w:rPr>
        <w:t xml:space="preserve"> Quantitative analysis of PAI-1 expression levels in matched normal tissue (Normal) and TNBC </w:t>
      </w:r>
      <w:r>
        <w:rPr>
          <w:rFonts w:hint="default" w:ascii="Arial" w:hAnsi="Arial" w:eastAsia="等线" w:cs="Arial"/>
          <w:sz w:val="21"/>
          <w:szCs w:val="21"/>
        </w:rPr>
        <w:t>tissue</w:t>
      </w:r>
      <w:r>
        <w:rPr>
          <w:rFonts w:hint="default" w:ascii="Arial" w:hAnsi="Arial" w:cs="Arial"/>
          <w:sz w:val="21"/>
          <w:szCs w:val="21"/>
        </w:rPr>
        <w:t xml:space="preserve"> (Tumor)</w:t>
      </w:r>
      <w:r>
        <w:rPr>
          <w:rFonts w:hint="default" w:ascii="Arial" w:hAnsi="Arial" w:eastAsia="等线" w:cs="Arial"/>
          <w:sz w:val="21"/>
          <w:szCs w:val="21"/>
        </w:rPr>
        <w:t xml:space="preserve"> samples</w:t>
      </w:r>
      <w:r>
        <w:rPr>
          <w:rFonts w:hint="default" w:ascii="Arial" w:hAnsi="Arial" w:cs="Arial"/>
          <w:sz w:val="21"/>
          <w:szCs w:val="21"/>
        </w:rPr>
        <w:t xml:space="preserve">. </w:t>
      </w:r>
      <w:r>
        <w:rPr>
          <w:rFonts w:hint="default" w:ascii="Arial" w:hAnsi="Arial" w:eastAsia="等线" w:cs="Arial"/>
          <w:sz w:val="21"/>
          <w:szCs w:val="21"/>
        </w:rPr>
        <w:t>The data</w:t>
      </w:r>
      <w:r>
        <w:rPr>
          <w:rFonts w:hint="default" w:ascii="Arial" w:hAnsi="Arial" w:cs="Arial"/>
          <w:sz w:val="21"/>
          <w:szCs w:val="21"/>
        </w:rPr>
        <w:t xml:space="preserve"> are </w:t>
      </w:r>
      <w:bookmarkEnd w:id="2"/>
      <w:bookmarkEnd w:id="3"/>
      <w:r>
        <w:rPr>
          <w:rFonts w:hint="default" w:ascii="Arial" w:hAnsi="Arial" w:eastAsia="等线" w:cs="Arial"/>
          <w:sz w:val="21"/>
          <w:szCs w:val="21"/>
        </w:rPr>
        <w:t>presented as the mean</w:t>
      </w:r>
      <w:r>
        <w:rPr>
          <w:rFonts w:hint="default" w:ascii="Arial" w:hAnsi="Arial" w:cs="Arial"/>
          <w:sz w:val="21"/>
          <w:szCs w:val="21"/>
        </w:rPr>
        <w:t> ± </w:t>
      </w:r>
      <w:r>
        <w:rPr>
          <w:rFonts w:hint="default" w:ascii="Arial" w:hAnsi="Arial" w:eastAsia="等线" w:cs="Arial"/>
          <w:sz w:val="21"/>
          <w:szCs w:val="21"/>
        </w:rPr>
        <w:t>SD</w:t>
      </w:r>
      <w:r>
        <w:rPr>
          <w:rFonts w:hint="default" w:ascii="Arial" w:hAnsi="Arial" w:cs="Arial"/>
          <w:sz w:val="21"/>
          <w:szCs w:val="21"/>
        </w:rPr>
        <w:t>. ***</w:t>
      </w:r>
      <w:r>
        <w:rPr>
          <w:rFonts w:hint="default" w:ascii="Arial" w:hAnsi="Arial" w:cs="Arial"/>
          <w:i/>
          <w:sz w:val="21"/>
          <w:szCs w:val="21"/>
        </w:rPr>
        <w:t>P</w:t>
      </w:r>
      <w:r>
        <w:rPr>
          <w:rFonts w:hint="default" w:ascii="Arial" w:hAnsi="Arial" w:cs="Arial"/>
          <w:sz w:val="21"/>
          <w:szCs w:val="21"/>
        </w:rPr>
        <w:t> &lt; 0.001.</w:t>
      </w:r>
    </w:p>
    <w:p w14:paraId="3E0C2A22">
      <w:pPr>
        <w:spacing w:line="480" w:lineRule="auto"/>
        <w:rPr>
          <w:rFonts w:ascii="Times New Roman" w:hAnsi="Times New Roman" w:cs="Times New Roman"/>
          <w:sz w:val="24"/>
        </w:rPr>
      </w:pPr>
    </w:p>
    <w:p w14:paraId="4FE70F89">
      <w:pPr>
        <w:spacing w:line="480" w:lineRule="auto"/>
        <w:rPr>
          <w:rFonts w:ascii="Times New Roman" w:hAnsi="Times New Roman" w:cs="Times New Roman"/>
          <w:sz w:val="24"/>
        </w:rPr>
      </w:pPr>
    </w:p>
    <w:p w14:paraId="6E92918E">
      <w:pPr>
        <w:spacing w:line="480" w:lineRule="auto"/>
        <w:rPr>
          <w:rFonts w:ascii="Times New Roman" w:hAnsi="Times New Roman" w:cs="Times New Roman"/>
          <w:sz w:val="24"/>
        </w:rPr>
      </w:pPr>
    </w:p>
    <w:p w14:paraId="4260BA18">
      <w:pPr>
        <w:spacing w:line="480" w:lineRule="auto"/>
        <w:rPr>
          <w:rFonts w:ascii="Times New Roman" w:hAnsi="Times New Roman" w:cs="Times New Roman"/>
          <w:sz w:val="24"/>
        </w:rPr>
      </w:pPr>
    </w:p>
    <w:p w14:paraId="3014BF0F">
      <w:pPr>
        <w:spacing w:line="480" w:lineRule="auto"/>
        <w:rPr>
          <w:rFonts w:ascii="Times New Roman" w:hAnsi="Times New Roman" w:cs="Times New Roman"/>
          <w:sz w:val="24"/>
        </w:rPr>
      </w:pPr>
    </w:p>
    <w:p w14:paraId="3F0FDAA2">
      <w:pPr>
        <w:spacing w:line="480" w:lineRule="auto"/>
        <w:rPr>
          <w:rFonts w:ascii="Times New Roman" w:hAnsi="Times New Roman" w:cs="Times New Roman"/>
          <w:sz w:val="24"/>
        </w:rPr>
      </w:pPr>
    </w:p>
    <w:p w14:paraId="57FEBF84">
      <w:pPr>
        <w:spacing w:line="480" w:lineRule="auto"/>
        <w:rPr>
          <w:rFonts w:ascii="Times New Roman" w:hAnsi="Times New Roman" w:cs="Times New Roman"/>
          <w:sz w:val="24"/>
        </w:rPr>
      </w:pPr>
    </w:p>
    <w:p w14:paraId="78A514E8">
      <w:pPr>
        <w:spacing w:line="480" w:lineRule="auto"/>
        <w:rPr>
          <w:rFonts w:ascii="Times New Roman" w:hAnsi="Times New Roman" w:cs="Times New Roman"/>
          <w:sz w:val="24"/>
        </w:rPr>
      </w:pPr>
    </w:p>
    <w:p w14:paraId="174E763E">
      <w:pPr>
        <w:spacing w:line="480" w:lineRule="auto"/>
        <w:rPr>
          <w:rFonts w:ascii="Times New Roman" w:hAnsi="Times New Roman" w:cs="Times New Roman"/>
          <w:sz w:val="24"/>
        </w:rPr>
      </w:pPr>
    </w:p>
    <w:p w14:paraId="7C341E1D">
      <w:pPr>
        <w:spacing w:line="480" w:lineRule="auto"/>
        <w:rPr>
          <w:rFonts w:ascii="Times New Roman" w:hAnsi="Times New Roman" w:cs="Times New Roman"/>
          <w:sz w:val="24"/>
        </w:rPr>
      </w:pPr>
    </w:p>
    <w:p w14:paraId="634FF926">
      <w:pPr>
        <w:spacing w:line="480" w:lineRule="auto"/>
        <w:rPr>
          <w:rFonts w:ascii="Times New Roman" w:hAnsi="Times New Roman" w:cs="Times New Roman"/>
          <w:sz w:val="24"/>
        </w:rPr>
      </w:pPr>
    </w:p>
    <w:p w14:paraId="43F8FAE2">
      <w:pPr>
        <w:spacing w:line="480" w:lineRule="auto"/>
        <w:rPr>
          <w:rFonts w:ascii="Times New Roman" w:hAnsi="Times New Roman" w:cs="Times New Roman"/>
          <w:sz w:val="24"/>
        </w:rPr>
      </w:pPr>
    </w:p>
    <w:p w14:paraId="7624C2C4">
      <w:pPr>
        <w:spacing w:line="480" w:lineRule="auto"/>
        <w:rPr>
          <w:rFonts w:ascii="Times New Roman" w:hAnsi="Times New Roman" w:cs="Times New Roman"/>
          <w:sz w:val="24"/>
        </w:rPr>
      </w:pPr>
    </w:p>
    <w:p w14:paraId="4C7DA367">
      <w:pPr>
        <w:spacing w:line="480" w:lineRule="auto"/>
        <w:rPr>
          <w:rFonts w:ascii="Times New Roman" w:hAnsi="Times New Roman" w:cs="Times New Roman"/>
          <w:sz w:val="24"/>
        </w:rPr>
      </w:pPr>
    </w:p>
    <w:p w14:paraId="28AA2909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 w:eastAsiaTheme="minorEastAsia"/>
          <w:sz w:val="24"/>
          <w:lang w:eastAsia="zh-CN"/>
        </w:rPr>
        <w:drawing>
          <wp:inline distT="0" distB="0" distL="114300" distR="114300">
            <wp:extent cx="5154930" cy="1993265"/>
            <wp:effectExtent l="0" t="0" r="7620" b="6985"/>
            <wp:docPr id="2" name="图片 2" descr="Supplementary materials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ry materials_03"/>
                    <pic:cNvPicPr>
                      <a:picLocks noChangeAspect="1"/>
                    </pic:cNvPicPr>
                  </pic:nvPicPr>
                  <pic:blipFill>
                    <a:blip r:embed="rId7"/>
                    <a:srcRect l="3472" t="4349" r="3087" b="70637"/>
                    <a:stretch>
                      <a:fillRect/>
                    </a:stretch>
                  </pic:blipFill>
                  <pic:spPr>
                    <a:xfrm>
                      <a:off x="0" y="0"/>
                      <a:ext cx="5154930" cy="199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CFF10">
      <w:pPr>
        <w:spacing w:line="480" w:lineRule="auto"/>
        <w:rPr>
          <w:rFonts w:hint="default" w:ascii="Arial" w:hAnsi="Arial" w:cs="Arial"/>
          <w:b/>
          <w:sz w:val="21"/>
          <w:szCs w:val="21"/>
        </w:rPr>
      </w:pPr>
      <w:bookmarkStart w:id="4" w:name="OLE_LINK4"/>
      <w:bookmarkStart w:id="5" w:name="OLE_LINK3"/>
      <w:r>
        <w:rPr>
          <w:rFonts w:hint="default" w:ascii="Arial" w:hAnsi="Arial" w:cs="Arial"/>
          <w:b/>
          <w:bCs w:val="0"/>
          <w:sz w:val="21"/>
          <w:szCs w:val="21"/>
        </w:rPr>
        <w:t xml:space="preserve">Figure </w:t>
      </w:r>
      <w:r>
        <w:rPr>
          <w:rFonts w:hint="default" w:ascii="Arial" w:hAnsi="Arial" w:cs="Arial"/>
          <w:b/>
          <w:bCs w:val="0"/>
          <w:sz w:val="21"/>
          <w:szCs w:val="21"/>
          <w:lang w:val="en-US" w:eastAsia="zh-CN"/>
        </w:rPr>
        <w:t>S3</w:t>
      </w:r>
      <w:r>
        <w:rPr>
          <w:rFonts w:hint="default" w:ascii="Arial" w:hAnsi="Arial" w:cs="Arial"/>
          <w:b/>
          <w:bCs w:val="0"/>
          <w:sz w:val="21"/>
          <w:szCs w:val="21"/>
        </w:rPr>
        <w:t xml:space="preserve">. Prediction of crucial amino acids of PKM2 </w:t>
      </w:r>
      <w:r>
        <w:rPr>
          <w:rFonts w:hint="default" w:ascii="Arial" w:hAnsi="Arial" w:eastAsia="等线" w:cs="Arial"/>
          <w:b/>
          <w:bCs w:val="0"/>
          <w:sz w:val="21"/>
          <w:szCs w:val="21"/>
        </w:rPr>
        <w:t>that interact</w:t>
      </w:r>
      <w:r>
        <w:rPr>
          <w:rFonts w:hint="default" w:ascii="Arial" w:hAnsi="Arial" w:cs="Arial"/>
          <w:b/>
          <w:bCs w:val="0"/>
          <w:sz w:val="21"/>
          <w:szCs w:val="21"/>
        </w:rPr>
        <w:t xml:space="preserve"> with NONO.</w:t>
      </w:r>
      <w:r>
        <w:rPr>
          <w:rFonts w:hint="default" w:ascii="Arial" w:hAnsi="Arial" w:cs="Arial"/>
          <w:b/>
          <w:sz w:val="21"/>
          <w:szCs w:val="21"/>
        </w:rPr>
        <w:t xml:space="preserve"> </w:t>
      </w:r>
      <w:bookmarkEnd w:id="4"/>
      <w:bookmarkEnd w:id="5"/>
    </w:p>
    <w:p w14:paraId="22F4FE8F">
      <w:pPr>
        <w:spacing w:line="48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sz w:val="21"/>
          <w:szCs w:val="21"/>
          <w:lang w:val="en-US" w:eastAsia="zh-CN"/>
        </w:rPr>
        <w:t>(</w:t>
      </w:r>
      <w:r>
        <w:rPr>
          <w:rFonts w:hint="default" w:ascii="Arial" w:hAnsi="Arial" w:cs="Arial"/>
          <w:b/>
          <w:sz w:val="21"/>
          <w:szCs w:val="21"/>
        </w:rPr>
        <w:t>A</w:t>
      </w:r>
      <w:r>
        <w:rPr>
          <w:rFonts w:hint="default" w:ascii="Arial" w:hAnsi="Arial" w:cs="Arial"/>
          <w:b/>
          <w:sz w:val="21"/>
          <w:szCs w:val="21"/>
          <w:lang w:val="en-US" w:eastAsia="zh-CN"/>
        </w:rPr>
        <w:t>)</w:t>
      </w:r>
      <w:r>
        <w:rPr>
          <w:rFonts w:hint="default" w:ascii="Arial" w:hAnsi="Arial" w:cs="Arial"/>
          <w:b/>
          <w:sz w:val="21"/>
          <w:szCs w:val="21"/>
        </w:rPr>
        <w:t xml:space="preserve"> </w:t>
      </w:r>
      <w:r>
        <w:rPr>
          <w:rFonts w:hint="default" w:ascii="Arial" w:hAnsi="Arial" w:cs="Arial"/>
          <w:sz w:val="21"/>
          <w:szCs w:val="21"/>
        </w:rPr>
        <w:t>The molecular docking model for NONO (</w:t>
      </w:r>
      <w:r>
        <w:rPr>
          <w:rFonts w:hint="default" w:ascii="Arial" w:hAnsi="Arial" w:eastAsia="等线" w:cs="Arial"/>
          <w:sz w:val="21"/>
          <w:szCs w:val="21"/>
        </w:rPr>
        <w:t>green</w:t>
      </w:r>
      <w:r>
        <w:rPr>
          <w:rFonts w:hint="default" w:ascii="Arial" w:hAnsi="Arial" w:cs="Arial"/>
          <w:sz w:val="21"/>
          <w:szCs w:val="21"/>
        </w:rPr>
        <w:t>) and PKM2 (</w:t>
      </w:r>
      <w:r>
        <w:rPr>
          <w:rFonts w:hint="default" w:ascii="Arial" w:hAnsi="Arial" w:eastAsia="等线" w:cs="Arial"/>
          <w:sz w:val="21"/>
          <w:szCs w:val="21"/>
        </w:rPr>
        <w:t>yellow</w:t>
      </w:r>
      <w:r>
        <w:rPr>
          <w:rFonts w:hint="default" w:ascii="Arial" w:hAnsi="Arial" w:cs="Arial"/>
          <w:sz w:val="21"/>
          <w:szCs w:val="21"/>
        </w:rPr>
        <w:t xml:space="preserve">) was predicted using </w:t>
      </w:r>
      <w:r>
        <w:rPr>
          <w:rFonts w:hint="default" w:ascii="Arial" w:hAnsi="Arial" w:eastAsia="等线" w:cs="Arial"/>
          <w:sz w:val="21"/>
          <w:szCs w:val="21"/>
        </w:rPr>
        <w:t xml:space="preserve">the </w:t>
      </w:r>
      <w:r>
        <w:rPr>
          <w:rFonts w:hint="default" w:ascii="Arial" w:hAnsi="Arial" w:cs="Arial"/>
          <w:sz w:val="21"/>
          <w:szCs w:val="21"/>
        </w:rPr>
        <w:t xml:space="preserve">ZDOCK server </w:t>
      </w:r>
      <w:r>
        <w:rPr>
          <w:rFonts w:hint="default" w:ascii="Arial" w:hAnsi="Arial" w:cs="Arial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Arial" w:hAnsi="Arial" w:cs="Arial"/>
          <w:sz w:val="21"/>
          <w:szCs w:val="21"/>
        </w:rPr>
        <w:fldChar w:fldCharType="begin"/>
      </w:r>
      <w:r>
        <w:rPr>
          <w:rFonts w:hint="default" w:ascii="Arial" w:hAnsi="Arial" w:cs="Arial"/>
          <w:sz w:val="21"/>
          <w:szCs w:val="21"/>
        </w:rPr>
        <w:instrText xml:space="preserve"> HYPERLINK "https://zdock.umassmed.edu/" </w:instrText>
      </w:r>
      <w:r>
        <w:rPr>
          <w:rFonts w:hint="default" w:ascii="Arial" w:hAnsi="Arial" w:cs="Arial"/>
          <w:sz w:val="21"/>
          <w:szCs w:val="21"/>
        </w:rPr>
        <w:fldChar w:fldCharType="separate"/>
      </w:r>
      <w:r>
        <w:rPr>
          <w:rStyle w:val="7"/>
          <w:rFonts w:hint="default" w:ascii="Arial" w:hAnsi="Arial" w:cs="Arial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  <w:t>https://zdock.umassmed.edu/</w:t>
      </w:r>
      <w:r>
        <w:rPr>
          <w:rStyle w:val="7"/>
          <w:rFonts w:hint="default" w:ascii="Arial" w:hAnsi="Arial" w:cs="Arial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Arial" w:hAnsi="Arial" w:cs="Arial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)</w:t>
      </w:r>
      <w:r>
        <w:rPr>
          <w:rFonts w:hint="default" w:ascii="Arial" w:hAnsi="Arial" w:cs="Arial"/>
          <w:sz w:val="21"/>
          <w:szCs w:val="21"/>
        </w:rPr>
        <w:t xml:space="preserve">. </w:t>
      </w:r>
      <w:r>
        <w:rPr>
          <w:rFonts w:hint="default" w:ascii="Arial" w:hAnsi="Arial" w:cs="Arial"/>
          <w:b/>
          <w:sz w:val="21"/>
          <w:szCs w:val="21"/>
          <w:lang w:val="en-US" w:eastAsia="zh-CN"/>
        </w:rPr>
        <w:t>(B)</w:t>
      </w:r>
      <w:r>
        <w:rPr>
          <w:rFonts w:hint="default" w:ascii="Arial" w:hAnsi="Arial" w:cs="Arial"/>
          <w:sz w:val="21"/>
          <w:szCs w:val="21"/>
        </w:rPr>
        <w:t xml:space="preserve"> Predicted amino acid residues responsible for the interaction between NONO and PKM2.</w:t>
      </w:r>
    </w:p>
    <w:p w14:paraId="2BD687F2">
      <w:pPr>
        <w:spacing w:line="480" w:lineRule="auto"/>
        <w:rPr>
          <w:rFonts w:ascii="Times New Roman" w:hAnsi="Times New Roman" w:cs="Times New Roman"/>
          <w:sz w:val="24"/>
        </w:rPr>
      </w:pPr>
    </w:p>
    <w:p w14:paraId="52E6324A">
      <w:pPr>
        <w:spacing w:line="480" w:lineRule="auto"/>
        <w:rPr>
          <w:rFonts w:ascii="Times New Roman" w:hAnsi="Times New Roman" w:cs="Times New Roman"/>
          <w:sz w:val="24"/>
        </w:rPr>
      </w:pPr>
    </w:p>
    <w:p w14:paraId="13126E32">
      <w:pPr>
        <w:spacing w:line="480" w:lineRule="auto"/>
        <w:rPr>
          <w:rFonts w:ascii="Times New Roman" w:hAnsi="Times New Roman" w:cs="Times New Roman"/>
          <w:sz w:val="24"/>
        </w:rPr>
      </w:pPr>
    </w:p>
    <w:p w14:paraId="0C8EF59B">
      <w:pPr>
        <w:spacing w:line="480" w:lineRule="auto"/>
        <w:rPr>
          <w:rFonts w:ascii="Times New Roman" w:hAnsi="Times New Roman" w:cs="Times New Roman"/>
          <w:sz w:val="24"/>
        </w:rPr>
      </w:pPr>
    </w:p>
    <w:p w14:paraId="7E7CC713">
      <w:pPr>
        <w:spacing w:line="480" w:lineRule="auto"/>
        <w:rPr>
          <w:rFonts w:ascii="Times New Roman" w:hAnsi="Times New Roman" w:cs="Times New Roman"/>
          <w:sz w:val="24"/>
        </w:rPr>
      </w:pPr>
    </w:p>
    <w:p w14:paraId="33B4FD12">
      <w:pPr>
        <w:spacing w:line="480" w:lineRule="auto"/>
        <w:rPr>
          <w:rFonts w:ascii="Times New Roman" w:hAnsi="Times New Roman" w:cs="Times New Roman"/>
          <w:sz w:val="24"/>
        </w:rPr>
      </w:pPr>
    </w:p>
    <w:p w14:paraId="353CAC26">
      <w:pPr>
        <w:spacing w:line="480" w:lineRule="auto"/>
        <w:rPr>
          <w:rFonts w:ascii="Times New Roman" w:hAnsi="Times New Roman" w:cs="Times New Roman"/>
          <w:sz w:val="24"/>
        </w:rPr>
      </w:pPr>
    </w:p>
    <w:p w14:paraId="1D7672DE">
      <w:pPr>
        <w:spacing w:line="480" w:lineRule="auto"/>
        <w:rPr>
          <w:rFonts w:ascii="Times New Roman" w:hAnsi="Times New Roman" w:cs="Times New Roman"/>
          <w:sz w:val="24"/>
        </w:rPr>
      </w:pPr>
    </w:p>
    <w:p w14:paraId="591C11A0">
      <w:pPr>
        <w:spacing w:line="480" w:lineRule="auto"/>
        <w:jc w:val="center"/>
        <w:rPr>
          <w:rFonts w:hint="eastAsia" w:ascii="Times New Roman" w:hAnsi="Times New Roman" w:cs="Times New Roman" w:eastAsiaTheme="minorEastAsia"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lang w:eastAsia="zh-CN"/>
        </w:rPr>
        <w:drawing>
          <wp:inline distT="0" distB="0" distL="114300" distR="114300">
            <wp:extent cx="5152390" cy="2658745"/>
            <wp:effectExtent l="0" t="0" r="10160" b="8255"/>
            <wp:docPr id="3" name="图片 3" descr="Supplementary materials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upplementary materials_04"/>
                    <pic:cNvPicPr>
                      <a:picLocks noChangeAspect="1"/>
                    </pic:cNvPicPr>
                  </pic:nvPicPr>
                  <pic:blipFill>
                    <a:blip r:embed="rId8"/>
                    <a:srcRect l="5076" t="5008" r="3641" b="62382"/>
                    <a:stretch>
                      <a:fillRect/>
                    </a:stretch>
                  </pic:blipFill>
                  <pic:spPr>
                    <a:xfrm>
                      <a:off x="0" y="0"/>
                      <a:ext cx="5152390" cy="265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CFF32">
      <w:pPr>
        <w:spacing w:line="480" w:lineRule="auto"/>
        <w:rPr>
          <w:rFonts w:hint="default" w:ascii="Arial" w:hAnsi="Arial" w:cs="Arial"/>
          <w:sz w:val="21"/>
          <w:szCs w:val="21"/>
        </w:rPr>
      </w:pPr>
      <w:bookmarkStart w:id="6" w:name="OLE_LINK6"/>
      <w:bookmarkStart w:id="7" w:name="OLE_LINK5"/>
      <w:r>
        <w:rPr>
          <w:rFonts w:hint="default" w:ascii="Arial" w:hAnsi="Arial" w:cs="Arial"/>
          <w:b/>
          <w:bCs w:val="0"/>
          <w:sz w:val="21"/>
          <w:szCs w:val="21"/>
        </w:rPr>
        <w:t xml:space="preserve">Figure </w:t>
      </w:r>
      <w:r>
        <w:rPr>
          <w:rFonts w:hint="default" w:ascii="Arial" w:hAnsi="Arial" w:cs="Arial"/>
          <w:b/>
          <w:bCs w:val="0"/>
          <w:sz w:val="21"/>
          <w:szCs w:val="21"/>
          <w:lang w:val="en-US" w:eastAsia="zh-CN"/>
        </w:rPr>
        <w:t>S4</w:t>
      </w:r>
      <w:r>
        <w:rPr>
          <w:rFonts w:hint="default" w:ascii="Arial" w:hAnsi="Arial" w:cs="Arial"/>
          <w:b/>
          <w:bCs w:val="0"/>
          <w:sz w:val="21"/>
          <w:szCs w:val="21"/>
        </w:rPr>
        <w:t>. Genomic tracks of NONO and H3T11ph in MDA-MB-231 cells.</w:t>
      </w:r>
      <w:bookmarkEnd w:id="6"/>
      <w:bookmarkEnd w:id="7"/>
      <w:r>
        <w:rPr>
          <w:rFonts w:hint="default" w:ascii="Arial" w:hAnsi="Arial" w:cs="Arial"/>
          <w:sz w:val="21"/>
          <w:szCs w:val="21"/>
        </w:rPr>
        <w:t xml:space="preserve"> </w:t>
      </w:r>
    </w:p>
    <w:p w14:paraId="602A1A24">
      <w:pPr>
        <w:spacing w:line="48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sz w:val="21"/>
          <w:szCs w:val="21"/>
          <w:lang w:val="en-US" w:eastAsia="zh-CN"/>
        </w:rPr>
        <w:t>(</w:t>
      </w:r>
      <w:r>
        <w:rPr>
          <w:rFonts w:hint="default" w:ascii="Arial" w:hAnsi="Arial" w:cs="Arial"/>
          <w:b/>
          <w:sz w:val="21"/>
          <w:szCs w:val="21"/>
        </w:rPr>
        <w:t>A</w:t>
      </w:r>
      <w:r>
        <w:rPr>
          <w:rFonts w:hint="default" w:ascii="Arial" w:hAnsi="Arial" w:cs="Arial"/>
          <w:b/>
          <w:sz w:val="21"/>
          <w:szCs w:val="21"/>
          <w:lang w:val="en-US" w:eastAsia="zh-CN"/>
        </w:rPr>
        <w:t>)</w:t>
      </w:r>
      <w:r>
        <w:rPr>
          <w:rFonts w:hint="default" w:ascii="Arial" w:hAnsi="Arial" w:cs="Arial"/>
          <w:b/>
          <w:sz w:val="21"/>
          <w:szCs w:val="21"/>
        </w:rPr>
        <w:t xml:space="preserve"> </w:t>
      </w:r>
      <w:r>
        <w:rPr>
          <w:rFonts w:hint="default" w:ascii="Arial" w:hAnsi="Arial" w:cs="Arial"/>
          <w:sz w:val="21"/>
          <w:szCs w:val="21"/>
        </w:rPr>
        <w:t>CUT&amp;Tag</w:t>
      </w:r>
      <w:r>
        <w:rPr>
          <w:rFonts w:hint="default" w:ascii="Arial" w:hAnsi="Arial" w:cs="Arial"/>
          <w:b/>
          <w:sz w:val="21"/>
          <w:szCs w:val="21"/>
        </w:rPr>
        <w:t xml:space="preserve"> </w:t>
      </w:r>
      <w:r>
        <w:rPr>
          <w:rFonts w:hint="default" w:ascii="Arial" w:hAnsi="Arial" w:cs="Arial"/>
          <w:sz w:val="21"/>
          <w:szCs w:val="21"/>
        </w:rPr>
        <w:t>p</w:t>
      </w:r>
      <w:r>
        <w:rPr>
          <w:rFonts w:hint="default" w:ascii="Arial" w:hAnsi="Arial" w:cs="Arial"/>
          <w:bCs/>
          <w:sz w:val="21"/>
          <w:szCs w:val="21"/>
        </w:rPr>
        <w:t xml:space="preserve">rofiles for NONO enrichment in NONO knockdown and NC control </w:t>
      </w:r>
      <w:r>
        <w:rPr>
          <w:rFonts w:hint="default" w:ascii="Arial" w:hAnsi="Arial" w:cs="Arial"/>
          <w:sz w:val="21"/>
          <w:szCs w:val="21"/>
        </w:rPr>
        <w:t>MDA-MB-231 cells</w:t>
      </w:r>
      <w:r>
        <w:rPr>
          <w:rFonts w:hint="default" w:ascii="Arial" w:hAnsi="Arial" w:cs="Arial"/>
          <w:bCs/>
          <w:sz w:val="21"/>
          <w:szCs w:val="21"/>
        </w:rPr>
        <w:t xml:space="preserve">, and H3T11ph enrichment in PKM2 knockdown and NC control </w:t>
      </w:r>
      <w:r>
        <w:rPr>
          <w:rFonts w:hint="default" w:ascii="Arial" w:hAnsi="Arial" w:cs="Arial"/>
          <w:sz w:val="21"/>
          <w:szCs w:val="21"/>
        </w:rPr>
        <w:t>MDA-MB-231 cells aligned with human chromosomes</w:t>
      </w:r>
      <w:r>
        <w:rPr>
          <w:rFonts w:hint="default" w:ascii="Arial" w:hAnsi="Arial" w:cs="Arial"/>
          <w:bCs/>
          <w:sz w:val="21"/>
          <w:szCs w:val="21"/>
        </w:rPr>
        <w:t xml:space="preserve">. </w:t>
      </w:r>
      <w:r>
        <w:rPr>
          <w:rFonts w:hint="default" w:ascii="Arial" w:hAnsi="Arial" w:cs="Arial"/>
          <w:b/>
          <w:sz w:val="21"/>
          <w:szCs w:val="21"/>
          <w:lang w:val="en-US" w:eastAsia="zh-CN"/>
        </w:rPr>
        <w:t>(B)</w:t>
      </w:r>
      <w:r>
        <w:rPr>
          <w:rFonts w:hint="default" w:ascii="Arial" w:hAnsi="Arial" w:cs="Arial"/>
          <w:bCs/>
          <w:sz w:val="21"/>
          <w:szCs w:val="21"/>
        </w:rPr>
        <w:t xml:space="preserve"> Correlations between enrichment changes </w:t>
      </w:r>
      <w:r>
        <w:rPr>
          <w:rFonts w:hint="default" w:ascii="Arial" w:hAnsi="Arial" w:eastAsia="等线" w:cs="Arial"/>
          <w:bCs/>
          <w:sz w:val="21"/>
          <w:szCs w:val="21"/>
        </w:rPr>
        <w:t>in</w:t>
      </w:r>
      <w:r>
        <w:rPr>
          <w:rFonts w:hint="default" w:ascii="Arial" w:hAnsi="Arial" w:cs="Arial"/>
          <w:bCs/>
          <w:sz w:val="21"/>
          <w:szCs w:val="21"/>
        </w:rPr>
        <w:t xml:space="preserve"> NONO and H3T11ph, H3T11ph and H3K27ac, </w:t>
      </w:r>
      <w:r>
        <w:rPr>
          <w:rFonts w:hint="default" w:ascii="Arial" w:hAnsi="Arial" w:eastAsia="等线" w:cs="Arial"/>
          <w:bCs/>
          <w:sz w:val="21"/>
          <w:szCs w:val="21"/>
        </w:rPr>
        <w:t xml:space="preserve">or </w:t>
      </w:r>
      <w:r>
        <w:rPr>
          <w:rFonts w:hint="default" w:ascii="Arial" w:hAnsi="Arial" w:cs="Arial"/>
          <w:bCs/>
          <w:sz w:val="21"/>
          <w:szCs w:val="21"/>
        </w:rPr>
        <w:t xml:space="preserve">NONO and H3K27ac at promoters in </w:t>
      </w:r>
      <w:r>
        <w:rPr>
          <w:rFonts w:hint="default" w:ascii="Arial" w:hAnsi="Arial" w:cs="Arial"/>
          <w:sz w:val="21"/>
          <w:szCs w:val="21"/>
        </w:rPr>
        <w:t>MDA-MB-231 cells</w:t>
      </w:r>
      <w:r>
        <w:rPr>
          <w:rFonts w:hint="default" w:ascii="Arial" w:hAnsi="Arial" w:cs="Arial"/>
          <w:bCs/>
          <w:sz w:val="21"/>
          <w:szCs w:val="21"/>
        </w:rPr>
        <w:t>.</w:t>
      </w:r>
      <w:r>
        <w:rPr>
          <w:rFonts w:hint="default" w:ascii="Arial" w:hAnsi="Arial" w:cs="Arial"/>
          <w:sz w:val="21"/>
          <w:szCs w:val="21"/>
        </w:rPr>
        <w:t xml:space="preserve"> Each dot </w:t>
      </w:r>
      <w:r>
        <w:rPr>
          <w:rFonts w:hint="default" w:ascii="Arial" w:hAnsi="Arial" w:eastAsia="等线" w:cs="Arial"/>
          <w:sz w:val="21"/>
          <w:szCs w:val="21"/>
        </w:rPr>
        <w:t>indicates</w:t>
      </w:r>
      <w:r>
        <w:rPr>
          <w:rFonts w:hint="default" w:ascii="Arial" w:hAnsi="Arial" w:cs="Arial"/>
          <w:sz w:val="21"/>
          <w:szCs w:val="21"/>
        </w:rPr>
        <w:t xml:space="preserve"> a single promoter. r, correlation coefficients that were assessed by Pearson product-moment correlation.</w:t>
      </w:r>
    </w:p>
    <w:p w14:paraId="394688E5">
      <w:pPr>
        <w:spacing w:line="480" w:lineRule="auto"/>
        <w:rPr>
          <w:rFonts w:ascii="Times New Roman" w:hAnsi="Times New Roman" w:cs="Times New Roman"/>
          <w:sz w:val="24"/>
        </w:rPr>
      </w:pPr>
    </w:p>
    <w:p w14:paraId="4A39BF01">
      <w:pPr>
        <w:spacing w:line="480" w:lineRule="auto"/>
        <w:jc w:val="center"/>
        <w:rPr>
          <w:rFonts w:hint="eastAsia" w:ascii="Times New Roman" w:hAnsi="Times New Roman" w:cs="Times New Roman" w:eastAsiaTheme="minorEastAsia"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lang w:eastAsia="zh-CN"/>
        </w:rPr>
        <w:drawing>
          <wp:inline distT="0" distB="0" distL="114300" distR="114300">
            <wp:extent cx="5266690" cy="3127375"/>
            <wp:effectExtent l="0" t="0" r="0" b="0"/>
            <wp:docPr id="8" name="图片 8" descr="Supplementary materials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Supplementary materials_05"/>
                    <pic:cNvPicPr>
                      <a:picLocks noChangeAspect="1"/>
                    </pic:cNvPicPr>
                  </pic:nvPicPr>
                  <pic:blipFill>
                    <a:blip r:embed="rId9"/>
                    <a:srcRect t="4107" b="5478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2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AD6DC">
      <w:pPr>
        <w:spacing w:line="480" w:lineRule="auto"/>
        <w:rPr>
          <w:rFonts w:hint="default" w:ascii="Arial" w:hAnsi="Arial" w:cs="Arial"/>
          <w:b/>
          <w:sz w:val="21"/>
          <w:szCs w:val="21"/>
        </w:rPr>
      </w:pPr>
      <w:bookmarkStart w:id="8" w:name="OLE_LINK8"/>
      <w:bookmarkStart w:id="9" w:name="OLE_LINK7"/>
      <w:r>
        <w:rPr>
          <w:rFonts w:hint="default" w:ascii="Arial" w:hAnsi="Arial" w:cs="Arial"/>
          <w:b/>
          <w:bCs w:val="0"/>
          <w:sz w:val="21"/>
          <w:szCs w:val="21"/>
        </w:rPr>
        <w:t xml:space="preserve">Figure </w:t>
      </w:r>
      <w:r>
        <w:rPr>
          <w:rFonts w:hint="default" w:ascii="Arial" w:hAnsi="Arial" w:cs="Arial"/>
          <w:b/>
          <w:bCs w:val="0"/>
          <w:sz w:val="21"/>
          <w:szCs w:val="21"/>
          <w:lang w:val="en-US" w:eastAsia="zh-CN"/>
        </w:rPr>
        <w:t>S5</w:t>
      </w:r>
      <w:r>
        <w:rPr>
          <w:rFonts w:hint="default" w:ascii="Arial" w:hAnsi="Arial" w:cs="Arial"/>
          <w:b/>
          <w:bCs w:val="0"/>
          <w:sz w:val="21"/>
          <w:szCs w:val="21"/>
        </w:rPr>
        <w:t xml:space="preserve">. PKM2 transcriptionally </w:t>
      </w:r>
      <w:r>
        <w:rPr>
          <w:rFonts w:hint="default" w:ascii="Arial" w:hAnsi="Arial" w:eastAsia="等线" w:cs="Arial"/>
          <w:b/>
          <w:bCs w:val="0"/>
          <w:sz w:val="21"/>
          <w:szCs w:val="21"/>
        </w:rPr>
        <w:t>activates</w:t>
      </w:r>
      <w:r>
        <w:rPr>
          <w:rFonts w:hint="default" w:ascii="Arial" w:hAnsi="Arial" w:cs="Arial"/>
          <w:b/>
          <w:bCs w:val="0"/>
          <w:sz w:val="21"/>
          <w:szCs w:val="21"/>
        </w:rPr>
        <w:t xml:space="preserve"> </w:t>
      </w:r>
      <w:r>
        <w:rPr>
          <w:rFonts w:hint="default" w:ascii="Arial" w:hAnsi="Arial" w:cs="Arial"/>
          <w:b/>
          <w:bCs w:val="0"/>
          <w:i/>
          <w:sz w:val="21"/>
          <w:szCs w:val="21"/>
        </w:rPr>
        <w:t>KAT5</w:t>
      </w:r>
      <w:r>
        <w:rPr>
          <w:rFonts w:hint="default" w:ascii="Arial" w:hAnsi="Arial" w:cs="Arial"/>
          <w:b/>
          <w:bCs w:val="0"/>
          <w:sz w:val="21"/>
          <w:szCs w:val="21"/>
        </w:rPr>
        <w:t>, which results in H3K27ac in MDA-MB-231 cells.</w:t>
      </w:r>
      <w:r>
        <w:rPr>
          <w:rFonts w:hint="default" w:ascii="Arial" w:hAnsi="Arial" w:cs="Arial"/>
          <w:b/>
          <w:sz w:val="21"/>
          <w:szCs w:val="21"/>
        </w:rPr>
        <w:t xml:space="preserve"> </w:t>
      </w:r>
      <w:bookmarkEnd w:id="8"/>
      <w:bookmarkEnd w:id="9"/>
    </w:p>
    <w:p w14:paraId="246160BB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hint="default" w:ascii="Arial" w:hAnsi="Arial" w:cs="Arial"/>
          <w:b/>
          <w:sz w:val="21"/>
          <w:szCs w:val="21"/>
          <w:lang w:val="en-US" w:eastAsia="zh-CN"/>
        </w:rPr>
        <w:t>(</w:t>
      </w:r>
      <w:r>
        <w:rPr>
          <w:rFonts w:hint="default" w:ascii="Arial" w:hAnsi="Arial" w:cs="Arial"/>
          <w:b/>
          <w:sz w:val="21"/>
          <w:szCs w:val="21"/>
        </w:rPr>
        <w:t>A</w:t>
      </w:r>
      <w:r>
        <w:rPr>
          <w:rFonts w:hint="default" w:ascii="Arial" w:hAnsi="Arial" w:cs="Arial"/>
          <w:b/>
          <w:sz w:val="21"/>
          <w:szCs w:val="21"/>
          <w:lang w:val="en-US" w:eastAsia="zh-CN"/>
        </w:rPr>
        <w:t>)</w:t>
      </w:r>
      <w:r>
        <w:rPr>
          <w:rFonts w:hint="default" w:ascii="Arial" w:hAnsi="Arial" w:cs="Arial"/>
          <w:sz w:val="21"/>
          <w:szCs w:val="21"/>
        </w:rPr>
        <w:t xml:space="preserve"> Western blot analysis of </w:t>
      </w:r>
      <w:r>
        <w:rPr>
          <w:rFonts w:hint="default" w:ascii="Arial" w:hAnsi="Arial" w:eastAsia="等线" w:cs="Arial"/>
          <w:sz w:val="21"/>
          <w:szCs w:val="21"/>
        </w:rPr>
        <w:t xml:space="preserve">the </w:t>
      </w:r>
      <w:r>
        <w:rPr>
          <w:rFonts w:hint="default" w:ascii="Arial" w:hAnsi="Arial" w:cs="Arial"/>
          <w:sz w:val="21"/>
          <w:szCs w:val="21"/>
        </w:rPr>
        <w:t xml:space="preserve">indicated proteins in NC and PKM2-knockdown MDA-MB-231 cells. GAPDH served as a loading control. </w:t>
      </w:r>
      <w:r>
        <w:rPr>
          <w:rFonts w:hint="default" w:ascii="Arial" w:hAnsi="Arial" w:cs="Arial"/>
          <w:b/>
          <w:sz w:val="21"/>
          <w:szCs w:val="21"/>
          <w:lang w:val="en-US" w:eastAsia="zh-CN"/>
        </w:rPr>
        <w:t>(B)</w:t>
      </w:r>
      <w:r>
        <w:rPr>
          <w:rFonts w:hint="default" w:ascii="Arial" w:hAnsi="Arial" w:cs="Arial"/>
          <w:sz w:val="21"/>
          <w:szCs w:val="21"/>
        </w:rPr>
        <w:t xml:space="preserve"> </w:t>
      </w:r>
      <w:r>
        <w:rPr>
          <w:rFonts w:hint="default" w:ascii="Arial" w:hAnsi="Arial" w:eastAsia="等线" w:cs="Arial"/>
          <w:sz w:val="21"/>
          <w:szCs w:val="21"/>
        </w:rPr>
        <w:t>The relative</w:t>
      </w:r>
      <w:r>
        <w:rPr>
          <w:rFonts w:hint="default" w:ascii="Arial" w:hAnsi="Arial" w:cs="Arial"/>
          <w:sz w:val="21"/>
          <w:szCs w:val="21"/>
        </w:rPr>
        <w:t xml:space="preserve"> mRNA level of </w:t>
      </w:r>
      <w:r>
        <w:rPr>
          <w:rFonts w:hint="default" w:ascii="Arial" w:hAnsi="Arial" w:cs="Arial"/>
          <w:i/>
          <w:sz w:val="21"/>
          <w:szCs w:val="21"/>
        </w:rPr>
        <w:t>KAT5</w:t>
      </w:r>
      <w:r>
        <w:rPr>
          <w:rFonts w:hint="default" w:ascii="Arial" w:hAnsi="Arial" w:cs="Arial"/>
          <w:sz w:val="21"/>
          <w:szCs w:val="21"/>
        </w:rPr>
        <w:t xml:space="preserve"> normalized to </w:t>
      </w:r>
      <w:r>
        <w:rPr>
          <w:rFonts w:hint="default" w:ascii="Arial" w:hAnsi="Arial" w:eastAsia="等线" w:cs="Arial"/>
          <w:sz w:val="21"/>
          <w:szCs w:val="21"/>
        </w:rPr>
        <w:t xml:space="preserve">that of </w:t>
      </w:r>
      <w:r>
        <w:rPr>
          <w:rFonts w:hint="default" w:ascii="Arial" w:hAnsi="Arial" w:cs="Arial"/>
          <w:i/>
          <w:sz w:val="21"/>
          <w:szCs w:val="21"/>
        </w:rPr>
        <w:t>GAPDH</w:t>
      </w:r>
      <w:r>
        <w:rPr>
          <w:rFonts w:hint="default" w:ascii="Arial" w:hAnsi="Arial" w:cs="Arial"/>
          <w:sz w:val="21"/>
          <w:szCs w:val="21"/>
        </w:rPr>
        <w:t xml:space="preserve"> was examined by </w:t>
      </w:r>
      <w:r>
        <w:rPr>
          <w:rFonts w:hint="default" w:ascii="Arial" w:hAnsi="Arial" w:eastAsia="等线" w:cs="Arial"/>
          <w:sz w:val="21"/>
          <w:szCs w:val="21"/>
        </w:rPr>
        <w:t>RT‒qPCR</w:t>
      </w:r>
      <w:r>
        <w:rPr>
          <w:rFonts w:hint="default" w:ascii="Arial" w:hAnsi="Arial" w:cs="Arial"/>
          <w:sz w:val="21"/>
          <w:szCs w:val="21"/>
        </w:rPr>
        <w:t xml:space="preserve"> in NC and PKM2-silenced MDA-MB-231 cells. </w:t>
      </w:r>
      <w:r>
        <w:rPr>
          <w:rFonts w:hint="default" w:ascii="Arial" w:hAnsi="Arial" w:eastAsia="等线" w:cs="Arial"/>
          <w:sz w:val="21"/>
          <w:szCs w:val="21"/>
        </w:rPr>
        <w:t>The data are presented as the mean ± SD</w:t>
      </w:r>
      <w:r>
        <w:rPr>
          <w:rFonts w:hint="default" w:ascii="Arial" w:hAnsi="Arial" w:cs="Arial"/>
          <w:sz w:val="21"/>
          <w:szCs w:val="21"/>
        </w:rPr>
        <w:t xml:space="preserve"> (n = 3). **</w:t>
      </w:r>
      <w:r>
        <w:rPr>
          <w:rFonts w:hint="default" w:ascii="Arial" w:hAnsi="Arial" w:cs="Arial"/>
          <w:i/>
          <w:sz w:val="21"/>
          <w:szCs w:val="21"/>
        </w:rPr>
        <w:t>P</w:t>
      </w:r>
      <w:r>
        <w:rPr>
          <w:rFonts w:hint="default" w:ascii="Arial" w:hAnsi="Arial" w:cs="Arial"/>
          <w:sz w:val="21"/>
          <w:szCs w:val="21"/>
        </w:rPr>
        <w:t> &lt; 0.01, ****</w:t>
      </w:r>
      <w:r>
        <w:rPr>
          <w:rFonts w:hint="default" w:ascii="Arial" w:hAnsi="Arial" w:cs="Arial"/>
          <w:i/>
          <w:sz w:val="21"/>
          <w:szCs w:val="21"/>
        </w:rPr>
        <w:t>P</w:t>
      </w:r>
      <w:r>
        <w:rPr>
          <w:rFonts w:hint="default" w:ascii="Arial" w:hAnsi="Arial" w:cs="Arial"/>
          <w:sz w:val="21"/>
          <w:szCs w:val="21"/>
        </w:rPr>
        <w:t xml:space="preserve"> &lt; 0.0001 compared to </w:t>
      </w:r>
      <w:r>
        <w:rPr>
          <w:rFonts w:hint="default" w:ascii="Arial" w:hAnsi="Arial" w:eastAsia="等线" w:cs="Arial"/>
          <w:sz w:val="21"/>
          <w:szCs w:val="21"/>
        </w:rPr>
        <w:t xml:space="preserve">the </w:t>
      </w:r>
      <w:r>
        <w:rPr>
          <w:rFonts w:hint="default" w:ascii="Arial" w:hAnsi="Arial" w:cs="Arial"/>
          <w:sz w:val="21"/>
          <w:szCs w:val="21"/>
        </w:rPr>
        <w:t xml:space="preserve">NC group. </w:t>
      </w:r>
      <w:r>
        <w:rPr>
          <w:rFonts w:hint="default" w:ascii="Arial" w:hAnsi="Arial" w:cs="Arial"/>
          <w:b/>
          <w:sz w:val="21"/>
          <w:szCs w:val="21"/>
          <w:lang w:val="en-US" w:eastAsia="zh-CN"/>
        </w:rPr>
        <w:t>(C)</w:t>
      </w:r>
      <w:r>
        <w:rPr>
          <w:rFonts w:hint="default" w:ascii="Arial" w:hAnsi="Arial" w:cs="Arial"/>
          <w:sz w:val="21"/>
          <w:szCs w:val="21"/>
        </w:rPr>
        <w:t xml:space="preserve"> IGV tracks </w:t>
      </w:r>
      <w:r>
        <w:rPr>
          <w:rFonts w:hint="default" w:ascii="Arial" w:hAnsi="Arial" w:eastAsia="等线" w:cs="Arial"/>
          <w:sz w:val="21"/>
          <w:szCs w:val="21"/>
        </w:rPr>
        <w:t>showing</w:t>
      </w:r>
      <w:r>
        <w:rPr>
          <w:rFonts w:hint="default" w:ascii="Arial" w:hAnsi="Arial" w:cs="Arial"/>
          <w:sz w:val="21"/>
          <w:szCs w:val="21"/>
        </w:rPr>
        <w:t xml:space="preserve"> the enrichment of H3T11ph </w:t>
      </w:r>
      <w:r>
        <w:rPr>
          <w:rFonts w:hint="default" w:ascii="Arial" w:hAnsi="Arial" w:eastAsia="等线" w:cs="Arial"/>
          <w:sz w:val="21"/>
          <w:szCs w:val="21"/>
        </w:rPr>
        <w:t>signals</w:t>
      </w:r>
      <w:r>
        <w:rPr>
          <w:rFonts w:hint="default" w:ascii="Arial" w:hAnsi="Arial" w:cs="Arial"/>
          <w:sz w:val="21"/>
          <w:szCs w:val="21"/>
        </w:rPr>
        <w:t xml:space="preserve"> at </w:t>
      </w:r>
      <w:r>
        <w:rPr>
          <w:rFonts w:hint="default" w:ascii="Arial" w:hAnsi="Arial" w:cs="Arial"/>
          <w:i/>
          <w:sz w:val="21"/>
          <w:szCs w:val="21"/>
        </w:rPr>
        <w:t>KAT5</w:t>
      </w:r>
      <w:r>
        <w:rPr>
          <w:rFonts w:hint="default" w:ascii="Arial" w:hAnsi="Arial" w:cs="Arial"/>
          <w:sz w:val="21"/>
          <w:szCs w:val="21"/>
        </w:rPr>
        <w:t xml:space="preserve"> loci from CUT&amp;Tag data in NC and PKM2-KD MDA-MB-231 cells. </w:t>
      </w:r>
      <w:r>
        <w:rPr>
          <w:rFonts w:hint="default" w:ascii="Arial" w:hAnsi="Arial" w:cs="Arial"/>
          <w:b/>
          <w:sz w:val="21"/>
          <w:szCs w:val="21"/>
          <w:lang w:val="en-US" w:eastAsia="zh-CN"/>
        </w:rPr>
        <w:t>(D)</w:t>
      </w:r>
      <w:r>
        <w:rPr>
          <w:rFonts w:hint="default" w:ascii="Arial" w:hAnsi="Arial" w:cs="Arial"/>
          <w:b/>
          <w:sz w:val="21"/>
          <w:szCs w:val="21"/>
        </w:rPr>
        <w:t xml:space="preserve"> </w:t>
      </w:r>
      <w:r>
        <w:rPr>
          <w:rFonts w:hint="default" w:ascii="Arial" w:hAnsi="Arial" w:eastAsia="等线" w:cs="Arial"/>
          <w:sz w:val="21"/>
          <w:szCs w:val="21"/>
        </w:rPr>
        <w:t>ChIP‒qPCR</w:t>
      </w:r>
      <w:r>
        <w:rPr>
          <w:rFonts w:hint="default" w:ascii="Arial" w:hAnsi="Arial" w:cs="Arial"/>
          <w:sz w:val="21"/>
          <w:szCs w:val="21"/>
        </w:rPr>
        <w:t xml:space="preserve"> was used to assess the enrichment of H3T11ph </w:t>
      </w:r>
      <w:r>
        <w:rPr>
          <w:rFonts w:hint="default" w:ascii="Arial" w:hAnsi="Arial" w:eastAsia="等线" w:cs="Arial"/>
          <w:sz w:val="21"/>
          <w:szCs w:val="21"/>
        </w:rPr>
        <w:t>at</w:t>
      </w:r>
      <w:r>
        <w:rPr>
          <w:rFonts w:hint="default" w:ascii="Arial" w:hAnsi="Arial" w:cs="Arial"/>
          <w:sz w:val="21"/>
          <w:szCs w:val="21"/>
        </w:rPr>
        <w:t xml:space="preserve"> </w:t>
      </w:r>
      <w:r>
        <w:rPr>
          <w:rFonts w:hint="default" w:ascii="Arial" w:hAnsi="Arial" w:cs="Arial"/>
          <w:i/>
          <w:sz w:val="21"/>
          <w:szCs w:val="21"/>
        </w:rPr>
        <w:t xml:space="preserve">KAT5 </w:t>
      </w:r>
      <w:r>
        <w:rPr>
          <w:rFonts w:hint="default" w:ascii="Arial" w:hAnsi="Arial" w:cs="Arial"/>
          <w:sz w:val="21"/>
          <w:szCs w:val="21"/>
        </w:rPr>
        <w:t xml:space="preserve">loci in NC and PKM2-KD MDA-MB-231 cells. IgG served as a negative control. </w:t>
      </w:r>
      <w:r>
        <w:rPr>
          <w:rFonts w:hint="default" w:ascii="Arial" w:hAnsi="Arial" w:eastAsia="等线" w:cs="Arial"/>
          <w:sz w:val="21"/>
          <w:szCs w:val="21"/>
        </w:rPr>
        <w:t>The data are presented as the mean ± SD</w:t>
      </w:r>
      <w:r>
        <w:rPr>
          <w:rFonts w:hint="default" w:ascii="Arial" w:hAnsi="Arial" w:cs="Arial"/>
          <w:sz w:val="21"/>
          <w:szCs w:val="21"/>
        </w:rPr>
        <w:t xml:space="preserve"> (n = 3). ***</w:t>
      </w:r>
      <w:r>
        <w:rPr>
          <w:rFonts w:hint="default" w:ascii="Arial" w:hAnsi="Arial" w:cs="Arial"/>
          <w:i/>
          <w:sz w:val="21"/>
          <w:szCs w:val="21"/>
        </w:rPr>
        <w:t>P</w:t>
      </w:r>
      <w:r>
        <w:rPr>
          <w:rFonts w:hint="default" w:ascii="Arial" w:hAnsi="Arial" w:cs="Arial"/>
          <w:sz w:val="21"/>
          <w:szCs w:val="21"/>
        </w:rPr>
        <w:t xml:space="preserve"> &lt; 0.001 compared to </w:t>
      </w:r>
      <w:r>
        <w:rPr>
          <w:rFonts w:hint="default" w:ascii="Arial" w:hAnsi="Arial" w:eastAsia="等线" w:cs="Arial"/>
          <w:sz w:val="21"/>
          <w:szCs w:val="21"/>
        </w:rPr>
        <w:t xml:space="preserve">the </w:t>
      </w:r>
      <w:r>
        <w:rPr>
          <w:rFonts w:hint="default" w:ascii="Arial" w:hAnsi="Arial" w:cs="Arial"/>
          <w:sz w:val="21"/>
          <w:szCs w:val="21"/>
        </w:rPr>
        <w:t xml:space="preserve">NC group. </w:t>
      </w:r>
      <w:r>
        <w:rPr>
          <w:rFonts w:hint="default" w:ascii="Arial" w:hAnsi="Arial" w:cs="Arial"/>
          <w:b/>
          <w:sz w:val="21"/>
          <w:szCs w:val="21"/>
          <w:lang w:val="en-US" w:eastAsia="zh-CN"/>
        </w:rPr>
        <w:t>(E)</w:t>
      </w:r>
      <w:r>
        <w:rPr>
          <w:rFonts w:hint="default" w:ascii="Arial" w:hAnsi="Arial" w:cs="Arial"/>
          <w:sz w:val="21"/>
          <w:szCs w:val="21"/>
        </w:rPr>
        <w:t xml:space="preserve"> </w:t>
      </w:r>
      <w:r>
        <w:rPr>
          <w:rFonts w:hint="default" w:ascii="Arial" w:hAnsi="Arial" w:eastAsia="等线" w:cs="Arial"/>
          <w:sz w:val="21"/>
          <w:szCs w:val="21"/>
        </w:rPr>
        <w:t>The relative</w:t>
      </w:r>
      <w:r>
        <w:rPr>
          <w:rFonts w:hint="default" w:ascii="Arial" w:hAnsi="Arial" w:cs="Arial"/>
          <w:sz w:val="21"/>
          <w:szCs w:val="21"/>
        </w:rPr>
        <w:t xml:space="preserve"> mRNA level of </w:t>
      </w:r>
      <w:r>
        <w:rPr>
          <w:rFonts w:hint="default" w:ascii="Arial" w:hAnsi="Arial" w:cs="Arial"/>
          <w:i/>
          <w:sz w:val="21"/>
          <w:szCs w:val="21"/>
        </w:rPr>
        <w:t>SERPINE1</w:t>
      </w:r>
      <w:r>
        <w:rPr>
          <w:rFonts w:hint="default" w:ascii="Arial" w:hAnsi="Arial" w:cs="Arial"/>
          <w:sz w:val="21"/>
          <w:szCs w:val="21"/>
        </w:rPr>
        <w:t xml:space="preserve"> normalized to </w:t>
      </w:r>
      <w:r>
        <w:rPr>
          <w:rFonts w:hint="default" w:ascii="Arial" w:hAnsi="Arial" w:eastAsia="等线" w:cs="Arial"/>
          <w:sz w:val="21"/>
          <w:szCs w:val="21"/>
        </w:rPr>
        <w:t xml:space="preserve">that of </w:t>
      </w:r>
      <w:r>
        <w:rPr>
          <w:rFonts w:hint="default" w:ascii="Arial" w:hAnsi="Arial" w:cs="Arial"/>
          <w:i/>
          <w:sz w:val="21"/>
          <w:szCs w:val="21"/>
        </w:rPr>
        <w:t>GAPDH</w:t>
      </w:r>
      <w:r>
        <w:rPr>
          <w:rFonts w:hint="default" w:ascii="Arial" w:hAnsi="Arial" w:cs="Arial"/>
          <w:sz w:val="21"/>
          <w:szCs w:val="21"/>
        </w:rPr>
        <w:t xml:space="preserve"> was examined by </w:t>
      </w:r>
      <w:r>
        <w:rPr>
          <w:rFonts w:hint="default" w:ascii="Arial" w:hAnsi="Arial" w:eastAsia="等线" w:cs="Arial"/>
          <w:sz w:val="21"/>
          <w:szCs w:val="21"/>
        </w:rPr>
        <w:t>RT‒qPCR</w:t>
      </w:r>
      <w:r>
        <w:rPr>
          <w:rFonts w:hint="default" w:ascii="Arial" w:hAnsi="Arial" w:cs="Arial"/>
          <w:sz w:val="21"/>
          <w:szCs w:val="21"/>
        </w:rPr>
        <w:t xml:space="preserve"> in NC and TIP60-silenced MDA-MB-231 cells. </w:t>
      </w:r>
      <w:r>
        <w:rPr>
          <w:rFonts w:hint="default" w:ascii="Arial" w:hAnsi="Arial" w:eastAsia="等线" w:cs="Arial"/>
          <w:sz w:val="21"/>
          <w:szCs w:val="21"/>
        </w:rPr>
        <w:t>The data are presented as the mean ± SD</w:t>
      </w:r>
      <w:r>
        <w:rPr>
          <w:rFonts w:hint="default" w:ascii="Arial" w:hAnsi="Arial" w:cs="Arial"/>
          <w:sz w:val="21"/>
          <w:szCs w:val="21"/>
        </w:rPr>
        <w:t xml:space="preserve"> (n = 3). ****</w:t>
      </w:r>
      <w:r>
        <w:rPr>
          <w:rFonts w:hint="default" w:ascii="Arial" w:hAnsi="Arial" w:cs="Arial"/>
          <w:i/>
          <w:sz w:val="21"/>
          <w:szCs w:val="21"/>
        </w:rPr>
        <w:t>P</w:t>
      </w:r>
      <w:r>
        <w:rPr>
          <w:rFonts w:hint="default" w:ascii="Arial" w:hAnsi="Arial" w:cs="Arial"/>
          <w:sz w:val="21"/>
          <w:szCs w:val="21"/>
        </w:rPr>
        <w:t xml:space="preserve"> &lt; 0.0001 compared to </w:t>
      </w:r>
      <w:r>
        <w:rPr>
          <w:rFonts w:hint="default" w:ascii="Arial" w:hAnsi="Arial" w:eastAsia="等线" w:cs="Arial"/>
          <w:sz w:val="21"/>
          <w:szCs w:val="21"/>
        </w:rPr>
        <w:t xml:space="preserve">the </w:t>
      </w:r>
      <w:r>
        <w:rPr>
          <w:rFonts w:hint="default" w:ascii="Arial" w:hAnsi="Arial" w:cs="Arial"/>
          <w:sz w:val="21"/>
          <w:szCs w:val="21"/>
        </w:rPr>
        <w:t xml:space="preserve">NC group. </w:t>
      </w:r>
      <w:r>
        <w:rPr>
          <w:rFonts w:hint="default" w:ascii="Arial" w:hAnsi="Arial" w:cs="Arial"/>
          <w:b/>
          <w:sz w:val="21"/>
          <w:szCs w:val="21"/>
          <w:lang w:val="en-US" w:eastAsia="zh-CN"/>
        </w:rPr>
        <w:t>(F)</w:t>
      </w:r>
      <w:r>
        <w:rPr>
          <w:rFonts w:hint="default" w:ascii="Arial" w:hAnsi="Arial" w:cs="Arial"/>
          <w:sz w:val="21"/>
          <w:szCs w:val="21"/>
        </w:rPr>
        <w:t xml:space="preserve"> Western blot analysis of </w:t>
      </w:r>
      <w:r>
        <w:rPr>
          <w:rFonts w:hint="default" w:ascii="Arial" w:hAnsi="Arial" w:eastAsia="等线" w:cs="Arial"/>
          <w:sz w:val="21"/>
          <w:szCs w:val="21"/>
        </w:rPr>
        <w:t xml:space="preserve">the </w:t>
      </w:r>
      <w:r>
        <w:rPr>
          <w:rFonts w:hint="default" w:ascii="Arial" w:hAnsi="Arial" w:cs="Arial"/>
          <w:sz w:val="21"/>
          <w:szCs w:val="21"/>
        </w:rPr>
        <w:t xml:space="preserve">indicated proteins in NC and TIP60-KD MDA-MB-231 cells. GAPDH and histone H3 served as loading </w:t>
      </w:r>
      <w:r>
        <w:rPr>
          <w:rFonts w:hint="default" w:ascii="Arial" w:hAnsi="Arial" w:eastAsia="等线" w:cs="Arial"/>
          <w:sz w:val="21"/>
          <w:szCs w:val="21"/>
        </w:rPr>
        <w:t>controls</w:t>
      </w:r>
      <w:r>
        <w:rPr>
          <w:rFonts w:hint="default" w:ascii="Arial" w:hAnsi="Arial" w:cs="Arial"/>
          <w:sz w:val="21"/>
          <w:szCs w:val="21"/>
        </w:rPr>
        <w:t xml:space="preserve">. </w:t>
      </w:r>
      <w:r>
        <w:rPr>
          <w:rFonts w:hint="default" w:ascii="Arial" w:hAnsi="Arial" w:cs="Arial"/>
          <w:b/>
          <w:sz w:val="21"/>
          <w:szCs w:val="21"/>
          <w:lang w:val="en-US" w:eastAsia="zh-CN"/>
        </w:rPr>
        <w:t>(G)</w:t>
      </w:r>
      <w:r>
        <w:rPr>
          <w:rFonts w:hint="default" w:ascii="Arial" w:hAnsi="Arial" w:cs="Arial"/>
          <w:sz w:val="21"/>
          <w:szCs w:val="21"/>
        </w:rPr>
        <w:t xml:space="preserve"> Western blot analysis of </w:t>
      </w:r>
      <w:r>
        <w:rPr>
          <w:rFonts w:hint="default" w:ascii="Arial" w:hAnsi="Arial" w:eastAsia="等线" w:cs="Arial"/>
          <w:sz w:val="21"/>
          <w:szCs w:val="21"/>
        </w:rPr>
        <w:t xml:space="preserve">the </w:t>
      </w:r>
      <w:r>
        <w:rPr>
          <w:rFonts w:hint="default" w:ascii="Arial" w:hAnsi="Arial" w:cs="Arial"/>
          <w:sz w:val="21"/>
          <w:szCs w:val="21"/>
        </w:rPr>
        <w:t xml:space="preserve">indicated proteins in MDA-MB-231 cells treated with NC, PKM2-KD, </w:t>
      </w:r>
      <w:r>
        <w:rPr>
          <w:rFonts w:hint="default" w:ascii="Arial" w:hAnsi="Arial" w:eastAsia="等线" w:cs="Arial"/>
          <w:sz w:val="21"/>
          <w:szCs w:val="21"/>
        </w:rPr>
        <w:t xml:space="preserve">or </w:t>
      </w:r>
      <w:r>
        <w:rPr>
          <w:rFonts w:hint="default" w:ascii="Arial" w:hAnsi="Arial" w:cs="Arial"/>
          <w:sz w:val="21"/>
          <w:szCs w:val="21"/>
        </w:rPr>
        <w:t xml:space="preserve">PKM2-KD + TIP60. GAPDH and histone H3 served as loading </w:t>
      </w:r>
      <w:r>
        <w:rPr>
          <w:rFonts w:hint="default" w:ascii="Arial" w:hAnsi="Arial" w:eastAsia="等线" w:cs="Arial"/>
          <w:sz w:val="21"/>
          <w:szCs w:val="21"/>
        </w:rPr>
        <w:t>controls</w:t>
      </w:r>
      <w:r>
        <w:rPr>
          <w:rFonts w:hint="default" w:ascii="Arial" w:hAnsi="Arial" w:cs="Arial"/>
          <w:sz w:val="21"/>
          <w:szCs w:val="21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</w:p>
    <w:p w14:paraId="0F199FC5">
      <w:pPr>
        <w:spacing w:line="480" w:lineRule="auto"/>
        <w:rPr>
          <w:rFonts w:ascii="Times New Roman" w:hAnsi="Times New Roman" w:cs="Times New Roman"/>
          <w:sz w:val="24"/>
        </w:rPr>
      </w:pPr>
    </w:p>
    <w:p w14:paraId="2616AFC1">
      <w:pPr>
        <w:spacing w:line="480" w:lineRule="auto"/>
        <w:rPr>
          <w:rFonts w:ascii="Times New Roman" w:hAnsi="Times New Roman" w:cs="Times New Roman"/>
          <w:sz w:val="24"/>
        </w:rPr>
      </w:pPr>
    </w:p>
    <w:p w14:paraId="616DFF0A">
      <w:pPr>
        <w:spacing w:line="480" w:lineRule="auto"/>
        <w:rPr>
          <w:rFonts w:ascii="Times New Roman" w:hAnsi="Times New Roman" w:cs="Times New Roman"/>
          <w:sz w:val="24"/>
        </w:rPr>
      </w:pPr>
    </w:p>
    <w:p w14:paraId="09059EC9">
      <w:pPr>
        <w:spacing w:line="480" w:lineRule="auto"/>
        <w:rPr>
          <w:rFonts w:ascii="Times New Roman" w:hAnsi="Times New Roman" w:cs="Times New Roman"/>
          <w:sz w:val="24"/>
        </w:rPr>
      </w:pPr>
    </w:p>
    <w:p w14:paraId="70344577">
      <w:pPr>
        <w:spacing w:line="480" w:lineRule="auto"/>
        <w:rPr>
          <w:rFonts w:ascii="Times New Roman" w:hAnsi="Times New Roman" w:cs="Times New Roman"/>
          <w:sz w:val="24"/>
        </w:rPr>
      </w:pPr>
    </w:p>
    <w:p w14:paraId="2FFBEF56">
      <w:pPr>
        <w:spacing w:line="480" w:lineRule="auto"/>
        <w:rPr>
          <w:rFonts w:ascii="Times New Roman" w:hAnsi="Times New Roman" w:cs="Times New Roman"/>
          <w:sz w:val="24"/>
        </w:rPr>
      </w:pPr>
    </w:p>
    <w:p w14:paraId="416336B1">
      <w:pPr>
        <w:spacing w:line="480" w:lineRule="auto"/>
        <w:rPr>
          <w:rFonts w:ascii="Times New Roman" w:hAnsi="Times New Roman" w:cs="Times New Roman"/>
          <w:sz w:val="24"/>
        </w:rPr>
      </w:pPr>
    </w:p>
    <w:p w14:paraId="2F160BC1">
      <w:pPr>
        <w:spacing w:line="480" w:lineRule="auto"/>
        <w:rPr>
          <w:rFonts w:ascii="Times New Roman" w:hAnsi="Times New Roman" w:cs="Times New Roman"/>
          <w:sz w:val="24"/>
        </w:rPr>
      </w:pPr>
    </w:p>
    <w:p w14:paraId="1CDEFAC9">
      <w:pPr>
        <w:spacing w:line="480" w:lineRule="auto"/>
        <w:rPr>
          <w:rFonts w:ascii="Times New Roman" w:hAnsi="Times New Roman" w:cs="Times New Roman"/>
          <w:sz w:val="24"/>
        </w:rPr>
      </w:pPr>
    </w:p>
    <w:p w14:paraId="261C5B30">
      <w:pPr>
        <w:spacing w:line="480" w:lineRule="auto"/>
        <w:rPr>
          <w:rFonts w:ascii="Times New Roman" w:hAnsi="Times New Roman" w:cs="Times New Roman"/>
          <w:sz w:val="24"/>
        </w:rPr>
      </w:pPr>
    </w:p>
    <w:p w14:paraId="46C8B7D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>
        <w:drawing>
          <wp:inline distT="0" distB="0" distL="0" distR="0">
            <wp:extent cx="4948555" cy="3877310"/>
            <wp:effectExtent l="0" t="0" r="4445" b="0"/>
            <wp:docPr id="173508344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083449" name="图片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48555" cy="387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40815">
      <w:pPr>
        <w:spacing w:line="480" w:lineRule="auto"/>
        <w:rPr>
          <w:rFonts w:hint="default" w:ascii="Arial" w:hAnsi="Arial" w:cs="Arial"/>
          <w:b/>
          <w:bCs w:val="0"/>
          <w:sz w:val="21"/>
          <w:szCs w:val="21"/>
        </w:rPr>
      </w:pPr>
      <w:bookmarkStart w:id="10" w:name="OLE_LINK9"/>
      <w:r>
        <w:rPr>
          <w:rFonts w:hint="default" w:ascii="Arial" w:hAnsi="Arial" w:cs="Arial"/>
          <w:b/>
          <w:bCs w:val="0"/>
          <w:sz w:val="21"/>
          <w:szCs w:val="21"/>
        </w:rPr>
        <w:t xml:space="preserve">Figure </w:t>
      </w:r>
      <w:r>
        <w:rPr>
          <w:rFonts w:hint="default" w:ascii="Arial" w:hAnsi="Arial" w:cs="Arial"/>
          <w:b/>
          <w:bCs w:val="0"/>
          <w:sz w:val="21"/>
          <w:szCs w:val="21"/>
          <w:lang w:val="en-US" w:eastAsia="zh-CN"/>
        </w:rPr>
        <w:t>S6</w:t>
      </w:r>
      <w:r>
        <w:rPr>
          <w:rFonts w:hint="default" w:ascii="Arial" w:hAnsi="Arial" w:cs="Arial"/>
          <w:b/>
          <w:bCs w:val="0"/>
          <w:sz w:val="21"/>
          <w:szCs w:val="21"/>
        </w:rPr>
        <w:t xml:space="preserve">. PKM2 transcriptionally </w:t>
      </w:r>
      <w:r>
        <w:rPr>
          <w:rFonts w:hint="default" w:ascii="Arial" w:hAnsi="Arial" w:eastAsia="等线" w:cs="Arial"/>
          <w:b/>
          <w:bCs w:val="0"/>
          <w:sz w:val="21"/>
          <w:szCs w:val="21"/>
        </w:rPr>
        <w:t>activates</w:t>
      </w:r>
      <w:r>
        <w:rPr>
          <w:rFonts w:hint="default" w:ascii="Arial" w:hAnsi="Arial" w:cs="Arial"/>
          <w:b/>
          <w:bCs w:val="0"/>
          <w:sz w:val="21"/>
          <w:szCs w:val="21"/>
        </w:rPr>
        <w:t xml:space="preserve"> </w:t>
      </w:r>
      <w:r>
        <w:rPr>
          <w:rFonts w:hint="default" w:ascii="Arial" w:hAnsi="Arial" w:cs="Arial"/>
          <w:b/>
          <w:bCs w:val="0"/>
          <w:i/>
          <w:sz w:val="21"/>
          <w:szCs w:val="21"/>
        </w:rPr>
        <w:t>KAT5</w:t>
      </w:r>
      <w:r>
        <w:rPr>
          <w:rFonts w:hint="default" w:ascii="Arial" w:hAnsi="Arial" w:cs="Arial"/>
          <w:b/>
          <w:bCs w:val="0"/>
          <w:sz w:val="21"/>
          <w:szCs w:val="21"/>
        </w:rPr>
        <w:t>, which results in H3K27ac in BT-549 cells.</w:t>
      </w:r>
      <w:bookmarkEnd w:id="10"/>
      <w:r>
        <w:rPr>
          <w:rFonts w:hint="default" w:ascii="Arial" w:hAnsi="Arial" w:cs="Arial"/>
          <w:b/>
          <w:bCs w:val="0"/>
          <w:sz w:val="21"/>
          <w:szCs w:val="21"/>
        </w:rPr>
        <w:t xml:space="preserve"> </w:t>
      </w:r>
    </w:p>
    <w:p w14:paraId="1D412E50">
      <w:pPr>
        <w:spacing w:line="48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sz w:val="21"/>
          <w:szCs w:val="21"/>
          <w:lang w:val="en-US" w:eastAsia="zh-CN"/>
        </w:rPr>
        <w:t>(</w:t>
      </w:r>
      <w:r>
        <w:rPr>
          <w:rFonts w:hint="default" w:ascii="Arial" w:hAnsi="Arial" w:cs="Arial"/>
          <w:b/>
          <w:sz w:val="21"/>
          <w:szCs w:val="21"/>
        </w:rPr>
        <w:t>A</w:t>
      </w:r>
      <w:r>
        <w:rPr>
          <w:rFonts w:hint="default" w:ascii="Arial" w:hAnsi="Arial" w:cs="Arial"/>
          <w:b/>
          <w:sz w:val="21"/>
          <w:szCs w:val="21"/>
          <w:lang w:val="en-US" w:eastAsia="zh-CN"/>
        </w:rPr>
        <w:t>)</w:t>
      </w:r>
      <w:r>
        <w:rPr>
          <w:rFonts w:hint="default" w:ascii="Arial" w:hAnsi="Arial" w:cs="Arial"/>
          <w:sz w:val="21"/>
          <w:szCs w:val="21"/>
        </w:rPr>
        <w:t xml:space="preserve"> </w:t>
      </w:r>
      <w:r>
        <w:rPr>
          <w:rFonts w:hint="default" w:ascii="Arial" w:hAnsi="Arial" w:eastAsia="等线" w:cs="Arial"/>
          <w:sz w:val="21"/>
          <w:szCs w:val="21"/>
        </w:rPr>
        <w:t>The relative</w:t>
      </w:r>
      <w:r>
        <w:rPr>
          <w:rFonts w:hint="default" w:ascii="Arial" w:hAnsi="Arial" w:cs="Arial"/>
          <w:sz w:val="21"/>
          <w:szCs w:val="21"/>
        </w:rPr>
        <w:t xml:space="preserve"> mRNA level of </w:t>
      </w:r>
      <w:r>
        <w:rPr>
          <w:rFonts w:hint="default" w:ascii="Arial" w:hAnsi="Arial" w:cs="Arial"/>
          <w:i/>
          <w:sz w:val="21"/>
          <w:szCs w:val="21"/>
        </w:rPr>
        <w:t>KAT5</w:t>
      </w:r>
      <w:r>
        <w:rPr>
          <w:rFonts w:hint="default" w:ascii="Arial" w:hAnsi="Arial" w:cs="Arial"/>
          <w:sz w:val="21"/>
          <w:szCs w:val="21"/>
        </w:rPr>
        <w:t xml:space="preserve"> (normalized to </w:t>
      </w:r>
      <w:r>
        <w:rPr>
          <w:rFonts w:hint="default" w:ascii="Arial" w:hAnsi="Arial" w:eastAsia="等线" w:cs="Arial"/>
          <w:sz w:val="21"/>
          <w:szCs w:val="21"/>
        </w:rPr>
        <w:t xml:space="preserve">that of </w:t>
      </w:r>
      <w:r>
        <w:rPr>
          <w:rFonts w:hint="default" w:ascii="Arial" w:hAnsi="Arial" w:cs="Arial"/>
          <w:i/>
          <w:sz w:val="21"/>
          <w:szCs w:val="21"/>
        </w:rPr>
        <w:t>GAPDH</w:t>
      </w:r>
      <w:r>
        <w:rPr>
          <w:rFonts w:hint="default" w:ascii="Arial" w:hAnsi="Arial" w:cs="Arial"/>
          <w:sz w:val="21"/>
          <w:szCs w:val="21"/>
        </w:rPr>
        <w:t xml:space="preserve">) was examined by </w:t>
      </w:r>
      <w:r>
        <w:rPr>
          <w:rFonts w:hint="default" w:ascii="Arial" w:hAnsi="Arial" w:eastAsia="等线" w:cs="Arial"/>
          <w:sz w:val="21"/>
          <w:szCs w:val="21"/>
        </w:rPr>
        <w:t>RT‒qPCR</w:t>
      </w:r>
      <w:r>
        <w:rPr>
          <w:rFonts w:hint="default" w:ascii="Arial" w:hAnsi="Arial" w:cs="Arial"/>
          <w:sz w:val="21"/>
          <w:szCs w:val="21"/>
        </w:rPr>
        <w:t xml:space="preserve"> in NC and PKM2-KD BT-549 cells. </w:t>
      </w:r>
      <w:r>
        <w:rPr>
          <w:rFonts w:hint="default" w:ascii="Arial" w:hAnsi="Arial" w:eastAsia="等线" w:cs="Arial"/>
          <w:sz w:val="21"/>
          <w:szCs w:val="21"/>
        </w:rPr>
        <w:t>The data are presented as the mean ± SD</w:t>
      </w:r>
      <w:r>
        <w:rPr>
          <w:rFonts w:hint="default" w:ascii="Arial" w:hAnsi="Arial" w:cs="Arial"/>
          <w:sz w:val="21"/>
          <w:szCs w:val="21"/>
        </w:rPr>
        <w:t xml:space="preserve"> (n = 3). **</w:t>
      </w:r>
      <w:r>
        <w:rPr>
          <w:rFonts w:hint="default" w:ascii="Arial" w:hAnsi="Arial" w:cs="Arial"/>
          <w:i/>
          <w:sz w:val="21"/>
          <w:szCs w:val="21"/>
        </w:rPr>
        <w:t>P</w:t>
      </w:r>
      <w:r>
        <w:rPr>
          <w:rFonts w:hint="default" w:ascii="Arial" w:hAnsi="Arial" w:cs="Arial"/>
          <w:sz w:val="21"/>
          <w:szCs w:val="21"/>
        </w:rPr>
        <w:t> &lt; 0.01, ****</w:t>
      </w:r>
      <w:r>
        <w:rPr>
          <w:rFonts w:hint="default" w:ascii="Arial" w:hAnsi="Arial" w:cs="Arial"/>
          <w:i/>
          <w:sz w:val="21"/>
          <w:szCs w:val="21"/>
        </w:rPr>
        <w:t>P</w:t>
      </w:r>
      <w:r>
        <w:rPr>
          <w:rFonts w:hint="default" w:ascii="Arial" w:hAnsi="Arial" w:cs="Arial"/>
          <w:sz w:val="21"/>
          <w:szCs w:val="21"/>
        </w:rPr>
        <w:t xml:space="preserve"> &lt; 0.0001 compared to </w:t>
      </w:r>
      <w:r>
        <w:rPr>
          <w:rFonts w:hint="default" w:ascii="Arial" w:hAnsi="Arial" w:eastAsia="等线" w:cs="Arial"/>
          <w:sz w:val="21"/>
          <w:szCs w:val="21"/>
        </w:rPr>
        <w:t xml:space="preserve">the </w:t>
      </w:r>
      <w:r>
        <w:rPr>
          <w:rFonts w:hint="default" w:ascii="Arial" w:hAnsi="Arial" w:cs="Arial"/>
          <w:sz w:val="21"/>
          <w:szCs w:val="21"/>
        </w:rPr>
        <w:t xml:space="preserve">NC group. </w:t>
      </w:r>
      <w:r>
        <w:rPr>
          <w:rFonts w:hint="default" w:ascii="Arial" w:hAnsi="Arial" w:cs="Arial"/>
          <w:b/>
          <w:sz w:val="21"/>
          <w:szCs w:val="21"/>
          <w:lang w:val="en-US" w:eastAsia="zh-CN"/>
        </w:rPr>
        <w:t>(B)</w:t>
      </w:r>
      <w:r>
        <w:rPr>
          <w:rFonts w:hint="default" w:ascii="Arial" w:hAnsi="Arial" w:cs="Arial"/>
          <w:sz w:val="21"/>
          <w:szCs w:val="21"/>
        </w:rPr>
        <w:t xml:space="preserve"> Western blot analysis of </w:t>
      </w:r>
      <w:r>
        <w:rPr>
          <w:rFonts w:hint="default" w:ascii="Arial" w:hAnsi="Arial" w:eastAsia="等线" w:cs="Arial"/>
          <w:sz w:val="21"/>
          <w:szCs w:val="21"/>
        </w:rPr>
        <w:t xml:space="preserve">the </w:t>
      </w:r>
      <w:r>
        <w:rPr>
          <w:rFonts w:hint="default" w:ascii="Arial" w:hAnsi="Arial" w:cs="Arial"/>
          <w:sz w:val="21"/>
          <w:szCs w:val="21"/>
        </w:rPr>
        <w:t>indicated proteins in NC and PKM2-</w:t>
      </w:r>
      <w:r>
        <w:rPr>
          <w:rFonts w:hint="default" w:ascii="Arial" w:hAnsi="Arial" w:eastAsia="等线" w:cs="Arial"/>
          <w:sz w:val="21"/>
          <w:szCs w:val="21"/>
        </w:rPr>
        <w:t>silenced</w:t>
      </w:r>
      <w:r>
        <w:rPr>
          <w:rFonts w:hint="default" w:ascii="Arial" w:hAnsi="Arial" w:cs="Arial"/>
          <w:sz w:val="21"/>
          <w:szCs w:val="21"/>
        </w:rPr>
        <w:t xml:space="preserve"> BT-549 cells. GAPDH served as a loading control. </w:t>
      </w:r>
      <w:r>
        <w:rPr>
          <w:rFonts w:hint="default" w:ascii="Arial" w:hAnsi="Arial" w:cs="Arial"/>
          <w:b/>
          <w:sz w:val="21"/>
          <w:szCs w:val="21"/>
          <w:lang w:val="en-US" w:eastAsia="zh-CN"/>
        </w:rPr>
        <w:t>(C)</w:t>
      </w:r>
      <w:r>
        <w:rPr>
          <w:rFonts w:hint="default" w:ascii="Arial" w:hAnsi="Arial" w:cs="Arial"/>
          <w:sz w:val="21"/>
          <w:szCs w:val="21"/>
        </w:rPr>
        <w:t xml:space="preserve"> </w:t>
      </w:r>
      <w:r>
        <w:rPr>
          <w:rFonts w:hint="default" w:ascii="Arial" w:hAnsi="Arial" w:eastAsia="等线" w:cs="Arial"/>
          <w:sz w:val="21"/>
          <w:szCs w:val="21"/>
        </w:rPr>
        <w:t>The relative</w:t>
      </w:r>
      <w:r>
        <w:rPr>
          <w:rFonts w:hint="default" w:ascii="Arial" w:hAnsi="Arial" w:cs="Arial"/>
          <w:sz w:val="21"/>
          <w:szCs w:val="21"/>
        </w:rPr>
        <w:t xml:space="preserve"> mRNA level of </w:t>
      </w:r>
      <w:r>
        <w:rPr>
          <w:rFonts w:hint="default" w:ascii="Arial" w:hAnsi="Arial" w:cs="Arial"/>
          <w:i/>
          <w:sz w:val="21"/>
          <w:szCs w:val="21"/>
        </w:rPr>
        <w:t>SERPINE1</w:t>
      </w:r>
      <w:r>
        <w:rPr>
          <w:rFonts w:hint="default" w:ascii="Arial" w:hAnsi="Arial" w:cs="Arial"/>
          <w:sz w:val="21"/>
          <w:szCs w:val="21"/>
        </w:rPr>
        <w:t xml:space="preserve"> normalized to </w:t>
      </w:r>
      <w:r>
        <w:rPr>
          <w:rFonts w:hint="default" w:ascii="Arial" w:hAnsi="Arial" w:eastAsia="等线" w:cs="Arial"/>
          <w:sz w:val="21"/>
          <w:szCs w:val="21"/>
        </w:rPr>
        <w:t xml:space="preserve">that of </w:t>
      </w:r>
      <w:r>
        <w:rPr>
          <w:rFonts w:hint="default" w:ascii="Arial" w:hAnsi="Arial" w:cs="Arial"/>
          <w:i/>
          <w:sz w:val="21"/>
          <w:szCs w:val="21"/>
        </w:rPr>
        <w:t>GAPDH</w:t>
      </w:r>
      <w:r>
        <w:rPr>
          <w:rFonts w:hint="default" w:ascii="Arial" w:hAnsi="Arial" w:cs="Arial"/>
          <w:sz w:val="21"/>
          <w:szCs w:val="21"/>
        </w:rPr>
        <w:t xml:space="preserve"> was examined by </w:t>
      </w:r>
      <w:r>
        <w:rPr>
          <w:rFonts w:hint="default" w:ascii="Arial" w:hAnsi="Arial" w:eastAsia="等线" w:cs="Arial"/>
          <w:sz w:val="21"/>
          <w:szCs w:val="21"/>
        </w:rPr>
        <w:t>RT‒qPCR</w:t>
      </w:r>
      <w:r>
        <w:rPr>
          <w:rFonts w:hint="default" w:ascii="Arial" w:hAnsi="Arial" w:cs="Arial"/>
          <w:sz w:val="21"/>
          <w:szCs w:val="21"/>
        </w:rPr>
        <w:t xml:space="preserve"> in NC and KAT5-KD BT-549 cells. </w:t>
      </w:r>
      <w:r>
        <w:rPr>
          <w:rFonts w:hint="default" w:ascii="Arial" w:hAnsi="Arial" w:eastAsia="等线" w:cs="Arial"/>
          <w:sz w:val="21"/>
          <w:szCs w:val="21"/>
        </w:rPr>
        <w:t>The data are presented as the mean ± SD</w:t>
      </w:r>
      <w:r>
        <w:rPr>
          <w:rFonts w:hint="default" w:ascii="Arial" w:hAnsi="Arial" w:cs="Arial"/>
          <w:sz w:val="21"/>
          <w:szCs w:val="21"/>
        </w:rPr>
        <w:t xml:space="preserve"> (n = 3). **</w:t>
      </w:r>
      <w:r>
        <w:rPr>
          <w:rFonts w:hint="default" w:ascii="Arial" w:hAnsi="Arial" w:cs="Arial"/>
          <w:i/>
          <w:sz w:val="21"/>
          <w:szCs w:val="21"/>
        </w:rPr>
        <w:t>P</w:t>
      </w:r>
      <w:r>
        <w:rPr>
          <w:rFonts w:hint="default" w:ascii="Arial" w:hAnsi="Arial" w:cs="Arial"/>
          <w:sz w:val="21"/>
          <w:szCs w:val="21"/>
        </w:rPr>
        <w:t> &lt; 0.01, ***</w:t>
      </w:r>
      <w:r>
        <w:rPr>
          <w:rFonts w:hint="default" w:ascii="Arial" w:hAnsi="Arial" w:cs="Arial"/>
          <w:i/>
          <w:sz w:val="21"/>
          <w:szCs w:val="21"/>
        </w:rPr>
        <w:t>P</w:t>
      </w:r>
      <w:r>
        <w:rPr>
          <w:rFonts w:hint="default" w:ascii="Arial" w:hAnsi="Arial" w:cs="Arial"/>
          <w:sz w:val="21"/>
          <w:szCs w:val="21"/>
        </w:rPr>
        <w:t xml:space="preserve"> &lt; 0.001 compared to </w:t>
      </w:r>
      <w:r>
        <w:rPr>
          <w:rFonts w:hint="default" w:ascii="Arial" w:hAnsi="Arial" w:eastAsia="等线" w:cs="Arial"/>
          <w:sz w:val="21"/>
          <w:szCs w:val="21"/>
        </w:rPr>
        <w:t xml:space="preserve">the </w:t>
      </w:r>
      <w:r>
        <w:rPr>
          <w:rFonts w:hint="default" w:ascii="Arial" w:hAnsi="Arial" w:cs="Arial"/>
          <w:sz w:val="21"/>
          <w:szCs w:val="21"/>
        </w:rPr>
        <w:t xml:space="preserve">NC group. </w:t>
      </w:r>
      <w:r>
        <w:rPr>
          <w:rFonts w:hint="default" w:ascii="Arial" w:hAnsi="Arial" w:cs="Arial"/>
          <w:b/>
          <w:sz w:val="21"/>
          <w:szCs w:val="21"/>
          <w:lang w:val="en-US" w:eastAsia="zh-CN"/>
        </w:rPr>
        <w:t>(D)</w:t>
      </w:r>
      <w:r>
        <w:rPr>
          <w:rFonts w:hint="default" w:ascii="Arial" w:hAnsi="Arial" w:cs="Arial"/>
          <w:sz w:val="21"/>
          <w:szCs w:val="21"/>
        </w:rPr>
        <w:t xml:space="preserve"> Western blot analysis of </w:t>
      </w:r>
      <w:r>
        <w:rPr>
          <w:rFonts w:hint="default" w:ascii="Arial" w:hAnsi="Arial" w:eastAsia="等线" w:cs="Arial"/>
          <w:sz w:val="21"/>
          <w:szCs w:val="21"/>
        </w:rPr>
        <w:t xml:space="preserve">the </w:t>
      </w:r>
      <w:r>
        <w:rPr>
          <w:rFonts w:hint="default" w:ascii="Arial" w:hAnsi="Arial" w:cs="Arial"/>
          <w:sz w:val="21"/>
          <w:szCs w:val="21"/>
        </w:rPr>
        <w:t xml:space="preserve">indicated proteins in NC and KAT5-KD BT-549 cells. GAPDH and histone H3 served as loading </w:t>
      </w:r>
      <w:r>
        <w:rPr>
          <w:rFonts w:hint="default" w:ascii="Arial" w:hAnsi="Arial" w:eastAsia="等线" w:cs="Arial"/>
          <w:sz w:val="21"/>
          <w:szCs w:val="21"/>
        </w:rPr>
        <w:t>controls</w:t>
      </w:r>
      <w:r>
        <w:rPr>
          <w:rFonts w:hint="default" w:ascii="Arial" w:hAnsi="Arial" w:cs="Arial"/>
          <w:sz w:val="21"/>
          <w:szCs w:val="21"/>
        </w:rPr>
        <w:t xml:space="preserve">. </w:t>
      </w:r>
      <w:r>
        <w:rPr>
          <w:rFonts w:hint="default" w:ascii="Arial" w:hAnsi="Arial" w:cs="Arial"/>
          <w:b/>
          <w:sz w:val="21"/>
          <w:szCs w:val="21"/>
          <w:lang w:val="en-US" w:eastAsia="zh-CN"/>
        </w:rPr>
        <w:t>(E)</w:t>
      </w:r>
      <w:r>
        <w:rPr>
          <w:rFonts w:hint="default" w:ascii="Arial" w:hAnsi="Arial" w:cs="Arial"/>
          <w:sz w:val="21"/>
          <w:szCs w:val="21"/>
        </w:rPr>
        <w:t xml:space="preserve"> Western blot analysis of </w:t>
      </w:r>
      <w:r>
        <w:rPr>
          <w:rFonts w:hint="default" w:ascii="Arial" w:hAnsi="Arial" w:eastAsia="等线" w:cs="Arial"/>
          <w:sz w:val="21"/>
          <w:szCs w:val="21"/>
        </w:rPr>
        <w:t xml:space="preserve">the </w:t>
      </w:r>
      <w:r>
        <w:rPr>
          <w:rFonts w:hint="default" w:ascii="Arial" w:hAnsi="Arial" w:cs="Arial"/>
          <w:sz w:val="21"/>
          <w:szCs w:val="21"/>
        </w:rPr>
        <w:t xml:space="preserve">indicated proteins in BT-549 cells treated with NC, PKM2-KD, </w:t>
      </w:r>
      <w:r>
        <w:rPr>
          <w:rFonts w:hint="default" w:ascii="Arial" w:hAnsi="Arial" w:eastAsia="等线" w:cs="Arial"/>
          <w:sz w:val="21"/>
          <w:szCs w:val="21"/>
        </w:rPr>
        <w:t xml:space="preserve">or </w:t>
      </w:r>
      <w:r>
        <w:rPr>
          <w:rFonts w:hint="default" w:ascii="Arial" w:hAnsi="Arial" w:cs="Arial"/>
          <w:sz w:val="21"/>
          <w:szCs w:val="21"/>
        </w:rPr>
        <w:t xml:space="preserve">PKM2-KD + TIP60. GAPDH and histone H3 served as loading </w:t>
      </w:r>
      <w:r>
        <w:rPr>
          <w:rFonts w:hint="default" w:ascii="Arial" w:hAnsi="Arial" w:eastAsia="等线" w:cs="Arial"/>
          <w:sz w:val="21"/>
          <w:szCs w:val="21"/>
        </w:rPr>
        <w:t>controls</w:t>
      </w:r>
      <w:r>
        <w:rPr>
          <w:rFonts w:hint="default" w:ascii="Arial" w:hAnsi="Arial" w:cs="Arial"/>
          <w:sz w:val="21"/>
          <w:szCs w:val="21"/>
        </w:rPr>
        <w:t xml:space="preserve">. </w:t>
      </w:r>
      <w:r>
        <w:rPr>
          <w:rFonts w:hint="default" w:ascii="Arial" w:hAnsi="Arial" w:cs="Arial"/>
          <w:b/>
          <w:sz w:val="21"/>
          <w:szCs w:val="21"/>
          <w:lang w:val="en-US" w:eastAsia="zh-CN"/>
        </w:rPr>
        <w:t>(F)</w:t>
      </w:r>
      <w:r>
        <w:rPr>
          <w:rFonts w:hint="default" w:ascii="Arial" w:hAnsi="Arial" w:cs="Arial"/>
          <w:b/>
          <w:bCs/>
          <w:sz w:val="21"/>
          <w:szCs w:val="21"/>
        </w:rPr>
        <w:t xml:space="preserve"> </w:t>
      </w:r>
      <w:r>
        <w:rPr>
          <w:rFonts w:hint="default" w:ascii="Arial" w:hAnsi="Arial" w:cs="Arial"/>
          <w:sz w:val="21"/>
          <w:szCs w:val="21"/>
        </w:rPr>
        <w:t xml:space="preserve">Pearson correlation scatter </w:t>
      </w:r>
      <w:r>
        <w:rPr>
          <w:rFonts w:hint="default" w:ascii="Arial" w:hAnsi="Arial" w:eastAsia="等线" w:cs="Arial"/>
          <w:sz w:val="21"/>
          <w:szCs w:val="21"/>
        </w:rPr>
        <w:t xml:space="preserve">plot </w:t>
      </w:r>
      <w:r>
        <w:rPr>
          <w:rFonts w:hint="default" w:ascii="Arial" w:hAnsi="Arial" w:cs="Arial"/>
          <w:sz w:val="21"/>
          <w:szCs w:val="21"/>
        </w:rPr>
        <w:t xml:space="preserve">of PKM2 and KAT5 in human TNBC tissues (n = 198). The mRNA expression of </w:t>
      </w:r>
      <w:r>
        <w:rPr>
          <w:rFonts w:hint="default" w:ascii="Arial" w:hAnsi="Arial" w:cs="Arial"/>
          <w:i/>
          <w:sz w:val="21"/>
          <w:szCs w:val="21"/>
        </w:rPr>
        <w:t>PKM2</w:t>
      </w:r>
      <w:r>
        <w:rPr>
          <w:rFonts w:hint="default" w:ascii="Arial" w:hAnsi="Arial" w:cs="Arial"/>
          <w:sz w:val="21"/>
          <w:szCs w:val="21"/>
        </w:rPr>
        <w:t xml:space="preserve"> and </w:t>
      </w:r>
      <w:r>
        <w:rPr>
          <w:rFonts w:hint="default" w:ascii="Arial" w:hAnsi="Arial" w:cs="Arial"/>
          <w:i/>
          <w:sz w:val="21"/>
          <w:szCs w:val="21"/>
        </w:rPr>
        <w:t>KAT5</w:t>
      </w:r>
      <w:r>
        <w:rPr>
          <w:rFonts w:hint="default" w:ascii="Arial" w:hAnsi="Arial" w:cs="Arial"/>
          <w:sz w:val="21"/>
          <w:szCs w:val="21"/>
        </w:rPr>
        <w:t xml:space="preserve"> was extracted from </w:t>
      </w:r>
      <w:r>
        <w:rPr>
          <w:rFonts w:hint="default" w:ascii="Arial" w:hAnsi="Arial" w:eastAsia="等线" w:cs="Arial"/>
          <w:sz w:val="21"/>
          <w:szCs w:val="21"/>
        </w:rPr>
        <w:t xml:space="preserve">the </w:t>
      </w:r>
      <w:r>
        <w:rPr>
          <w:rFonts w:hint="default" w:ascii="Arial" w:hAnsi="Arial" w:cs="Arial"/>
          <w:sz w:val="21"/>
          <w:szCs w:val="21"/>
        </w:rPr>
        <w:t xml:space="preserve">GEO </w:t>
      </w:r>
      <w:r>
        <w:rPr>
          <w:rFonts w:hint="default" w:ascii="Arial" w:hAnsi="Arial" w:eastAsia="等线" w:cs="Arial"/>
          <w:sz w:val="21"/>
          <w:szCs w:val="21"/>
        </w:rPr>
        <w:t>dataset</w:t>
      </w:r>
      <w:r>
        <w:rPr>
          <w:rFonts w:hint="default" w:ascii="Arial" w:hAnsi="Arial" w:cs="Arial"/>
          <w:sz w:val="21"/>
          <w:szCs w:val="21"/>
        </w:rPr>
        <w:t xml:space="preserve"> GSE76275.</w:t>
      </w:r>
    </w:p>
    <w:p w14:paraId="3A2178AC">
      <w:pPr>
        <w:spacing w:line="480" w:lineRule="auto"/>
        <w:rPr>
          <w:rFonts w:ascii="Times New Roman" w:hAnsi="Times New Roman" w:cs="Times New Roman"/>
          <w:sz w:val="24"/>
        </w:rPr>
      </w:pPr>
    </w:p>
    <w:p w14:paraId="131FF817">
      <w:pPr>
        <w:spacing w:line="480" w:lineRule="auto"/>
        <w:rPr>
          <w:rFonts w:ascii="Times New Roman" w:hAnsi="Times New Roman" w:cs="Times New Roman"/>
          <w:sz w:val="24"/>
        </w:rPr>
      </w:pPr>
    </w:p>
    <w:p w14:paraId="7C71DDC5">
      <w:pPr>
        <w:spacing w:line="480" w:lineRule="auto"/>
        <w:rPr>
          <w:rFonts w:ascii="Times New Roman" w:hAnsi="Times New Roman" w:cs="Times New Roman"/>
          <w:sz w:val="24"/>
        </w:rPr>
      </w:pPr>
    </w:p>
    <w:p w14:paraId="7290E5CF">
      <w:pPr>
        <w:spacing w:line="480" w:lineRule="auto"/>
        <w:rPr>
          <w:rFonts w:ascii="Times New Roman" w:hAnsi="Times New Roman" w:cs="Times New Roman"/>
          <w:sz w:val="24"/>
        </w:rPr>
      </w:pPr>
    </w:p>
    <w:p w14:paraId="4A53C319">
      <w:pPr>
        <w:spacing w:line="480" w:lineRule="auto"/>
        <w:rPr>
          <w:rFonts w:ascii="Times New Roman" w:hAnsi="Times New Roman" w:cs="Times New Roman"/>
          <w:sz w:val="24"/>
        </w:rPr>
      </w:pPr>
    </w:p>
    <w:p w14:paraId="18570D54">
      <w:pPr>
        <w:spacing w:line="480" w:lineRule="auto"/>
        <w:rPr>
          <w:rFonts w:ascii="Times New Roman" w:hAnsi="Times New Roman" w:cs="Times New Roman"/>
          <w:sz w:val="24"/>
        </w:rPr>
      </w:pPr>
    </w:p>
    <w:p w14:paraId="4AEADC43">
      <w:pPr>
        <w:spacing w:line="480" w:lineRule="auto"/>
        <w:rPr>
          <w:rFonts w:ascii="Times New Roman" w:hAnsi="Times New Roman" w:cs="Times New Roman"/>
          <w:sz w:val="24"/>
        </w:rPr>
      </w:pPr>
    </w:p>
    <w:p w14:paraId="31297C3D">
      <w:pPr>
        <w:spacing w:line="480" w:lineRule="auto"/>
        <w:rPr>
          <w:rFonts w:ascii="Times New Roman" w:hAnsi="Times New Roman" w:cs="Times New Roman"/>
          <w:sz w:val="24"/>
        </w:rPr>
      </w:pPr>
    </w:p>
    <w:p w14:paraId="74AE4A3A">
      <w:pPr>
        <w:spacing w:line="480" w:lineRule="auto"/>
        <w:rPr>
          <w:rFonts w:ascii="Times New Roman" w:hAnsi="Times New Roman" w:cs="Times New Roman"/>
          <w:sz w:val="24"/>
        </w:rPr>
      </w:pPr>
    </w:p>
    <w:p w14:paraId="2A904C8E">
      <w:pPr>
        <w:spacing w:line="480" w:lineRule="auto"/>
        <w:rPr>
          <w:rFonts w:ascii="Times New Roman" w:hAnsi="Times New Roman" w:cs="Times New Roman"/>
          <w:sz w:val="24"/>
        </w:rPr>
      </w:pPr>
    </w:p>
    <w:p w14:paraId="2AC31EF5">
      <w:pPr>
        <w:spacing w:line="480" w:lineRule="auto"/>
        <w:rPr>
          <w:rFonts w:ascii="Times New Roman" w:hAnsi="Times New Roman" w:cs="Times New Roman"/>
          <w:sz w:val="24"/>
        </w:rPr>
      </w:pPr>
    </w:p>
    <w:p w14:paraId="5893DD66">
      <w:pPr>
        <w:spacing w:line="480" w:lineRule="auto"/>
        <w:rPr>
          <w:rFonts w:ascii="Times New Roman" w:hAnsi="Times New Roman" w:cs="Times New Roman"/>
          <w:sz w:val="24"/>
        </w:rPr>
      </w:pPr>
    </w:p>
    <w:p w14:paraId="3E8655E5">
      <w:pPr>
        <w:spacing w:line="480" w:lineRule="auto"/>
        <w:rPr>
          <w:rFonts w:ascii="Times New Roman" w:hAnsi="Times New Roman" w:cs="Times New Roman"/>
          <w:sz w:val="24"/>
        </w:rPr>
      </w:pPr>
    </w:p>
    <w:p w14:paraId="27B8C404">
      <w:pPr>
        <w:spacing w:line="480" w:lineRule="auto"/>
        <w:rPr>
          <w:rFonts w:ascii="Times New Roman" w:hAnsi="Times New Roman" w:cs="Times New Roman"/>
          <w:sz w:val="24"/>
        </w:rPr>
      </w:pPr>
    </w:p>
    <w:p w14:paraId="3F7FE033">
      <w:pPr>
        <w:spacing w:line="480" w:lineRule="auto"/>
        <w:rPr>
          <w:rFonts w:ascii="Times New Roman" w:hAnsi="Times New Roman" w:cs="Times New Roman"/>
          <w:sz w:val="24"/>
        </w:rPr>
      </w:pPr>
    </w:p>
    <w:p w14:paraId="5ED11BC9">
      <w:pPr>
        <w:spacing w:line="480" w:lineRule="auto"/>
        <w:rPr>
          <w:rFonts w:ascii="Times New Roman" w:hAnsi="Times New Roman" w:cs="Times New Roman"/>
          <w:sz w:val="24"/>
        </w:rPr>
      </w:pPr>
    </w:p>
    <w:p w14:paraId="689A74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drawing>
          <wp:inline distT="0" distB="0" distL="0" distR="0">
            <wp:extent cx="5274310" cy="1428115"/>
            <wp:effectExtent l="0" t="0" r="2540" b="635"/>
            <wp:docPr id="159777428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774288" name="图片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2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C7946">
      <w:pPr>
        <w:spacing w:line="480" w:lineRule="auto"/>
        <w:rPr>
          <w:rFonts w:hint="default" w:ascii="Arial" w:hAnsi="Arial" w:cs="Arial"/>
          <w:bCs/>
          <w:sz w:val="21"/>
          <w:szCs w:val="21"/>
        </w:rPr>
      </w:pPr>
      <w:bookmarkStart w:id="11" w:name="OLE_LINK11"/>
      <w:bookmarkStart w:id="12" w:name="OLE_LINK10"/>
      <w:r>
        <w:rPr>
          <w:rFonts w:hint="default" w:ascii="Arial" w:hAnsi="Arial" w:cs="Arial"/>
          <w:b/>
          <w:bCs w:val="0"/>
          <w:sz w:val="21"/>
          <w:szCs w:val="21"/>
        </w:rPr>
        <w:t xml:space="preserve">Figure </w:t>
      </w:r>
      <w:r>
        <w:rPr>
          <w:rFonts w:hint="default" w:ascii="Arial" w:hAnsi="Arial" w:cs="Arial"/>
          <w:b/>
          <w:bCs w:val="0"/>
          <w:sz w:val="21"/>
          <w:szCs w:val="21"/>
          <w:lang w:val="en-US" w:eastAsia="zh-CN"/>
        </w:rPr>
        <w:t>S7</w:t>
      </w:r>
      <w:r>
        <w:rPr>
          <w:rFonts w:hint="default" w:ascii="Arial" w:hAnsi="Arial" w:cs="Arial"/>
          <w:b/>
          <w:bCs w:val="0"/>
          <w:sz w:val="21"/>
          <w:szCs w:val="21"/>
        </w:rPr>
        <w:t xml:space="preserve">. NONO or PKM2 knockout reduces tumor weight and </w:t>
      </w:r>
      <w:r>
        <w:rPr>
          <w:rFonts w:hint="default" w:ascii="Arial" w:hAnsi="Arial" w:cs="Arial"/>
          <w:b/>
          <w:bCs w:val="0"/>
          <w:i/>
          <w:sz w:val="21"/>
          <w:szCs w:val="21"/>
        </w:rPr>
        <w:t>SERPINE1</w:t>
      </w:r>
      <w:r>
        <w:rPr>
          <w:rFonts w:hint="default" w:ascii="Arial" w:hAnsi="Arial" w:cs="Arial"/>
          <w:b/>
          <w:bCs w:val="0"/>
          <w:sz w:val="21"/>
          <w:szCs w:val="21"/>
        </w:rPr>
        <w:t xml:space="preserve"> transcription in MMTV-PyMT </w:t>
      </w:r>
      <w:r>
        <w:rPr>
          <w:rFonts w:hint="default" w:ascii="Arial" w:hAnsi="Arial" w:eastAsia="等线" w:cs="Arial"/>
          <w:b/>
          <w:bCs w:val="0"/>
          <w:sz w:val="21"/>
          <w:szCs w:val="21"/>
        </w:rPr>
        <w:t>mice</w:t>
      </w:r>
      <w:r>
        <w:rPr>
          <w:rFonts w:hint="default" w:ascii="Arial" w:hAnsi="Arial" w:cs="Arial"/>
          <w:b/>
          <w:bCs w:val="0"/>
          <w:sz w:val="21"/>
          <w:szCs w:val="21"/>
        </w:rPr>
        <w:t>.</w:t>
      </w:r>
      <w:r>
        <w:rPr>
          <w:rFonts w:hint="default" w:ascii="Arial" w:hAnsi="Arial" w:cs="Arial"/>
          <w:bCs/>
          <w:sz w:val="21"/>
          <w:szCs w:val="21"/>
        </w:rPr>
        <w:t xml:space="preserve"> </w:t>
      </w:r>
      <w:bookmarkEnd w:id="11"/>
      <w:bookmarkEnd w:id="12"/>
    </w:p>
    <w:p w14:paraId="088474FA">
      <w:pPr>
        <w:spacing w:line="48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sz w:val="21"/>
          <w:szCs w:val="21"/>
          <w:lang w:val="en-US" w:eastAsia="zh-CN"/>
        </w:rPr>
        <w:t>(</w:t>
      </w:r>
      <w:r>
        <w:rPr>
          <w:rFonts w:hint="default" w:ascii="Arial" w:hAnsi="Arial" w:cs="Arial"/>
          <w:b/>
          <w:sz w:val="21"/>
          <w:szCs w:val="21"/>
        </w:rPr>
        <w:t>A</w:t>
      </w:r>
      <w:r>
        <w:rPr>
          <w:rFonts w:hint="default" w:ascii="Arial" w:hAnsi="Arial" w:cs="Arial"/>
          <w:b/>
          <w:sz w:val="21"/>
          <w:szCs w:val="21"/>
          <w:lang w:val="en-US" w:eastAsia="zh-CN"/>
        </w:rPr>
        <w:t>)</w:t>
      </w:r>
      <w:r>
        <w:rPr>
          <w:rFonts w:hint="default" w:ascii="Arial" w:hAnsi="Arial" w:cs="Arial"/>
          <w:sz w:val="21"/>
          <w:szCs w:val="21"/>
        </w:rPr>
        <w:t xml:space="preserve"> Tumor </w:t>
      </w:r>
      <w:r>
        <w:rPr>
          <w:rFonts w:hint="default" w:ascii="Arial" w:hAnsi="Arial" w:eastAsia="等线" w:cs="Arial"/>
          <w:sz w:val="21"/>
          <w:szCs w:val="21"/>
        </w:rPr>
        <w:t>weights</w:t>
      </w:r>
      <w:r>
        <w:rPr>
          <w:rFonts w:hint="default" w:ascii="Arial" w:hAnsi="Arial" w:cs="Arial"/>
          <w:sz w:val="21"/>
          <w:szCs w:val="21"/>
        </w:rPr>
        <w:t xml:space="preserve"> of control and NONO-KO mice. All data are </w:t>
      </w:r>
      <w:r>
        <w:rPr>
          <w:rFonts w:hint="default" w:ascii="Arial" w:hAnsi="Arial" w:eastAsia="等线" w:cs="Arial"/>
          <w:sz w:val="21"/>
          <w:szCs w:val="21"/>
        </w:rPr>
        <w:t>the mean</w:t>
      </w:r>
      <w:r>
        <w:rPr>
          <w:rFonts w:hint="default" w:ascii="Arial" w:hAnsi="Arial" w:cs="Arial"/>
          <w:sz w:val="21"/>
          <w:szCs w:val="21"/>
        </w:rPr>
        <w:t> ± </w:t>
      </w:r>
      <w:r>
        <w:rPr>
          <w:rFonts w:hint="default" w:ascii="Arial" w:hAnsi="Arial" w:eastAsia="等线" w:cs="Arial"/>
          <w:sz w:val="21"/>
          <w:szCs w:val="21"/>
        </w:rPr>
        <w:t>SD</w:t>
      </w:r>
      <w:r>
        <w:rPr>
          <w:rFonts w:hint="default" w:ascii="Arial" w:hAnsi="Arial" w:cs="Arial"/>
          <w:sz w:val="21"/>
          <w:szCs w:val="21"/>
        </w:rPr>
        <w:t>. **</w:t>
      </w:r>
      <w:r>
        <w:rPr>
          <w:rFonts w:hint="default" w:ascii="Arial" w:hAnsi="Arial" w:cs="Arial"/>
          <w:i/>
          <w:sz w:val="21"/>
          <w:szCs w:val="21"/>
        </w:rPr>
        <w:t>P </w:t>
      </w:r>
      <w:r>
        <w:rPr>
          <w:rFonts w:hint="default" w:ascii="Arial" w:hAnsi="Arial" w:cs="Arial"/>
          <w:sz w:val="21"/>
          <w:szCs w:val="21"/>
        </w:rPr>
        <w:t xml:space="preserve">&lt; 0.01. </w:t>
      </w:r>
      <w:r>
        <w:rPr>
          <w:rFonts w:hint="default" w:ascii="Arial" w:hAnsi="Arial" w:cs="Arial"/>
          <w:b/>
          <w:sz w:val="21"/>
          <w:szCs w:val="21"/>
          <w:lang w:val="en-US" w:eastAsia="zh-CN"/>
        </w:rPr>
        <w:t>(B)</w:t>
      </w:r>
      <w:r>
        <w:rPr>
          <w:rFonts w:hint="default" w:ascii="Arial" w:hAnsi="Arial" w:cs="Arial"/>
          <w:sz w:val="21"/>
          <w:szCs w:val="21"/>
        </w:rPr>
        <w:t xml:space="preserve"> </w:t>
      </w:r>
      <w:r>
        <w:rPr>
          <w:rFonts w:hint="default" w:ascii="Arial" w:hAnsi="Arial" w:eastAsia="等线" w:cs="Arial"/>
          <w:sz w:val="21"/>
          <w:szCs w:val="21"/>
        </w:rPr>
        <w:t>RT‒qPCR</w:t>
      </w:r>
      <w:r>
        <w:rPr>
          <w:rFonts w:hint="default" w:ascii="Arial" w:hAnsi="Arial" w:cs="Arial"/>
          <w:sz w:val="21"/>
          <w:szCs w:val="21"/>
        </w:rPr>
        <w:t xml:space="preserve"> analysis of </w:t>
      </w:r>
      <w:r>
        <w:rPr>
          <w:rFonts w:hint="default" w:ascii="Arial" w:hAnsi="Arial" w:cs="Arial"/>
          <w:i/>
          <w:sz w:val="21"/>
          <w:szCs w:val="21"/>
        </w:rPr>
        <w:t>SERPINE1</w:t>
      </w:r>
      <w:r>
        <w:rPr>
          <w:rFonts w:hint="default" w:ascii="Arial" w:hAnsi="Arial" w:cs="Arial"/>
          <w:sz w:val="21"/>
          <w:szCs w:val="21"/>
        </w:rPr>
        <w:t xml:space="preserve"> mRNA normalized to </w:t>
      </w:r>
      <w:r>
        <w:rPr>
          <w:rFonts w:hint="default" w:ascii="Arial" w:hAnsi="Arial" w:cs="Arial"/>
          <w:i/>
          <w:sz w:val="21"/>
          <w:szCs w:val="21"/>
        </w:rPr>
        <w:t>GAPDH</w:t>
      </w:r>
      <w:r>
        <w:rPr>
          <w:rFonts w:hint="default" w:ascii="Arial" w:hAnsi="Arial" w:cs="Arial"/>
          <w:sz w:val="21"/>
          <w:szCs w:val="21"/>
        </w:rPr>
        <w:t xml:space="preserve"> in mammary tumors from control and NONO-KO mice. All</w:t>
      </w:r>
      <w:r>
        <w:rPr>
          <w:rFonts w:hint="default" w:ascii="Arial" w:hAnsi="Arial" w:eastAsia="等线" w:cs="Arial"/>
          <w:sz w:val="21"/>
          <w:szCs w:val="21"/>
        </w:rPr>
        <w:t xml:space="preserve"> </w:t>
      </w:r>
      <w:r>
        <w:rPr>
          <w:rFonts w:hint="default" w:ascii="Arial" w:hAnsi="Arial" w:cs="Arial"/>
          <w:sz w:val="21"/>
          <w:szCs w:val="21"/>
        </w:rPr>
        <w:t xml:space="preserve">data are </w:t>
      </w:r>
      <w:r>
        <w:rPr>
          <w:rFonts w:hint="default" w:ascii="Arial" w:hAnsi="Arial" w:eastAsia="等线" w:cs="Arial"/>
          <w:sz w:val="21"/>
          <w:szCs w:val="21"/>
        </w:rPr>
        <w:t>presented as the mean</w:t>
      </w:r>
      <w:r>
        <w:rPr>
          <w:rFonts w:hint="default" w:ascii="Arial" w:hAnsi="Arial" w:cs="Arial"/>
          <w:sz w:val="21"/>
          <w:szCs w:val="21"/>
        </w:rPr>
        <w:t> ± </w:t>
      </w:r>
      <w:r>
        <w:rPr>
          <w:rFonts w:hint="default" w:ascii="Arial" w:hAnsi="Arial" w:eastAsia="等线" w:cs="Arial"/>
          <w:sz w:val="21"/>
          <w:szCs w:val="21"/>
        </w:rPr>
        <w:t>SD</w:t>
      </w:r>
      <w:r>
        <w:rPr>
          <w:rFonts w:hint="default" w:ascii="Arial" w:hAnsi="Arial" w:cs="Arial"/>
          <w:sz w:val="21"/>
          <w:szCs w:val="21"/>
        </w:rPr>
        <w:t>. *</w:t>
      </w:r>
      <w:r>
        <w:rPr>
          <w:rFonts w:hint="default" w:ascii="Arial" w:hAnsi="Arial" w:cs="Arial"/>
          <w:i/>
          <w:sz w:val="21"/>
          <w:szCs w:val="21"/>
        </w:rPr>
        <w:t>P </w:t>
      </w:r>
      <w:r>
        <w:rPr>
          <w:rFonts w:hint="default" w:ascii="Arial" w:hAnsi="Arial" w:cs="Arial"/>
          <w:sz w:val="21"/>
          <w:szCs w:val="21"/>
        </w:rPr>
        <w:t>&lt; 0.05.</w:t>
      </w:r>
      <w:r>
        <w:rPr>
          <w:rFonts w:hint="default" w:ascii="Arial" w:hAnsi="Arial" w:cs="Arial"/>
          <w:b/>
          <w:sz w:val="21"/>
          <w:szCs w:val="21"/>
        </w:rPr>
        <w:t xml:space="preserve"> </w:t>
      </w:r>
      <w:r>
        <w:rPr>
          <w:rFonts w:hint="default" w:ascii="Arial" w:hAnsi="Arial" w:cs="Arial"/>
          <w:b/>
          <w:sz w:val="21"/>
          <w:szCs w:val="21"/>
          <w:lang w:val="en-US" w:eastAsia="zh-CN"/>
        </w:rPr>
        <w:t>(C)</w:t>
      </w:r>
      <w:r>
        <w:rPr>
          <w:rFonts w:hint="default" w:ascii="Arial" w:hAnsi="Arial" w:cs="Arial"/>
          <w:sz w:val="21"/>
          <w:szCs w:val="21"/>
        </w:rPr>
        <w:t xml:space="preserve"> Tumor </w:t>
      </w:r>
      <w:r>
        <w:rPr>
          <w:rFonts w:hint="default" w:ascii="Arial" w:hAnsi="Arial" w:eastAsia="等线" w:cs="Arial"/>
          <w:sz w:val="21"/>
          <w:szCs w:val="21"/>
        </w:rPr>
        <w:t>weights</w:t>
      </w:r>
      <w:r>
        <w:rPr>
          <w:rFonts w:hint="default" w:ascii="Arial" w:hAnsi="Arial" w:cs="Arial"/>
          <w:sz w:val="21"/>
          <w:szCs w:val="21"/>
        </w:rPr>
        <w:t xml:space="preserve"> of control and PKM2-KO mice. All data are </w:t>
      </w:r>
      <w:r>
        <w:rPr>
          <w:rFonts w:hint="default" w:ascii="Arial" w:hAnsi="Arial" w:eastAsia="等线" w:cs="Arial"/>
          <w:sz w:val="21"/>
          <w:szCs w:val="21"/>
        </w:rPr>
        <w:t>presented as the mean</w:t>
      </w:r>
      <w:r>
        <w:rPr>
          <w:rFonts w:hint="default" w:ascii="Arial" w:hAnsi="Arial" w:cs="Arial"/>
          <w:sz w:val="21"/>
          <w:szCs w:val="21"/>
        </w:rPr>
        <w:t> ± </w:t>
      </w:r>
      <w:r>
        <w:rPr>
          <w:rFonts w:hint="default" w:ascii="Arial" w:hAnsi="Arial" w:eastAsia="等线" w:cs="Arial"/>
          <w:sz w:val="21"/>
          <w:szCs w:val="21"/>
        </w:rPr>
        <w:t>SD</w:t>
      </w:r>
      <w:r>
        <w:rPr>
          <w:rFonts w:hint="default" w:ascii="Arial" w:hAnsi="Arial" w:cs="Arial"/>
          <w:sz w:val="21"/>
          <w:szCs w:val="21"/>
        </w:rPr>
        <w:t>. **</w:t>
      </w:r>
      <w:r>
        <w:rPr>
          <w:rFonts w:hint="default" w:ascii="Arial" w:hAnsi="Arial" w:cs="Arial"/>
          <w:i/>
          <w:sz w:val="21"/>
          <w:szCs w:val="21"/>
        </w:rPr>
        <w:t>P </w:t>
      </w:r>
      <w:r>
        <w:rPr>
          <w:rFonts w:hint="default" w:ascii="Arial" w:hAnsi="Arial" w:cs="Arial"/>
          <w:sz w:val="21"/>
          <w:szCs w:val="21"/>
        </w:rPr>
        <w:t xml:space="preserve">&lt; 0.01. </w:t>
      </w:r>
      <w:r>
        <w:rPr>
          <w:rFonts w:hint="default" w:ascii="Arial" w:hAnsi="Arial" w:cs="Arial"/>
          <w:b/>
          <w:sz w:val="21"/>
          <w:szCs w:val="21"/>
          <w:lang w:val="en-US" w:eastAsia="zh-CN"/>
        </w:rPr>
        <w:t>(D)</w:t>
      </w:r>
      <w:r>
        <w:rPr>
          <w:rFonts w:hint="default" w:ascii="Arial" w:hAnsi="Arial" w:cs="Arial"/>
          <w:sz w:val="21"/>
          <w:szCs w:val="21"/>
        </w:rPr>
        <w:t xml:space="preserve"> The mRNA level of</w:t>
      </w:r>
      <w:r>
        <w:rPr>
          <w:rFonts w:hint="default" w:ascii="Arial" w:hAnsi="Arial" w:cs="Arial"/>
          <w:i/>
          <w:sz w:val="21"/>
          <w:szCs w:val="21"/>
        </w:rPr>
        <w:t xml:space="preserve"> SERPINE1</w:t>
      </w:r>
      <w:r>
        <w:rPr>
          <w:rFonts w:hint="default" w:ascii="Arial" w:hAnsi="Arial" w:cs="Arial"/>
          <w:sz w:val="21"/>
          <w:szCs w:val="21"/>
        </w:rPr>
        <w:t xml:space="preserve"> (normalized to </w:t>
      </w:r>
      <w:r>
        <w:rPr>
          <w:rFonts w:hint="default" w:ascii="Arial" w:hAnsi="Arial" w:eastAsia="等线" w:cs="Arial"/>
          <w:sz w:val="21"/>
          <w:szCs w:val="21"/>
        </w:rPr>
        <w:t xml:space="preserve">that of </w:t>
      </w:r>
      <w:r>
        <w:rPr>
          <w:rFonts w:hint="default" w:ascii="Arial" w:hAnsi="Arial" w:cs="Arial"/>
          <w:i/>
          <w:sz w:val="21"/>
          <w:szCs w:val="21"/>
        </w:rPr>
        <w:t>GAPDH</w:t>
      </w:r>
      <w:r>
        <w:rPr>
          <w:rFonts w:hint="default" w:ascii="Arial" w:hAnsi="Arial" w:cs="Arial"/>
          <w:sz w:val="21"/>
          <w:szCs w:val="21"/>
        </w:rPr>
        <w:t>) in mammary tumors from control and PKM2-KO mice</w:t>
      </w:r>
      <w:r>
        <w:rPr>
          <w:rFonts w:hint="default" w:ascii="Arial" w:hAnsi="Arial" w:eastAsia="等线" w:cs="Arial"/>
          <w:sz w:val="21"/>
          <w:szCs w:val="21"/>
        </w:rPr>
        <w:t xml:space="preserve"> was analyzed by RT‒qPCR</w:t>
      </w:r>
      <w:r>
        <w:rPr>
          <w:rFonts w:hint="default" w:ascii="Arial" w:hAnsi="Arial" w:cs="Arial"/>
          <w:sz w:val="21"/>
          <w:szCs w:val="21"/>
        </w:rPr>
        <w:t>. All</w:t>
      </w:r>
      <w:r>
        <w:rPr>
          <w:rFonts w:hint="default" w:ascii="Arial" w:hAnsi="Arial" w:eastAsia="等线" w:cs="Arial"/>
          <w:sz w:val="21"/>
          <w:szCs w:val="21"/>
        </w:rPr>
        <w:t xml:space="preserve"> </w:t>
      </w:r>
      <w:r>
        <w:rPr>
          <w:rFonts w:hint="default" w:ascii="Arial" w:hAnsi="Arial" w:cs="Arial"/>
          <w:sz w:val="21"/>
          <w:szCs w:val="21"/>
        </w:rPr>
        <w:t xml:space="preserve">data are </w:t>
      </w:r>
      <w:r>
        <w:rPr>
          <w:rFonts w:hint="default" w:ascii="Arial" w:hAnsi="Arial" w:eastAsia="等线" w:cs="Arial"/>
          <w:sz w:val="21"/>
          <w:szCs w:val="21"/>
        </w:rPr>
        <w:t>presented as the mean</w:t>
      </w:r>
      <w:r>
        <w:rPr>
          <w:rFonts w:hint="default" w:ascii="Arial" w:hAnsi="Arial" w:cs="Arial"/>
          <w:sz w:val="21"/>
          <w:szCs w:val="21"/>
        </w:rPr>
        <w:t> ± </w:t>
      </w:r>
      <w:r>
        <w:rPr>
          <w:rFonts w:hint="default" w:ascii="Arial" w:hAnsi="Arial" w:eastAsia="等线" w:cs="Arial"/>
          <w:sz w:val="21"/>
          <w:szCs w:val="21"/>
        </w:rPr>
        <w:t>SD</w:t>
      </w:r>
      <w:r>
        <w:rPr>
          <w:rFonts w:hint="default" w:ascii="Arial" w:hAnsi="Arial" w:cs="Arial"/>
          <w:sz w:val="21"/>
          <w:szCs w:val="21"/>
        </w:rPr>
        <w:t>. *</w:t>
      </w:r>
      <w:r>
        <w:rPr>
          <w:rFonts w:hint="default" w:ascii="Arial" w:hAnsi="Arial" w:cs="Arial"/>
          <w:i/>
          <w:sz w:val="21"/>
          <w:szCs w:val="21"/>
        </w:rPr>
        <w:t>P </w:t>
      </w:r>
      <w:r>
        <w:rPr>
          <w:rFonts w:hint="default" w:ascii="Arial" w:hAnsi="Arial" w:cs="Arial"/>
          <w:sz w:val="21"/>
          <w:szCs w:val="21"/>
        </w:rPr>
        <w:t>&lt; 0.05.</w:t>
      </w:r>
    </w:p>
    <w:p w14:paraId="21DF2521"/>
    <w:p w14:paraId="561B2D89"/>
    <w:p w14:paraId="2C5EA022"/>
    <w:p w14:paraId="2C72392A"/>
    <w:p w14:paraId="07A315A4"/>
    <w:p w14:paraId="0ECD487D"/>
    <w:p w14:paraId="057711D0"/>
    <w:p w14:paraId="5E7229AF"/>
    <w:p w14:paraId="4BEB0D79"/>
    <w:p w14:paraId="6630C3A4"/>
    <w:p w14:paraId="424E2A13"/>
    <w:p w14:paraId="5CE982DE"/>
    <w:p w14:paraId="2DEF93AE"/>
    <w:p w14:paraId="5CBD4B7F"/>
    <w:p w14:paraId="3A6D82FD"/>
    <w:p w14:paraId="3B900B49"/>
    <w:p w14:paraId="6ABAE0A4"/>
    <w:p w14:paraId="4652963D"/>
    <w:p w14:paraId="1BFB82D1">
      <w:pPr>
        <w:rPr>
          <w:rFonts w:hint="eastAsia" w:eastAsiaTheme="minorEastAsia"/>
          <w:lang w:eastAsia="zh-CN"/>
        </w:rPr>
      </w:pPr>
      <w:bookmarkStart w:id="14" w:name="_GoBack"/>
      <w:bookmarkEnd w:id="14"/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0</wp:posOffset>
                </wp:positionV>
                <wp:extent cx="5270500" cy="231140"/>
                <wp:effectExtent l="0" t="0" r="0" b="0"/>
                <wp:wrapNone/>
                <wp:docPr id="5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500" cy="231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260B05">
                            <w:pPr>
                              <w:jc w:val="left"/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bookmarkStart w:id="13" w:name="OLE_LINK55"/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Table S1. Mass spectrometry results</w:t>
                            </w:r>
                            <w:bookmarkEnd w:id="13"/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(Top 30)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0.2pt;margin-top:0pt;height:18.2pt;width:415pt;z-index:251659264;mso-width-relative:page;mso-height-relative:page;" filled="f" stroked="f" coordsize="21600,21600" o:gfxdata="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AAAAAZHJzL1BLAQIUABQAAAAIAIdO4kDxh1tl0wAAAAQBAAAPAAAAAAAAAAEA&#10;IAAAACIAAABkcnMvZG93bnJldi54bWxQSwECFAAUAAAACACHTuJA8I5J7KIBAAA6AwAADgAAAAAA&#10;AAABACAAAAAiAQAAZHJzL2Uyb0RvYy54bWxQSwUGAAAAAAYABgBZAQAAN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27260B05">
                      <w:pPr>
                        <w:jc w:val="left"/>
                        <w:rPr>
                          <w:rFonts w:hint="default" w:ascii="Arial" w:hAnsi="Arial" w:cs="Arial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bookmarkStart w:id="13" w:name="OLE_LINK55"/>
                      <w:r>
                        <w:rPr>
                          <w:rFonts w:hint="default" w:ascii="Arial" w:hAnsi="Arial" w:cs="Arial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Table S1. Mass spectrometry results</w:t>
                      </w:r>
                      <w:bookmarkEnd w:id="13"/>
                      <w:r>
                        <w:rPr>
                          <w:rFonts w:hint="default" w:ascii="Arial" w:hAnsi="Arial" w:cs="Arial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(Top 30)</w:t>
                      </w:r>
                    </w:p>
                  </w:txbxContent>
                </v:textbox>
              </v:rect>
            </w:pict>
          </mc:Fallback>
        </mc:AlternateContent>
      </w:r>
    </w:p>
    <w:p w14:paraId="2A398DD9"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74295</wp:posOffset>
            </wp:positionV>
            <wp:extent cx="5272405" cy="6252845"/>
            <wp:effectExtent l="0" t="0" r="4445" b="14605"/>
            <wp:wrapTopAndBottom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25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B0FD37E"/>
    <w:p w14:paraId="6FFB3F44"/>
    <w:p w14:paraId="4C221872"/>
    <w:p w14:paraId="4099DE09"/>
    <w:p w14:paraId="7F1931FC"/>
    <w:p w14:paraId="7A32F40A"/>
    <w:p w14:paraId="333131E6"/>
    <w:p w14:paraId="1401F026"/>
    <w:p w14:paraId="27AFFBCC"/>
    <w:p w14:paraId="50EF1995">
      <w:pPr>
        <w:jc w:val="center"/>
      </w:pPr>
    </w:p>
    <w:p w14:paraId="7AA9A25B"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79390" cy="231140"/>
                <wp:effectExtent l="0" t="0" r="0" b="0"/>
                <wp:wrapNone/>
                <wp:docPr id="6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9390" cy="231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D8602F">
                            <w:pPr>
                              <w:jc w:val="left"/>
                              <w:rPr>
                                <w:rFonts w:hint="default" w:ascii="Arial" w:hAnsi="Arial" w:cs="Arial" w:eastAsiaTheme="minorEastAsia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Table S2. Clinicopathologic characteristic of NONO expression in TNBC patie</w:t>
                            </w: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nts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0pt;margin-top:0pt;height:18.2pt;width:415.7pt;z-index:251661312;mso-width-relative:page;mso-height-relative:page;" filled="f" stroked="f" coordsize="21600,21600" o:gfxdata="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CXY5uN1QAAAAQBAAAPAAAAAAAA&#10;AAEAIAAAACIAAABkcnMvZG93bnJldi54bWxQSwECFAAUAAAACACHTuJAHvFJUqMBAAA6AwAADgAA&#10;AAAAAAABACAAAAAk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6FD8602F">
                      <w:pPr>
                        <w:jc w:val="left"/>
                        <w:rPr>
                          <w:rFonts w:hint="default" w:ascii="Arial" w:hAnsi="Arial" w:cs="Arial" w:eastAsiaTheme="minorEastAsia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Table S2. Clinicopathologic characteristic of NONO expression in TNBC patie</w:t>
                      </w: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nts</w:t>
                      </w:r>
                    </w:p>
                  </w:txbxContent>
                </v:textbox>
              </v:rect>
            </w:pict>
          </mc:Fallback>
        </mc:AlternateContent>
      </w:r>
    </w:p>
    <w:p w14:paraId="6C57C559"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40640</wp:posOffset>
            </wp:positionV>
            <wp:extent cx="5273040" cy="4760595"/>
            <wp:effectExtent l="0" t="0" r="3810" b="1905"/>
            <wp:wrapTopAndBottom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76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615512"/>
    <w:p w14:paraId="5C42F915"/>
    <w:p w14:paraId="7AD69E61"/>
    <w:p w14:paraId="535CFF9F"/>
    <w:p w14:paraId="48CA7A54"/>
    <w:p w14:paraId="64DE3964"/>
    <w:p w14:paraId="6107D0D5"/>
    <w:p w14:paraId="4614D6D0"/>
    <w:p w14:paraId="1693A830"/>
    <w:p w14:paraId="78EE0D8D"/>
    <w:p w14:paraId="6921A500"/>
    <w:p w14:paraId="5776E72D"/>
    <w:p w14:paraId="2B09D32F"/>
    <w:p w14:paraId="5BC29892"/>
    <w:p w14:paraId="3C6C5348"/>
    <w:p w14:paraId="4BA01232"/>
    <w:p w14:paraId="75954E35"/>
    <w:p w14:paraId="4DA635EF"/>
    <w:p w14:paraId="5D269314">
      <w:pPr>
        <w:jc w:val="both"/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79390" cy="231140"/>
                <wp:effectExtent l="0" t="0" r="0" b="0"/>
                <wp:wrapNone/>
                <wp:docPr id="15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9390" cy="231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339B13">
                            <w:pPr>
                              <w:jc w:val="left"/>
                              <w:rPr>
                                <w:rFonts w:hint="default" w:ascii="Arial" w:hAnsi="Arial" w:cs="Arial" w:eastAsiaTheme="minorEastAsia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Table S</w:t>
                            </w: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3</w:t>
                            </w: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. Clinicopathologic characteristic of </w:t>
                            </w: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PKM2</w:t>
                            </w: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expression in TNBC patie</w:t>
                            </w: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nts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0pt;margin-top:0pt;height:18.2pt;width:415.7pt;z-index:251668480;mso-width-relative:page;mso-height-relative:page;" filled="f" stroked="f" coordsize="21600,21600" o:gfxdata="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l2ObjdUAAAAEAQAADwAAAAAA&#10;AAABACAAAAAiAAAAZHJzL2Rvd25yZXYueG1sUEsBAhQAFAAAAAgAh07iQPllRu6kAQAAOwMAAA4A&#10;AAAAAAAAAQAgAAAAJA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53339B13">
                      <w:pPr>
                        <w:jc w:val="left"/>
                        <w:rPr>
                          <w:rFonts w:hint="default" w:ascii="Arial" w:hAnsi="Arial" w:cs="Arial" w:eastAsiaTheme="minorEastAsia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Table S</w:t>
                      </w: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3</w:t>
                      </w: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. Clinicopathologic characteristic of </w:t>
                      </w: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PKM2</w:t>
                      </w: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expression in TNBC patie</w:t>
                      </w: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nts</w:t>
                      </w:r>
                    </w:p>
                  </w:txbxContent>
                </v:textbox>
              </v:rect>
            </w:pict>
          </mc:Fallback>
        </mc:AlternateContent>
      </w:r>
    </w:p>
    <w:p w14:paraId="0AB49287">
      <w:pPr>
        <w:jc w:val="center"/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95885</wp:posOffset>
            </wp:positionV>
            <wp:extent cx="5272405" cy="4772025"/>
            <wp:effectExtent l="0" t="0" r="4445" b="9525"/>
            <wp:wrapTopAndBottom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F7A524B">
      <w:pPr>
        <w:jc w:val="center"/>
      </w:pPr>
    </w:p>
    <w:p w14:paraId="210FC732">
      <w:pPr>
        <w:jc w:val="center"/>
      </w:pPr>
    </w:p>
    <w:p w14:paraId="09849DE9">
      <w:pPr>
        <w:jc w:val="center"/>
      </w:pPr>
    </w:p>
    <w:p w14:paraId="12D40B2D">
      <w:pPr>
        <w:jc w:val="center"/>
      </w:pPr>
    </w:p>
    <w:p w14:paraId="5E16DAE4">
      <w:pPr>
        <w:jc w:val="center"/>
      </w:pPr>
    </w:p>
    <w:p w14:paraId="5D73703C">
      <w:pPr>
        <w:jc w:val="center"/>
      </w:pPr>
    </w:p>
    <w:p w14:paraId="5DC9566A">
      <w:pPr>
        <w:jc w:val="center"/>
      </w:pPr>
    </w:p>
    <w:p w14:paraId="2B5DEA7D">
      <w:pPr>
        <w:jc w:val="center"/>
      </w:pPr>
    </w:p>
    <w:p w14:paraId="18FC3FAC">
      <w:pPr>
        <w:jc w:val="center"/>
      </w:pPr>
    </w:p>
    <w:p w14:paraId="0B3E722D">
      <w:pPr>
        <w:jc w:val="center"/>
      </w:pPr>
    </w:p>
    <w:p w14:paraId="50733C7A">
      <w:pPr>
        <w:jc w:val="center"/>
      </w:pPr>
    </w:p>
    <w:p w14:paraId="19CC432F">
      <w:pPr>
        <w:jc w:val="center"/>
      </w:pPr>
    </w:p>
    <w:p w14:paraId="6EE5EB06">
      <w:pPr>
        <w:jc w:val="center"/>
      </w:pPr>
    </w:p>
    <w:p w14:paraId="258FCF81">
      <w:pPr>
        <w:jc w:val="center"/>
      </w:pPr>
    </w:p>
    <w:p w14:paraId="564C74DD">
      <w:pPr>
        <w:jc w:val="center"/>
      </w:pPr>
    </w:p>
    <w:p w14:paraId="10D4C00C">
      <w:pPr>
        <w:jc w:val="center"/>
      </w:pPr>
    </w:p>
    <w:p w14:paraId="1D7AB8E9">
      <w:pPr>
        <w:jc w:val="center"/>
      </w:pPr>
    </w:p>
    <w:p w14:paraId="7274410C">
      <w:pPr>
        <w:jc w:val="both"/>
      </w:pPr>
    </w:p>
    <w:p w14:paraId="52E3417D">
      <w:pPr>
        <w:jc w:val="center"/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0</wp:posOffset>
                </wp:positionV>
                <wp:extent cx="5269865" cy="231140"/>
                <wp:effectExtent l="0" t="0" r="0" b="0"/>
                <wp:wrapNone/>
                <wp:docPr id="12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9865" cy="231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D525AA">
                            <w:pPr>
                              <w:jc w:val="left"/>
                              <w:rPr>
                                <w:rFonts w:hint="default" w:ascii="Arial" w:hAnsi="Arial" w:cs="Arial" w:eastAsiaTheme="minorEastAsia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Table S</w:t>
                            </w: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</w:t>
                            </w: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. </w:t>
                            </w: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List of antibodies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0.75pt;margin-top:0pt;height:18.2pt;width:414.95pt;z-index:251664384;mso-width-relative:page;mso-height-relative:page;" filled="f" stroked="f" coordsize="21600,21600" o:gfxdata="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f/1wYdUAAAAFAQAADwAAAAAA&#10;AAABACAAAAAiAAAAZHJzL2Rvd25yZXYueG1sUEsBAhQAFAAAAAgAh07iQPmJVlSkAQAAOwMAAA4A&#10;AAAAAAAAAQAgAAAAJA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49D525AA">
                      <w:pPr>
                        <w:jc w:val="left"/>
                        <w:rPr>
                          <w:rFonts w:hint="default" w:ascii="Arial" w:hAnsi="Arial" w:cs="Arial" w:eastAsiaTheme="minorEastAsia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Table S</w:t>
                      </w: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</w:t>
                      </w: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. </w:t>
                      </w: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List of antibodies</w:t>
                      </w:r>
                    </w:p>
                  </w:txbxContent>
                </v:textbox>
              </v:rect>
            </w:pict>
          </mc:Fallback>
        </mc:AlternateContent>
      </w:r>
    </w:p>
    <w:p w14:paraId="0160442F">
      <w:pPr>
        <w:jc w:val="center"/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67945</wp:posOffset>
            </wp:positionV>
            <wp:extent cx="5269230" cy="5918835"/>
            <wp:effectExtent l="0" t="0" r="7620" b="5715"/>
            <wp:wrapTopAndBottom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91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0CFEDF8">
      <w:pPr>
        <w:jc w:val="center"/>
      </w:pPr>
    </w:p>
    <w:p w14:paraId="1DF711CE">
      <w:pPr>
        <w:jc w:val="center"/>
      </w:pPr>
    </w:p>
    <w:p w14:paraId="10F0FCEB">
      <w:pPr>
        <w:jc w:val="center"/>
      </w:pPr>
    </w:p>
    <w:p w14:paraId="51CFE8CF">
      <w:pPr>
        <w:jc w:val="center"/>
      </w:pPr>
    </w:p>
    <w:p w14:paraId="4EC5E601">
      <w:pPr>
        <w:jc w:val="center"/>
      </w:pPr>
    </w:p>
    <w:p w14:paraId="6B3F4F96">
      <w:pPr>
        <w:jc w:val="center"/>
      </w:pPr>
    </w:p>
    <w:p w14:paraId="1B68D748">
      <w:pPr>
        <w:jc w:val="center"/>
      </w:pPr>
    </w:p>
    <w:p w14:paraId="4749ADDD">
      <w:pPr>
        <w:jc w:val="center"/>
      </w:pPr>
    </w:p>
    <w:p w14:paraId="7E4CF5EE">
      <w:pPr>
        <w:jc w:val="center"/>
      </w:pPr>
    </w:p>
    <w:p w14:paraId="3D6CF1EB">
      <w:pPr>
        <w:jc w:val="center"/>
      </w:pPr>
    </w:p>
    <w:p w14:paraId="122EB5D5">
      <w:pPr>
        <w:jc w:val="center"/>
      </w:pPr>
    </w:p>
    <w:p w14:paraId="6724263A">
      <w:pPr>
        <w:jc w:val="center"/>
      </w:pPr>
    </w:p>
    <w:p w14:paraId="2F9D32E1">
      <w:pPr>
        <w:jc w:val="center"/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0</wp:posOffset>
                </wp:positionV>
                <wp:extent cx="5270500" cy="231140"/>
                <wp:effectExtent l="0" t="0" r="0" b="0"/>
                <wp:wrapNone/>
                <wp:docPr id="11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500" cy="231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027F1A">
                            <w:pPr>
                              <w:jc w:val="left"/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Table S</w:t>
                            </w: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 Real-time PCR primer sequences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0.2pt;margin-top:0pt;height:18.2pt;width:415pt;z-index:251666432;mso-width-relative:page;mso-height-relative:page;" filled="f" stroked="f" coordsize="21600,21600" o:gfxdata="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8YdbZdMAAAAEAQAADwAAAAAAAAAB&#10;ACAAAAAiAAAAZHJzL2Rvd25yZXYueG1sUEsBAhQAFAAAAAgAh07iQPwe6hajAQAAOwMAAA4AAAAA&#10;AAAAAQAgAAAAIgEAAGRycy9lMm9Eb2MueG1sUEsFBgAAAAAGAAYAWQEAAD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30027F1A">
                      <w:pPr>
                        <w:jc w:val="left"/>
                        <w:rPr>
                          <w:rFonts w:hint="default" w:ascii="Arial" w:hAnsi="Arial" w:cs="Arial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Table S</w:t>
                      </w: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 Real-time PCR primer sequences</w:t>
                      </w:r>
                    </w:p>
                  </w:txbxContent>
                </v:textbox>
              </v:rect>
            </w:pict>
          </mc:Fallback>
        </mc:AlternateContent>
      </w:r>
    </w:p>
    <w:p w14:paraId="20CD86C1">
      <w:pPr>
        <w:jc w:val="center"/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91440</wp:posOffset>
            </wp:positionV>
            <wp:extent cx="5274310" cy="3341370"/>
            <wp:effectExtent l="0" t="0" r="2540" b="11430"/>
            <wp:wrapTopAndBottom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369F5F">
      <w:pPr>
        <w:jc w:val="center"/>
      </w:pPr>
    </w:p>
    <w:p w14:paraId="6EDA2A9B">
      <w:pPr>
        <w:jc w:val="center"/>
      </w:pPr>
    </w:p>
    <w:p w14:paraId="48383F14">
      <w:pPr>
        <w:jc w:val="center"/>
      </w:pPr>
    </w:p>
    <w:p w14:paraId="05730C75">
      <w:pPr>
        <w:jc w:val="center"/>
      </w:pPr>
    </w:p>
    <w:p w14:paraId="1FC3CB77">
      <w:pPr>
        <w:jc w:val="center"/>
      </w:pPr>
    </w:p>
    <w:p w14:paraId="744FEB26">
      <w:pPr>
        <w:jc w:val="center"/>
      </w:pPr>
    </w:p>
    <w:p w14:paraId="5FDB678A">
      <w:pPr>
        <w:jc w:val="center"/>
      </w:pPr>
    </w:p>
    <w:p w14:paraId="07D8AAB6">
      <w:pPr>
        <w:jc w:val="center"/>
      </w:pPr>
    </w:p>
    <w:p w14:paraId="5B24D490">
      <w:pPr>
        <w:jc w:val="center"/>
      </w:pPr>
    </w:p>
    <w:p w14:paraId="024DF1B4">
      <w:pPr>
        <w:jc w:val="center"/>
      </w:pPr>
    </w:p>
    <w:p w14:paraId="031CA3E6">
      <w:pPr>
        <w:jc w:val="center"/>
      </w:pPr>
    </w:p>
    <w:p w14:paraId="2E6290B8">
      <w:pPr>
        <w:jc w:val="center"/>
      </w:pPr>
    </w:p>
    <w:p w14:paraId="173866C5">
      <w:pPr>
        <w:jc w:val="center"/>
      </w:pPr>
    </w:p>
    <w:p w14:paraId="35BF0AB0">
      <w:pPr>
        <w:jc w:val="center"/>
      </w:pPr>
    </w:p>
    <w:p w14:paraId="7C3BCA3D">
      <w:pPr>
        <w:jc w:val="center"/>
      </w:pPr>
    </w:p>
    <w:p w14:paraId="227459CF">
      <w:pPr>
        <w:jc w:val="center"/>
      </w:pPr>
    </w:p>
    <w:p w14:paraId="521C8F5F">
      <w:pPr>
        <w:jc w:val="center"/>
      </w:pPr>
    </w:p>
    <w:p w14:paraId="397964C1">
      <w:pPr>
        <w:jc w:val="center"/>
      </w:pPr>
    </w:p>
    <w:p w14:paraId="06E22146">
      <w:pPr>
        <w:jc w:val="center"/>
      </w:pPr>
    </w:p>
    <w:p w14:paraId="5E234941">
      <w:pPr>
        <w:jc w:val="center"/>
      </w:pPr>
    </w:p>
    <w:p w14:paraId="3AD08A47">
      <w:pPr>
        <w:jc w:val="center"/>
      </w:pPr>
    </w:p>
    <w:p w14:paraId="0AC2858B">
      <w:pPr>
        <w:jc w:val="center"/>
      </w:pPr>
    </w:p>
    <w:p w14:paraId="38C32C3C">
      <w:pPr>
        <w:jc w:val="center"/>
      </w:pPr>
    </w:p>
    <w:p w14:paraId="2CE02414">
      <w:pPr>
        <w:jc w:val="center"/>
      </w:pPr>
    </w:p>
    <w:p w14:paraId="59A2189F">
      <w:pPr>
        <w:jc w:val="center"/>
      </w:pPr>
    </w:p>
    <w:p w14:paraId="5F213F98">
      <w:pPr>
        <w:jc w:val="center"/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0</wp:posOffset>
                </wp:positionV>
                <wp:extent cx="5276850" cy="231140"/>
                <wp:effectExtent l="0" t="0" r="0" b="0"/>
                <wp:wrapNone/>
                <wp:docPr id="16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6850" cy="231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C28A84">
                            <w:pPr>
                              <w:jc w:val="left"/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Table S</w:t>
                            </w: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 ChIP-qPCR primer sequences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0.2pt;margin-top:0pt;height:18.2pt;width:415.5pt;z-index:251669504;mso-width-relative:page;mso-height-relative:page;" filled="f" stroked="f" coordsize="21600,21600" o:gfxdata="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Dseu5k1AAAAAQBAAAPAAAAAAAA&#10;AAEAIAAAACIAAABkcnMvZG93bnJldi54bWxQSwECFAAUAAAACACHTuJApDhVZ6QBAAA7AwAADgAA&#10;AAAAAAABACAAAAAj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5DC28A84">
                      <w:pPr>
                        <w:jc w:val="left"/>
                        <w:rPr>
                          <w:rFonts w:hint="default" w:ascii="Arial" w:hAnsi="Arial" w:cs="Arial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Table S</w:t>
                      </w: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 ChIP-qPCR primer sequences</w:t>
                      </w:r>
                    </w:p>
                  </w:txbxContent>
                </v:textbox>
              </v:rect>
            </w:pict>
          </mc:Fallback>
        </mc:AlternateContent>
      </w:r>
    </w:p>
    <w:p w14:paraId="03804BB4">
      <w:pPr>
        <w:jc w:val="center"/>
      </w:pP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86995</wp:posOffset>
            </wp:positionV>
            <wp:extent cx="5272405" cy="2217420"/>
            <wp:effectExtent l="0" t="0" r="4445" b="11430"/>
            <wp:wrapTopAndBottom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1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9E8A1EC">
      <w:pPr>
        <w:jc w:val="center"/>
      </w:pPr>
    </w:p>
    <w:p w14:paraId="089C455B">
      <w:pPr>
        <w:jc w:val="center"/>
      </w:pPr>
    </w:p>
    <w:p w14:paraId="1CC4DD3B">
      <w:pPr>
        <w:jc w:val="center"/>
      </w:pPr>
    </w:p>
    <w:p w14:paraId="2B556535">
      <w:pPr>
        <w:jc w:val="center"/>
      </w:pPr>
    </w:p>
    <w:p w14:paraId="2A3E0305">
      <w:pPr>
        <w:jc w:val="center"/>
      </w:pPr>
    </w:p>
    <w:p w14:paraId="72E49042">
      <w:pPr>
        <w:jc w:val="center"/>
      </w:pPr>
    </w:p>
    <w:p w14:paraId="1EC432C3">
      <w:pPr>
        <w:jc w:val="center"/>
      </w:pPr>
    </w:p>
    <w:p w14:paraId="3F178133">
      <w:pPr>
        <w:jc w:val="center"/>
      </w:pPr>
    </w:p>
    <w:p w14:paraId="4D9E40CC">
      <w:pPr>
        <w:jc w:val="center"/>
      </w:pPr>
    </w:p>
    <w:p w14:paraId="366A918E">
      <w:pPr>
        <w:jc w:val="center"/>
      </w:pPr>
    </w:p>
    <w:p w14:paraId="5E20CA19">
      <w:pPr>
        <w:jc w:val="center"/>
      </w:pPr>
    </w:p>
    <w:p w14:paraId="63D11516">
      <w:pPr>
        <w:jc w:val="center"/>
      </w:pPr>
    </w:p>
    <w:p w14:paraId="2936C2D2">
      <w:pPr>
        <w:jc w:val="center"/>
      </w:pPr>
    </w:p>
    <w:p w14:paraId="73728399">
      <w:pPr>
        <w:jc w:val="center"/>
      </w:pPr>
    </w:p>
    <w:p w14:paraId="6B6C53CE">
      <w:pPr>
        <w:jc w:val="center"/>
      </w:pPr>
    </w:p>
    <w:p w14:paraId="5914A959">
      <w:pPr>
        <w:jc w:val="center"/>
      </w:pPr>
    </w:p>
    <w:p w14:paraId="267EB680">
      <w:pPr>
        <w:jc w:val="center"/>
      </w:pPr>
    </w:p>
    <w:p w14:paraId="2C28956A">
      <w:pPr>
        <w:jc w:val="center"/>
      </w:pPr>
    </w:p>
    <w:p w14:paraId="0AF7B4A7">
      <w:pPr>
        <w:jc w:val="center"/>
      </w:pPr>
    </w:p>
    <w:p w14:paraId="42A9EB32">
      <w:pPr>
        <w:jc w:val="center"/>
      </w:pPr>
    </w:p>
    <w:p w14:paraId="3D02AB10">
      <w:pPr>
        <w:jc w:val="center"/>
      </w:pPr>
    </w:p>
    <w:p w14:paraId="3F0F65A9">
      <w:pPr>
        <w:jc w:val="center"/>
      </w:pPr>
    </w:p>
    <w:p w14:paraId="683183FB">
      <w:pPr>
        <w:jc w:val="center"/>
      </w:pPr>
    </w:p>
    <w:p w14:paraId="2ADAFCDD">
      <w:pPr>
        <w:jc w:val="center"/>
      </w:pPr>
    </w:p>
    <w:p w14:paraId="474A922B">
      <w:pPr>
        <w:jc w:val="center"/>
      </w:pPr>
    </w:p>
    <w:p w14:paraId="19893B76">
      <w:pPr>
        <w:jc w:val="center"/>
      </w:pPr>
    </w:p>
    <w:p w14:paraId="46DABAC6">
      <w:pPr>
        <w:jc w:val="center"/>
      </w:pPr>
    </w:p>
    <w:p w14:paraId="26A21095">
      <w:pPr>
        <w:jc w:val="center"/>
      </w:pPr>
    </w:p>
    <w:p w14:paraId="1CA5E89F">
      <w:pPr>
        <w:jc w:val="center"/>
      </w:pPr>
    </w:p>
    <w:p w14:paraId="56D8E451">
      <w:pPr>
        <w:jc w:val="center"/>
      </w:pPr>
    </w:p>
    <w:p w14:paraId="51A2171A">
      <w:pPr>
        <w:jc w:val="center"/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-8255</wp:posOffset>
                </wp:positionH>
                <wp:positionV relativeFrom="paragraph">
                  <wp:posOffset>0</wp:posOffset>
                </wp:positionV>
                <wp:extent cx="5287645" cy="231140"/>
                <wp:effectExtent l="0" t="0" r="0" b="0"/>
                <wp:wrapNone/>
                <wp:docPr id="18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7645" cy="231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4917AB">
                            <w:pPr>
                              <w:jc w:val="left"/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Table S</w:t>
                            </w: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7</w:t>
                            </w: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color w:val="000000" w:themeColor="text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 PCR primer sequences used for genotyping of transgenic mice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-0.65pt;margin-top:0pt;height:18.2pt;width:416.35pt;z-index:251671552;mso-width-relative:page;mso-height-relative:page;" filled="f" stroked="f" coordsize="21600,21600" o:gfxdata="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CHpl9LWAAAABgEAAA8AAAAA&#10;AAAAAQAgAAAAIgAAAGRycy9kb3ducmV2LnhtbFBLAQIUABQAAAAIAIdO4kCA5oAdpAEAADsDAAAO&#10;AAAAAAAAAAEAIAAAACUBAABkcnMvZTJvRG9jLnhtbFBLBQYAAAAABgAGAFkBAAA7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524917AB">
                      <w:pPr>
                        <w:jc w:val="left"/>
                        <w:rPr>
                          <w:rFonts w:hint="default" w:ascii="Arial" w:hAnsi="Arial" w:cs="Arial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Table S</w:t>
                      </w: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7</w:t>
                      </w: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color w:val="000000" w:themeColor="text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 PCR primer sequences used for genotyping of transgenic mice</w:t>
                      </w:r>
                    </w:p>
                  </w:txbxContent>
                </v:textbox>
              </v:rect>
            </w:pict>
          </mc:Fallback>
        </mc:AlternateContent>
      </w:r>
    </w:p>
    <w:p w14:paraId="36BB1BF3">
      <w:pPr>
        <w:bidi w:val="0"/>
        <w:rPr>
          <w:rFonts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  <w: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73025</wp:posOffset>
            </wp:positionV>
            <wp:extent cx="5271135" cy="1614805"/>
            <wp:effectExtent l="0" t="0" r="5715" b="4445"/>
            <wp:wrapTopAndBottom/>
            <wp:docPr id="1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61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3D0AF66">
      <w:pPr>
        <w:bidi w:val="0"/>
        <w:rPr>
          <w:lang w:val="en-US" w:eastAsia="zh-CN"/>
        </w:rPr>
      </w:pPr>
    </w:p>
    <w:p w14:paraId="5E6DC8D6">
      <w:pPr>
        <w:bidi w:val="0"/>
        <w:rPr>
          <w:lang w:val="en-US" w:eastAsia="zh-CN"/>
        </w:rPr>
      </w:pPr>
    </w:p>
    <w:p w14:paraId="67E7EAB0">
      <w:pPr>
        <w:bidi w:val="0"/>
        <w:rPr>
          <w:lang w:val="en-US" w:eastAsia="zh-CN"/>
        </w:rPr>
      </w:pPr>
    </w:p>
    <w:p w14:paraId="1E43AE96">
      <w:pPr>
        <w:bidi w:val="0"/>
        <w:rPr>
          <w:lang w:val="en-US" w:eastAsia="zh-CN"/>
        </w:rPr>
      </w:pPr>
    </w:p>
    <w:p w14:paraId="3713E858">
      <w:pPr>
        <w:bidi w:val="0"/>
        <w:rPr>
          <w:lang w:val="en-US" w:eastAsia="zh-CN"/>
        </w:rPr>
      </w:pPr>
    </w:p>
    <w:p w14:paraId="2C75F69C">
      <w:pPr>
        <w:bidi w:val="0"/>
        <w:jc w:val="center"/>
        <w:rPr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40074206"/>
      <w:docPartObj>
        <w:docPartGallery w:val="autotext"/>
      </w:docPartObj>
    </w:sdtPr>
    <w:sdtContent>
      <w:p w14:paraId="1701C8AC">
        <w:pPr>
          <w:pStyle w:val="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12</w:t>
        </w:r>
        <w:r>
          <w:fldChar w:fldCharType="end"/>
        </w:r>
      </w:p>
    </w:sdtContent>
  </w:sdt>
  <w:p w14:paraId="4CEDEBBE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3E2"/>
    <w:rsid w:val="000663E2"/>
    <w:rsid w:val="000A1666"/>
    <w:rsid w:val="000D65FC"/>
    <w:rsid w:val="00124298"/>
    <w:rsid w:val="00287F5C"/>
    <w:rsid w:val="00303690"/>
    <w:rsid w:val="003A2BE0"/>
    <w:rsid w:val="0046229C"/>
    <w:rsid w:val="004C5471"/>
    <w:rsid w:val="004D5BB6"/>
    <w:rsid w:val="0077403B"/>
    <w:rsid w:val="007B2130"/>
    <w:rsid w:val="007F55FC"/>
    <w:rsid w:val="00930F90"/>
    <w:rsid w:val="00942BC3"/>
    <w:rsid w:val="00972934"/>
    <w:rsid w:val="00A66725"/>
    <w:rsid w:val="00BF417C"/>
    <w:rsid w:val="00C41EE0"/>
    <w:rsid w:val="00CD6D1F"/>
    <w:rsid w:val="00DE3B5C"/>
    <w:rsid w:val="00DE7CF3"/>
    <w:rsid w:val="00E868D8"/>
    <w:rsid w:val="00ED43BC"/>
    <w:rsid w:val="00F10451"/>
    <w:rsid w:val="00F446A7"/>
    <w:rsid w:val="02D76E08"/>
    <w:rsid w:val="030D1D54"/>
    <w:rsid w:val="039564E0"/>
    <w:rsid w:val="0C877527"/>
    <w:rsid w:val="122015D7"/>
    <w:rsid w:val="23526B23"/>
    <w:rsid w:val="2E6F4729"/>
    <w:rsid w:val="323E04CE"/>
    <w:rsid w:val="3EB87D22"/>
    <w:rsid w:val="3FBC6458"/>
    <w:rsid w:val="4232174F"/>
    <w:rsid w:val="446B553E"/>
    <w:rsid w:val="514B0E37"/>
    <w:rsid w:val="5DDB752F"/>
    <w:rsid w:val="7D13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tiff"/><Relationship Id="rId8" Type="http://schemas.openxmlformats.org/officeDocument/2006/relationships/image" Target="media/image4.tiff"/><Relationship Id="rId7" Type="http://schemas.openxmlformats.org/officeDocument/2006/relationships/image" Target="media/image3.tiff"/><Relationship Id="rId6" Type="http://schemas.openxmlformats.org/officeDocument/2006/relationships/image" Target="media/image2.tiff"/><Relationship Id="rId5" Type="http://schemas.openxmlformats.org/officeDocument/2006/relationships/image" Target="media/image1.em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emf"/><Relationship Id="rId10" Type="http://schemas.openxmlformats.org/officeDocument/2006/relationships/image" Target="media/image6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1179</Words>
  <Characters>6139</Characters>
  <Lines>52</Lines>
  <Paragraphs>14</Paragraphs>
  <TotalTime>3</TotalTime>
  <ScaleCrop>false</ScaleCrop>
  <LinksUpToDate>false</LinksUpToDate>
  <CharactersWithSpaces>7310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2024-11-13T06:39:00Z</dcterms:created>
  <dc:creator>Quan Zhao</dc:creator>
  <cp:lastModifiedBy>Silvers Rayleigh</cp:lastModifiedBy>
  <dcterms:modified xsi:type="dcterms:W3CDTF">2024-12-14T02:38:18Z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8CECFE8DBB2146479134B54BCB7D0E4A_12</vt:lpwstr>
  </property>
</Properties>
</file>