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7C80F4" w14:textId="158E449F" w:rsidR="00EA45E0" w:rsidRDefault="00653C74" w:rsidP="00EA45E0">
      <w:pPr>
        <w:spacing w:line="480" w:lineRule="auto"/>
        <w:jc w:val="both"/>
        <w:rPr>
          <w:rFonts w:ascii="Times New Roman" w:hAnsi="Times New Roman"/>
          <w:b/>
          <w:sz w:val="32"/>
          <w:szCs w:val="32"/>
        </w:rPr>
      </w:pPr>
      <w:r w:rsidRPr="00EA45E0">
        <w:rPr>
          <w:rFonts w:ascii="Times New Roman" w:hAnsi="Times New Roman"/>
          <w:b/>
          <w:sz w:val="32"/>
          <w:szCs w:val="32"/>
        </w:rPr>
        <w:t>Supplementary Information</w:t>
      </w:r>
    </w:p>
    <w:p w14:paraId="0DEB376B" w14:textId="77777777" w:rsidR="003B1E6B" w:rsidRPr="003B1E6B" w:rsidRDefault="003B1E6B" w:rsidP="00EA45E0">
      <w:pPr>
        <w:spacing w:line="480" w:lineRule="auto"/>
        <w:jc w:val="both"/>
        <w:rPr>
          <w:rFonts w:ascii="Times New Roman" w:hAnsi="Times New Roman"/>
        </w:rPr>
      </w:pPr>
      <w:bookmarkStart w:id="0" w:name="_GoBack"/>
      <w:bookmarkEnd w:id="0"/>
    </w:p>
    <w:p w14:paraId="20F2EA96" w14:textId="693E2160" w:rsidR="00EA45E0" w:rsidRPr="003B1E6B" w:rsidRDefault="00EA45E0" w:rsidP="00EA45E0">
      <w:pPr>
        <w:spacing w:line="480" w:lineRule="auto"/>
        <w:jc w:val="both"/>
        <w:rPr>
          <w:rFonts w:ascii="Times New Roman" w:hAnsi="Times New Roman"/>
          <w:b/>
          <w:sz w:val="32"/>
          <w:szCs w:val="32"/>
        </w:rPr>
      </w:pPr>
      <w:r w:rsidRPr="003B1E6B">
        <w:rPr>
          <w:rFonts w:ascii="Times New Roman" w:hAnsi="Times New Roman"/>
          <w:b/>
          <w:sz w:val="32"/>
          <w:szCs w:val="32"/>
        </w:rPr>
        <w:t xml:space="preserve">AMP-kinase mediates adaptation of glioblastoma cells to conditions of the tumor microenvironment </w:t>
      </w:r>
    </w:p>
    <w:p w14:paraId="221E507D" w14:textId="513D132A" w:rsidR="00EA45E0" w:rsidRPr="00EA45E0" w:rsidRDefault="00EA45E0" w:rsidP="00EA45E0">
      <w:pPr>
        <w:spacing w:line="480" w:lineRule="auto"/>
        <w:rPr>
          <w:rFonts w:ascii="Times New Roman" w:hAnsi="Times New Roman"/>
          <w:vertAlign w:val="superscript"/>
        </w:rPr>
      </w:pPr>
      <w:bookmarkStart w:id="1" w:name="_Hlk184022494"/>
      <w:r w:rsidRPr="00EA45E0">
        <w:rPr>
          <w:rFonts w:ascii="Times New Roman" w:hAnsi="Times New Roman"/>
        </w:rPr>
        <w:t>Nadja I. Lorenz et al.</w:t>
      </w:r>
    </w:p>
    <w:bookmarkEnd w:id="1"/>
    <w:p w14:paraId="4FCE0BF2" w14:textId="77777777" w:rsidR="00EA45E0" w:rsidRPr="00EA45E0" w:rsidRDefault="00EA45E0" w:rsidP="00653C74">
      <w:pPr>
        <w:spacing w:line="480" w:lineRule="auto"/>
        <w:jc w:val="both"/>
        <w:rPr>
          <w:rFonts w:ascii="Times New Roman" w:hAnsi="Times New Roman"/>
          <w:b/>
          <w:sz w:val="32"/>
          <w:szCs w:val="32"/>
        </w:rPr>
      </w:pPr>
    </w:p>
    <w:p w14:paraId="794617A5" w14:textId="77777777" w:rsidR="00653C74" w:rsidRPr="00EA45E0" w:rsidRDefault="00653C74" w:rsidP="00653C74">
      <w:pPr>
        <w:spacing w:line="480" w:lineRule="auto"/>
        <w:jc w:val="both"/>
        <w:rPr>
          <w:rFonts w:ascii="Times New Roman" w:hAnsi="Times New Roman"/>
        </w:rPr>
      </w:pPr>
      <w:r w:rsidRPr="00EA45E0">
        <w:rPr>
          <w:rFonts w:ascii="Times New Roman" w:hAnsi="Times New Roman"/>
          <w:b/>
          <w:sz w:val="32"/>
          <w:szCs w:val="32"/>
        </w:rPr>
        <w:t>Supplementary Figures</w:t>
      </w:r>
    </w:p>
    <w:p w14:paraId="1105FF6B" w14:textId="34090487" w:rsidR="00653C74" w:rsidRPr="00EA45E0" w:rsidRDefault="007D0472" w:rsidP="00653C74">
      <w:pPr>
        <w:spacing w:line="480" w:lineRule="auto"/>
        <w:jc w:val="both"/>
        <w:rPr>
          <w:rFonts w:ascii="Times New Roman" w:hAnsi="Times New Roman"/>
        </w:rPr>
      </w:pPr>
      <w:r w:rsidRPr="00EA45E0">
        <w:rPr>
          <w:rFonts w:ascii="Times New Roman" w:hAnsi="Times New Roman"/>
          <w:noProof/>
        </w:rPr>
        <w:drawing>
          <wp:inline distT="0" distB="0" distL="0" distR="0" wp14:anchorId="58FF70D4" wp14:editId="5EC89793">
            <wp:extent cx="5759450" cy="2106930"/>
            <wp:effectExtent l="0" t="0" r="0" b="7620"/>
            <wp:docPr id="129491747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t="19505"/>
                    <a:stretch/>
                  </pic:blipFill>
                  <pic:spPr bwMode="auto">
                    <a:xfrm>
                      <a:off x="0" y="0"/>
                      <a:ext cx="5759450" cy="2106930"/>
                    </a:xfrm>
                    <a:prstGeom prst="rect">
                      <a:avLst/>
                    </a:prstGeom>
                    <a:noFill/>
                    <a:ln>
                      <a:noFill/>
                    </a:ln>
                    <a:extLst>
                      <a:ext uri="{53640926-AAD7-44D8-BBD7-CCE9431645EC}">
                        <a14:shadowObscured xmlns:a14="http://schemas.microsoft.com/office/drawing/2010/main"/>
                      </a:ext>
                    </a:extLst>
                  </pic:spPr>
                </pic:pic>
              </a:graphicData>
            </a:graphic>
          </wp:inline>
        </w:drawing>
      </w:r>
    </w:p>
    <w:p w14:paraId="2E2463B2" w14:textId="21922B31" w:rsidR="00653C74" w:rsidRPr="00EA45E0" w:rsidRDefault="00653C74" w:rsidP="00653C74">
      <w:pPr>
        <w:spacing w:line="480" w:lineRule="auto"/>
        <w:jc w:val="both"/>
        <w:rPr>
          <w:rFonts w:ascii="Times New Roman" w:hAnsi="Times New Roman"/>
          <w:b/>
          <w:sz w:val="28"/>
          <w:szCs w:val="28"/>
        </w:rPr>
      </w:pPr>
      <w:r w:rsidRPr="00EA45E0">
        <w:rPr>
          <w:rFonts w:ascii="Times New Roman" w:hAnsi="Times New Roman"/>
          <w:b/>
          <w:sz w:val="28"/>
          <w:szCs w:val="28"/>
        </w:rPr>
        <w:t xml:space="preserve">Supplementary Fig. 1: AMPK catalytic subunits double knockout prevents downstream </w:t>
      </w:r>
      <w:r w:rsidR="00EA45E0" w:rsidRPr="00EA45E0">
        <w:rPr>
          <w:rFonts w:ascii="Times New Roman" w:hAnsi="Times New Roman"/>
          <w:b/>
          <w:sz w:val="28"/>
          <w:szCs w:val="28"/>
        </w:rPr>
        <w:t>signaling</w:t>
      </w:r>
    </w:p>
    <w:p w14:paraId="45116381" w14:textId="4A1622D4" w:rsidR="00653C74" w:rsidRPr="00EA45E0" w:rsidRDefault="00653C74" w:rsidP="00653C74">
      <w:pPr>
        <w:spacing w:line="480" w:lineRule="auto"/>
        <w:jc w:val="both"/>
        <w:rPr>
          <w:rFonts w:ascii="Times New Roman" w:hAnsi="Times New Roman"/>
        </w:rPr>
      </w:pPr>
      <w:r w:rsidRPr="00EA45E0">
        <w:rPr>
          <w:rFonts w:ascii="Times New Roman" w:hAnsi="Times New Roman"/>
        </w:rPr>
        <w:t xml:space="preserve">(A) Cellular lysates of LNT-229, </w:t>
      </w:r>
      <w:r w:rsidR="0071696C" w:rsidRPr="00EA45E0">
        <w:rPr>
          <w:rFonts w:ascii="Times New Roman" w:hAnsi="Times New Roman"/>
        </w:rPr>
        <w:t xml:space="preserve">G55T2 and </w:t>
      </w:r>
      <w:r w:rsidRPr="00EA45E0">
        <w:rPr>
          <w:rFonts w:ascii="Times New Roman" w:hAnsi="Times New Roman"/>
        </w:rPr>
        <w:t>LN-308 wildtype (</w:t>
      </w:r>
      <w:proofErr w:type="spellStart"/>
      <w:r w:rsidRPr="00EA45E0">
        <w:rPr>
          <w:rFonts w:ascii="Times New Roman" w:hAnsi="Times New Roman"/>
        </w:rPr>
        <w:t>wt</w:t>
      </w:r>
      <w:proofErr w:type="spellEnd"/>
      <w:r w:rsidRPr="00EA45E0">
        <w:rPr>
          <w:rFonts w:ascii="Times New Roman" w:hAnsi="Times New Roman"/>
        </w:rPr>
        <w:t xml:space="preserve">) and AMPK catalytic subunits double knockout (DKO) cells were </w:t>
      </w:r>
      <w:r w:rsidR="00EA45E0" w:rsidRPr="00EA45E0">
        <w:rPr>
          <w:rFonts w:ascii="Times New Roman" w:hAnsi="Times New Roman"/>
        </w:rPr>
        <w:t>analyzed</w:t>
      </w:r>
      <w:r w:rsidRPr="00EA45E0">
        <w:rPr>
          <w:rFonts w:ascii="Times New Roman" w:hAnsi="Times New Roman"/>
        </w:rPr>
        <w:t xml:space="preserve"> by immunoblot with antibodies for AMPKα1, AMPKα2, AMPKα1/2 and actin.</w:t>
      </w:r>
    </w:p>
    <w:p w14:paraId="24E7C188" w14:textId="10234489" w:rsidR="00FF258C" w:rsidRPr="00EA45E0" w:rsidRDefault="00FF258C" w:rsidP="00FF258C">
      <w:pPr>
        <w:spacing w:line="480" w:lineRule="auto"/>
        <w:jc w:val="both"/>
        <w:rPr>
          <w:rFonts w:ascii="Times New Roman" w:hAnsi="Times New Roman"/>
        </w:rPr>
      </w:pPr>
    </w:p>
    <w:p w14:paraId="47231C69" w14:textId="77777777" w:rsidR="00653C74" w:rsidRPr="00EA45E0" w:rsidRDefault="00653C74" w:rsidP="00653C74">
      <w:pPr>
        <w:spacing w:line="480" w:lineRule="auto"/>
        <w:jc w:val="both"/>
        <w:rPr>
          <w:rFonts w:ascii="Times New Roman" w:hAnsi="Times New Roman"/>
        </w:rPr>
      </w:pPr>
    </w:p>
    <w:p w14:paraId="2905CC1A" w14:textId="77777777" w:rsidR="00653C74" w:rsidRPr="00EA45E0" w:rsidRDefault="00653C74" w:rsidP="00653C74">
      <w:pPr>
        <w:spacing w:line="480" w:lineRule="auto"/>
        <w:jc w:val="both"/>
        <w:rPr>
          <w:rFonts w:ascii="Times New Roman" w:hAnsi="Times New Roman"/>
        </w:rPr>
      </w:pPr>
      <w:r w:rsidRPr="00EA45E0">
        <w:rPr>
          <w:rFonts w:ascii="Times New Roman" w:hAnsi="Times New Roman"/>
          <w:noProof/>
        </w:rPr>
        <w:lastRenderedPageBreak/>
        <w:drawing>
          <wp:inline distT="0" distB="0" distL="0" distR="0" wp14:anchorId="19D718C7" wp14:editId="578D899D">
            <wp:extent cx="5759450" cy="5143500"/>
            <wp:effectExtent l="0" t="0" r="0" b="0"/>
            <wp:docPr id="2121584314"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t="4119"/>
                    <a:stretch/>
                  </pic:blipFill>
                  <pic:spPr bwMode="auto">
                    <a:xfrm>
                      <a:off x="0" y="0"/>
                      <a:ext cx="5759450" cy="5143500"/>
                    </a:xfrm>
                    <a:prstGeom prst="rect">
                      <a:avLst/>
                    </a:prstGeom>
                    <a:noFill/>
                    <a:ln>
                      <a:noFill/>
                    </a:ln>
                    <a:extLst>
                      <a:ext uri="{53640926-AAD7-44D8-BBD7-CCE9431645EC}">
                        <a14:shadowObscured xmlns:a14="http://schemas.microsoft.com/office/drawing/2010/main"/>
                      </a:ext>
                    </a:extLst>
                  </pic:spPr>
                </pic:pic>
              </a:graphicData>
            </a:graphic>
          </wp:inline>
        </w:drawing>
      </w:r>
    </w:p>
    <w:p w14:paraId="5E73C0C2" w14:textId="77777777" w:rsidR="00653C74" w:rsidRPr="00EA45E0" w:rsidRDefault="00653C74" w:rsidP="00653C74">
      <w:pPr>
        <w:spacing w:line="480" w:lineRule="auto"/>
        <w:jc w:val="both"/>
        <w:rPr>
          <w:rFonts w:ascii="Times New Roman" w:hAnsi="Times New Roman"/>
        </w:rPr>
      </w:pPr>
    </w:p>
    <w:p w14:paraId="19B6BEFA" w14:textId="77777777" w:rsidR="00653C74" w:rsidRPr="00EA45E0" w:rsidRDefault="00653C74" w:rsidP="00653C74">
      <w:pPr>
        <w:spacing w:line="480" w:lineRule="auto"/>
        <w:jc w:val="both"/>
        <w:rPr>
          <w:rFonts w:ascii="Times New Roman" w:hAnsi="Times New Roman"/>
          <w:b/>
          <w:sz w:val="28"/>
          <w:szCs w:val="28"/>
        </w:rPr>
      </w:pPr>
      <w:r w:rsidRPr="00EA45E0">
        <w:rPr>
          <w:rFonts w:ascii="Times New Roman" w:hAnsi="Times New Roman"/>
          <w:b/>
          <w:sz w:val="28"/>
          <w:szCs w:val="28"/>
        </w:rPr>
        <w:t>Supplementary Fig. 2: Pharmacological AMPK inhibition sensitizes GB cells to glucose starvation- and hypoxia-induced cell death.</w:t>
      </w:r>
    </w:p>
    <w:p w14:paraId="12C930E6" w14:textId="29F531AE" w:rsidR="00653C74" w:rsidRPr="00EA45E0" w:rsidRDefault="00653C74" w:rsidP="00653C74">
      <w:pPr>
        <w:spacing w:line="480" w:lineRule="auto"/>
        <w:jc w:val="both"/>
        <w:rPr>
          <w:rFonts w:ascii="Times New Roman" w:hAnsi="Times New Roman"/>
        </w:rPr>
      </w:pPr>
      <w:r w:rsidRPr="00EA45E0">
        <w:rPr>
          <w:rFonts w:ascii="Times New Roman" w:hAnsi="Times New Roman"/>
        </w:rPr>
        <w:t>(A) LNT-229 cells were treated with vehicle, 1 µM BAY974 (negative control) or 1 µM BAY3827 in serum-free DMEM containing 2 mM glucose in normoxia or hypoxia (0.1 % O</w:t>
      </w:r>
      <w:r w:rsidRPr="00EA45E0">
        <w:rPr>
          <w:rFonts w:ascii="Times New Roman" w:hAnsi="Times New Roman"/>
          <w:vertAlign w:val="subscript"/>
        </w:rPr>
        <w:t>2</w:t>
      </w:r>
      <w:r w:rsidRPr="00EA45E0">
        <w:rPr>
          <w:rFonts w:ascii="Times New Roman" w:hAnsi="Times New Roman"/>
        </w:rPr>
        <w:t xml:space="preserve">) for 8 </w:t>
      </w:r>
      <w:proofErr w:type="spellStart"/>
      <w:r w:rsidRPr="00EA45E0">
        <w:rPr>
          <w:rFonts w:ascii="Times New Roman" w:hAnsi="Times New Roman"/>
        </w:rPr>
        <w:t>h as</w:t>
      </w:r>
      <w:proofErr w:type="spellEnd"/>
      <w:r w:rsidRPr="00EA45E0">
        <w:rPr>
          <w:rFonts w:ascii="Times New Roman" w:hAnsi="Times New Roman"/>
        </w:rPr>
        <w:t xml:space="preserve"> indicated. Immunoblot analysis was performed with antibodies for P-ACC, P-AMPK, AMPK and actin. (B) LNT-229 cells were treated with vehicle (DMSO), 1 µM BAY974 or 1 µM BAY3827 in glucose-free medium as indicated. PI staining was used for cell death analysis and quantified by FACS measurement (n=3, mean ± SD, **p&lt;0.01, Student’s t-test). (C) LNT</w:t>
      </w:r>
      <w:r w:rsidRPr="00EA45E0">
        <w:rPr>
          <w:rFonts w:ascii="Times New Roman" w:hAnsi="Times New Roman"/>
        </w:rPr>
        <w:noBreakHyphen/>
        <w:t>229 wildtype and AMPK DKO cells were incubated in serum-free medium containing 2 mM glucose and vehicle (DMSO), 1 µM BAY974 or 1 µM BAY3927 under normoxic or hypoxic (0.1 % O</w:t>
      </w:r>
      <w:r w:rsidRPr="00EA45E0">
        <w:rPr>
          <w:rFonts w:ascii="Times New Roman" w:hAnsi="Times New Roman"/>
          <w:vertAlign w:val="subscript"/>
        </w:rPr>
        <w:t>2</w:t>
      </w:r>
      <w:r w:rsidRPr="00EA45E0">
        <w:rPr>
          <w:rFonts w:ascii="Times New Roman" w:hAnsi="Times New Roman"/>
        </w:rPr>
        <w:t xml:space="preserve">) conditions as indicated. Cell death was </w:t>
      </w:r>
      <w:r w:rsidR="006A4CC7" w:rsidRPr="00EA45E0">
        <w:rPr>
          <w:rFonts w:ascii="Times New Roman" w:hAnsi="Times New Roman"/>
        </w:rPr>
        <w:t>analyzed</w:t>
      </w:r>
      <w:r w:rsidRPr="00EA45E0">
        <w:rPr>
          <w:rFonts w:ascii="Times New Roman" w:hAnsi="Times New Roman"/>
        </w:rPr>
        <w:t xml:space="preserve"> by LDH release assay (n=4, mean ± SD, </w:t>
      </w:r>
      <w:proofErr w:type="spellStart"/>
      <w:r w:rsidRPr="00EA45E0">
        <w:rPr>
          <w:rFonts w:ascii="Times New Roman" w:hAnsi="Times New Roman"/>
        </w:rPr>
        <w:t>n.s</w:t>
      </w:r>
      <w:proofErr w:type="spellEnd"/>
      <w:r w:rsidRPr="00EA45E0">
        <w:rPr>
          <w:rFonts w:ascii="Times New Roman" w:hAnsi="Times New Roman"/>
        </w:rPr>
        <w:t>. not significant, **p&lt;0.01, Student’s t-test).</w:t>
      </w:r>
    </w:p>
    <w:p w14:paraId="4B65A43F" w14:textId="0DE9C0F7" w:rsidR="001C5719" w:rsidRPr="00EA45E0" w:rsidRDefault="001C5719">
      <w:pPr>
        <w:spacing w:after="160" w:line="259" w:lineRule="auto"/>
        <w:rPr>
          <w:rFonts w:ascii="Times New Roman" w:hAnsi="Times New Roman"/>
        </w:rPr>
      </w:pPr>
      <w:r w:rsidRPr="00EA45E0">
        <w:rPr>
          <w:rFonts w:ascii="Times New Roman" w:hAnsi="Times New Roman"/>
        </w:rPr>
        <w:br w:type="page"/>
      </w:r>
    </w:p>
    <w:p w14:paraId="155AE3AD" w14:textId="77777777" w:rsidR="00653C74" w:rsidRPr="00EA45E0" w:rsidRDefault="00653C74" w:rsidP="00653C74">
      <w:pPr>
        <w:spacing w:line="480" w:lineRule="auto"/>
        <w:jc w:val="both"/>
        <w:rPr>
          <w:rFonts w:ascii="Times New Roman" w:hAnsi="Times New Roman"/>
          <w:b/>
          <w:sz w:val="28"/>
          <w:szCs w:val="28"/>
        </w:rPr>
      </w:pPr>
      <w:r w:rsidRPr="00EA45E0">
        <w:rPr>
          <w:rFonts w:ascii="Times New Roman" w:hAnsi="Times New Roman"/>
          <w:b/>
          <w:noProof/>
          <w:sz w:val="28"/>
          <w:szCs w:val="28"/>
        </w:rPr>
        <w:drawing>
          <wp:inline distT="0" distB="0" distL="0" distR="0" wp14:anchorId="476A8672" wp14:editId="3E1729B9">
            <wp:extent cx="5532049" cy="4861560"/>
            <wp:effectExtent l="0" t="0" r="0" b="0"/>
            <wp:docPr id="1960392755"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4633"/>
                    <a:stretch/>
                  </pic:blipFill>
                  <pic:spPr bwMode="auto">
                    <a:xfrm>
                      <a:off x="0" y="0"/>
                      <a:ext cx="5542646" cy="4870873"/>
                    </a:xfrm>
                    <a:prstGeom prst="rect">
                      <a:avLst/>
                    </a:prstGeom>
                    <a:noFill/>
                    <a:ln>
                      <a:noFill/>
                    </a:ln>
                    <a:extLst>
                      <a:ext uri="{53640926-AAD7-44D8-BBD7-CCE9431645EC}">
                        <a14:shadowObscured xmlns:a14="http://schemas.microsoft.com/office/drawing/2010/main"/>
                      </a:ext>
                    </a:extLst>
                  </pic:spPr>
                </pic:pic>
              </a:graphicData>
            </a:graphic>
          </wp:inline>
        </w:drawing>
      </w:r>
    </w:p>
    <w:p w14:paraId="5ADD0EB5" w14:textId="77777777" w:rsidR="00653C74" w:rsidRPr="00EA45E0" w:rsidRDefault="00653C74" w:rsidP="00653C74">
      <w:pPr>
        <w:spacing w:line="480" w:lineRule="auto"/>
        <w:jc w:val="both"/>
        <w:rPr>
          <w:rFonts w:ascii="Times New Roman" w:hAnsi="Times New Roman"/>
          <w:b/>
          <w:sz w:val="28"/>
          <w:szCs w:val="28"/>
        </w:rPr>
      </w:pPr>
    </w:p>
    <w:p w14:paraId="6D8A0BB2" w14:textId="77777777" w:rsidR="00653C74" w:rsidRPr="00EA45E0" w:rsidRDefault="00653C74" w:rsidP="00653C74">
      <w:pPr>
        <w:spacing w:line="480" w:lineRule="auto"/>
        <w:jc w:val="both"/>
        <w:rPr>
          <w:rFonts w:ascii="Times New Roman" w:hAnsi="Times New Roman"/>
          <w:b/>
          <w:sz w:val="28"/>
          <w:szCs w:val="28"/>
        </w:rPr>
      </w:pPr>
      <w:r w:rsidRPr="00EA45E0">
        <w:rPr>
          <w:rFonts w:ascii="Times New Roman" w:hAnsi="Times New Roman"/>
          <w:b/>
          <w:sz w:val="28"/>
          <w:szCs w:val="28"/>
        </w:rPr>
        <w:t>Supplementary Fig. 3: Inhibition of oxidative phosphorylation induces AMPK activation in human GB cells.</w:t>
      </w:r>
    </w:p>
    <w:p w14:paraId="63EF929D" w14:textId="77777777" w:rsidR="00653C74" w:rsidRPr="00EA45E0" w:rsidRDefault="00653C74" w:rsidP="00653C74">
      <w:pPr>
        <w:spacing w:line="480" w:lineRule="auto"/>
        <w:jc w:val="both"/>
        <w:rPr>
          <w:rFonts w:ascii="Times New Roman" w:hAnsi="Times New Roman"/>
        </w:rPr>
      </w:pPr>
      <w:r w:rsidRPr="00EA45E0">
        <w:rPr>
          <w:rFonts w:ascii="Times New Roman" w:hAnsi="Times New Roman"/>
        </w:rPr>
        <w:t xml:space="preserve">(A) LNT-229 wildtype and AMPK DKO cells were treated with vehicle (DMSO) or 100 </w:t>
      </w:r>
      <w:proofErr w:type="spellStart"/>
      <w:r w:rsidRPr="00EA45E0">
        <w:rPr>
          <w:rFonts w:ascii="Times New Roman" w:hAnsi="Times New Roman"/>
        </w:rPr>
        <w:t>nM</w:t>
      </w:r>
      <w:proofErr w:type="spellEnd"/>
      <w:r w:rsidRPr="00EA45E0">
        <w:rPr>
          <w:rFonts w:ascii="Times New Roman" w:hAnsi="Times New Roman"/>
        </w:rPr>
        <w:t xml:space="preserve"> IACS-010759 in serum-free medium containing 2 mM glucose in normoxia or hypoxia (0.1% O</w:t>
      </w:r>
      <w:r w:rsidRPr="00EA45E0">
        <w:rPr>
          <w:rFonts w:ascii="Times New Roman" w:hAnsi="Times New Roman"/>
          <w:vertAlign w:val="subscript"/>
        </w:rPr>
        <w:t>2</w:t>
      </w:r>
      <w:r w:rsidRPr="00EA45E0">
        <w:rPr>
          <w:rFonts w:ascii="Times New Roman" w:hAnsi="Times New Roman"/>
        </w:rPr>
        <w:t xml:space="preserve">) for 8 h. Immunoblot analysis was performed using antibodies for P-ACC, P-AMPK, AMPK α1/2 and actin. (B) LNT-229 cells were treated with vehicle (DMSO) or 100 </w:t>
      </w:r>
      <w:proofErr w:type="spellStart"/>
      <w:r w:rsidRPr="00EA45E0">
        <w:rPr>
          <w:rFonts w:ascii="Times New Roman" w:hAnsi="Times New Roman"/>
        </w:rPr>
        <w:t>nM</w:t>
      </w:r>
      <w:proofErr w:type="spellEnd"/>
      <w:r w:rsidRPr="00EA45E0">
        <w:rPr>
          <w:rFonts w:ascii="Times New Roman" w:hAnsi="Times New Roman"/>
        </w:rPr>
        <w:t xml:space="preserve"> IACS-010759 in serum-free DMEM without glucose restriction. Oxygen consumption was measured by a fluorescence-based assay.</w:t>
      </w:r>
    </w:p>
    <w:p w14:paraId="78D8810D" w14:textId="77777777" w:rsidR="00653C74" w:rsidRPr="00EA45E0" w:rsidRDefault="00653C74" w:rsidP="00653C74">
      <w:pPr>
        <w:spacing w:line="480" w:lineRule="auto"/>
        <w:jc w:val="both"/>
        <w:rPr>
          <w:rFonts w:ascii="Times New Roman" w:hAnsi="Times New Roman"/>
          <w:b/>
          <w:sz w:val="28"/>
          <w:szCs w:val="28"/>
        </w:rPr>
      </w:pPr>
      <w:r w:rsidRPr="00EA45E0">
        <w:rPr>
          <w:rFonts w:ascii="Times New Roman" w:hAnsi="Times New Roman"/>
          <w:b/>
          <w:noProof/>
          <w:sz w:val="28"/>
          <w:szCs w:val="28"/>
        </w:rPr>
        <w:drawing>
          <wp:inline distT="0" distB="0" distL="0" distR="0" wp14:anchorId="18DC0E76" wp14:editId="42814517">
            <wp:extent cx="5535930" cy="9176318"/>
            <wp:effectExtent l="0" t="0" r="7620" b="6350"/>
            <wp:docPr id="1597374392"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1874"/>
                    <a:stretch/>
                  </pic:blipFill>
                  <pic:spPr bwMode="auto">
                    <a:xfrm>
                      <a:off x="0" y="0"/>
                      <a:ext cx="5545154" cy="9191608"/>
                    </a:xfrm>
                    <a:prstGeom prst="rect">
                      <a:avLst/>
                    </a:prstGeom>
                    <a:noFill/>
                    <a:ln>
                      <a:noFill/>
                    </a:ln>
                    <a:extLst>
                      <a:ext uri="{53640926-AAD7-44D8-BBD7-CCE9431645EC}">
                        <a14:shadowObscured xmlns:a14="http://schemas.microsoft.com/office/drawing/2010/main"/>
                      </a:ext>
                    </a:extLst>
                  </pic:spPr>
                </pic:pic>
              </a:graphicData>
            </a:graphic>
          </wp:inline>
        </w:drawing>
      </w:r>
    </w:p>
    <w:p w14:paraId="24DBBEC5" w14:textId="77777777" w:rsidR="00653C74" w:rsidRPr="00EA45E0" w:rsidRDefault="00653C74" w:rsidP="00653C74">
      <w:pPr>
        <w:spacing w:line="480" w:lineRule="auto"/>
        <w:jc w:val="both"/>
        <w:rPr>
          <w:rFonts w:ascii="Times New Roman" w:hAnsi="Times New Roman"/>
          <w:b/>
          <w:sz w:val="28"/>
          <w:szCs w:val="28"/>
        </w:rPr>
      </w:pPr>
    </w:p>
    <w:p w14:paraId="1D32468A" w14:textId="43A166F3" w:rsidR="00653C74" w:rsidRPr="00EA45E0" w:rsidRDefault="00653C74" w:rsidP="00653C74">
      <w:pPr>
        <w:spacing w:line="480" w:lineRule="auto"/>
        <w:jc w:val="both"/>
        <w:rPr>
          <w:rFonts w:ascii="Times New Roman" w:hAnsi="Times New Roman"/>
          <w:b/>
          <w:sz w:val="28"/>
          <w:szCs w:val="28"/>
        </w:rPr>
      </w:pPr>
      <w:r w:rsidRPr="00EA45E0">
        <w:rPr>
          <w:rFonts w:ascii="Times New Roman" w:hAnsi="Times New Roman"/>
          <w:b/>
          <w:sz w:val="28"/>
          <w:szCs w:val="28"/>
        </w:rPr>
        <w:t xml:space="preserve">Supplementary Fig. 4: AMPK catalytic subunits double knockout (DKO) impairs </w:t>
      </w:r>
      <w:r w:rsidR="006A4CC7" w:rsidRPr="00EA45E0">
        <w:rPr>
          <w:rFonts w:ascii="Times New Roman" w:hAnsi="Times New Roman"/>
          <w:b/>
          <w:sz w:val="28"/>
          <w:szCs w:val="28"/>
        </w:rPr>
        <w:t>tumor</w:t>
      </w:r>
      <w:r w:rsidRPr="00EA45E0">
        <w:rPr>
          <w:rFonts w:ascii="Times New Roman" w:hAnsi="Times New Roman"/>
          <w:b/>
          <w:sz w:val="28"/>
          <w:szCs w:val="28"/>
        </w:rPr>
        <w:t xml:space="preserve"> growth and metabolic adaptation in a CAM model.</w:t>
      </w:r>
    </w:p>
    <w:p w14:paraId="2CC8CDBD" w14:textId="45B2D28B" w:rsidR="00653C74" w:rsidRPr="00EA45E0" w:rsidRDefault="00653C74" w:rsidP="00653C74">
      <w:pPr>
        <w:spacing w:line="480" w:lineRule="auto"/>
        <w:jc w:val="both"/>
        <w:rPr>
          <w:rFonts w:ascii="Times New Roman" w:hAnsi="Times New Roman"/>
        </w:rPr>
      </w:pPr>
      <w:r w:rsidRPr="00EA45E0">
        <w:rPr>
          <w:rFonts w:ascii="Times New Roman" w:hAnsi="Times New Roman"/>
        </w:rPr>
        <w:t>(A, B) Chicken eggs were injected with 2 x 10</w:t>
      </w:r>
      <w:r w:rsidRPr="00EA45E0">
        <w:rPr>
          <w:rFonts w:ascii="Times New Roman" w:hAnsi="Times New Roman"/>
          <w:vertAlign w:val="superscript"/>
        </w:rPr>
        <w:t>6</w:t>
      </w:r>
      <w:r w:rsidRPr="00EA45E0">
        <w:rPr>
          <w:rFonts w:ascii="Times New Roman" w:hAnsi="Times New Roman"/>
        </w:rPr>
        <w:t xml:space="preserve"> G55T2 wildtype (</w:t>
      </w:r>
      <w:proofErr w:type="spellStart"/>
      <w:r w:rsidRPr="00EA45E0">
        <w:rPr>
          <w:rFonts w:ascii="Times New Roman" w:hAnsi="Times New Roman"/>
        </w:rPr>
        <w:t>wt</w:t>
      </w:r>
      <w:proofErr w:type="spellEnd"/>
      <w:r w:rsidRPr="00EA45E0">
        <w:rPr>
          <w:rFonts w:ascii="Times New Roman" w:hAnsi="Times New Roman"/>
        </w:rPr>
        <w:t xml:space="preserve">) or AMPK catalytic subunits double knockout (DKO) cells on day 7 post fertilization and incubated for an additional 8 days. </w:t>
      </w:r>
      <w:r w:rsidR="006A4CC7" w:rsidRPr="00EA45E0">
        <w:rPr>
          <w:rFonts w:ascii="Times New Roman" w:hAnsi="Times New Roman"/>
        </w:rPr>
        <w:t>Tumors</w:t>
      </w:r>
      <w:r w:rsidRPr="00EA45E0">
        <w:rPr>
          <w:rFonts w:ascii="Times New Roman" w:hAnsi="Times New Roman"/>
        </w:rPr>
        <w:t xml:space="preserve"> were isolated on day 15, weight was measured and </w:t>
      </w:r>
      <w:r w:rsidR="006A4CC7" w:rsidRPr="00EA45E0">
        <w:rPr>
          <w:rFonts w:ascii="Times New Roman" w:hAnsi="Times New Roman"/>
        </w:rPr>
        <w:t>tumors</w:t>
      </w:r>
      <w:r w:rsidRPr="00EA45E0">
        <w:rPr>
          <w:rFonts w:ascii="Times New Roman" w:hAnsi="Times New Roman"/>
        </w:rPr>
        <w:t xml:space="preserve"> were fixed for immunohistochemical analysis. Images of isolated </w:t>
      </w:r>
      <w:r w:rsidR="006A4CC7" w:rsidRPr="00EA45E0">
        <w:rPr>
          <w:rFonts w:ascii="Times New Roman" w:hAnsi="Times New Roman"/>
        </w:rPr>
        <w:t>tumors</w:t>
      </w:r>
      <w:r w:rsidRPr="00EA45E0">
        <w:rPr>
          <w:rFonts w:ascii="Times New Roman" w:hAnsi="Times New Roman"/>
        </w:rPr>
        <w:t xml:space="preserve"> are shown (scale bar: 5 mm). (C) G55T2 wildtype and AMPK DKO CAM </w:t>
      </w:r>
      <w:r w:rsidR="006A4CC7" w:rsidRPr="00EA45E0">
        <w:rPr>
          <w:rFonts w:ascii="Times New Roman" w:hAnsi="Times New Roman"/>
        </w:rPr>
        <w:t>tumors</w:t>
      </w:r>
      <w:r w:rsidRPr="00EA45E0">
        <w:rPr>
          <w:rFonts w:ascii="Times New Roman" w:hAnsi="Times New Roman"/>
        </w:rPr>
        <w:t xml:space="preserve"> were </w:t>
      </w:r>
      <w:r w:rsidR="006A4CC7" w:rsidRPr="00EA45E0">
        <w:rPr>
          <w:rFonts w:ascii="Times New Roman" w:hAnsi="Times New Roman"/>
        </w:rPr>
        <w:t>analyzed</w:t>
      </w:r>
      <w:r w:rsidRPr="00EA45E0">
        <w:rPr>
          <w:rFonts w:ascii="Times New Roman" w:hAnsi="Times New Roman"/>
        </w:rPr>
        <w:t xml:space="preserve"> immunohistochemically with antibodies for P-AMPK and P-ACC. Scale bar represents 200 µm (10x magnification, upper and middle panel) or 1 mm (2x magnification, bottom panel). (D) Isolated CAM </w:t>
      </w:r>
      <w:r w:rsidR="006A4CC7" w:rsidRPr="00EA45E0">
        <w:rPr>
          <w:rFonts w:ascii="Times New Roman" w:hAnsi="Times New Roman"/>
        </w:rPr>
        <w:t>tumors</w:t>
      </w:r>
      <w:r w:rsidRPr="00EA45E0">
        <w:rPr>
          <w:rFonts w:ascii="Times New Roman" w:hAnsi="Times New Roman"/>
        </w:rPr>
        <w:t xml:space="preserve"> were stained for CA IX. Scale bar represents 200 µm (upper panel), 1 mm (2x magnification, bottom panel).  </w:t>
      </w:r>
    </w:p>
    <w:p w14:paraId="2E898894" w14:textId="77777777" w:rsidR="00653C74" w:rsidRPr="00EA45E0" w:rsidRDefault="00653C74" w:rsidP="00653C74">
      <w:pPr>
        <w:spacing w:line="480" w:lineRule="auto"/>
        <w:jc w:val="both"/>
        <w:rPr>
          <w:rFonts w:ascii="Times New Roman" w:hAnsi="Times New Roman"/>
        </w:rPr>
      </w:pPr>
    </w:p>
    <w:p w14:paraId="6D496317" w14:textId="77777777" w:rsidR="00653C74" w:rsidRPr="00EA45E0" w:rsidRDefault="00653C74" w:rsidP="00653C74">
      <w:pPr>
        <w:spacing w:line="480" w:lineRule="auto"/>
        <w:jc w:val="both"/>
        <w:rPr>
          <w:rFonts w:ascii="Times New Roman" w:hAnsi="Times New Roman"/>
          <w:b/>
          <w:sz w:val="28"/>
          <w:szCs w:val="28"/>
        </w:rPr>
      </w:pPr>
      <w:r w:rsidRPr="00EA45E0">
        <w:rPr>
          <w:rFonts w:ascii="Times New Roman" w:hAnsi="Times New Roman"/>
          <w:b/>
          <w:noProof/>
          <w:sz w:val="28"/>
          <w:szCs w:val="28"/>
        </w:rPr>
        <w:drawing>
          <wp:inline distT="0" distB="0" distL="0" distR="0" wp14:anchorId="63C9E547" wp14:editId="7B28B652">
            <wp:extent cx="6295412" cy="4364355"/>
            <wp:effectExtent l="0" t="0" r="0" b="0"/>
            <wp:docPr id="1469211067"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6528"/>
                    <a:stretch/>
                  </pic:blipFill>
                  <pic:spPr bwMode="auto">
                    <a:xfrm>
                      <a:off x="0" y="0"/>
                      <a:ext cx="6299062" cy="4366885"/>
                    </a:xfrm>
                    <a:prstGeom prst="rect">
                      <a:avLst/>
                    </a:prstGeom>
                    <a:noFill/>
                    <a:ln>
                      <a:noFill/>
                    </a:ln>
                    <a:extLst>
                      <a:ext uri="{53640926-AAD7-44D8-BBD7-CCE9431645EC}">
                        <a14:shadowObscured xmlns:a14="http://schemas.microsoft.com/office/drawing/2010/main"/>
                      </a:ext>
                    </a:extLst>
                  </pic:spPr>
                </pic:pic>
              </a:graphicData>
            </a:graphic>
          </wp:inline>
        </w:drawing>
      </w:r>
    </w:p>
    <w:p w14:paraId="336B5494" w14:textId="77777777" w:rsidR="00653C74" w:rsidRPr="00EA45E0" w:rsidRDefault="00653C74" w:rsidP="00653C74">
      <w:pPr>
        <w:spacing w:line="480" w:lineRule="auto"/>
        <w:jc w:val="both"/>
        <w:rPr>
          <w:rFonts w:ascii="Times New Roman" w:hAnsi="Times New Roman"/>
          <w:b/>
          <w:sz w:val="28"/>
          <w:szCs w:val="28"/>
        </w:rPr>
      </w:pPr>
    </w:p>
    <w:p w14:paraId="379888E8" w14:textId="60A98349" w:rsidR="00653C74" w:rsidRPr="00EA45E0" w:rsidRDefault="00653C74" w:rsidP="00653C74">
      <w:pPr>
        <w:spacing w:line="480" w:lineRule="auto"/>
        <w:jc w:val="both"/>
        <w:rPr>
          <w:rFonts w:ascii="Times New Roman" w:hAnsi="Times New Roman"/>
          <w:b/>
          <w:sz w:val="28"/>
          <w:szCs w:val="28"/>
        </w:rPr>
      </w:pPr>
      <w:r w:rsidRPr="00EA45E0">
        <w:rPr>
          <w:rFonts w:ascii="Times New Roman" w:hAnsi="Times New Roman"/>
          <w:b/>
          <w:sz w:val="28"/>
          <w:szCs w:val="28"/>
        </w:rPr>
        <w:t xml:space="preserve">Supplementary Fig. 5: AMPK catalytic subunits double knockout sensitizes GB cells to conditions of the </w:t>
      </w:r>
      <w:r w:rsidR="006A4CC7" w:rsidRPr="00EA45E0">
        <w:rPr>
          <w:rFonts w:ascii="Times New Roman" w:hAnsi="Times New Roman"/>
          <w:b/>
          <w:sz w:val="28"/>
          <w:szCs w:val="28"/>
        </w:rPr>
        <w:t>tumor</w:t>
      </w:r>
      <w:r w:rsidRPr="00EA45E0">
        <w:rPr>
          <w:rFonts w:ascii="Times New Roman" w:hAnsi="Times New Roman"/>
          <w:b/>
          <w:sz w:val="28"/>
          <w:szCs w:val="28"/>
        </w:rPr>
        <w:t xml:space="preserve"> microenvironment.</w:t>
      </w:r>
    </w:p>
    <w:p w14:paraId="71C90FA2" w14:textId="647A2558" w:rsidR="00653C74" w:rsidRPr="00EA45E0" w:rsidRDefault="00653C74" w:rsidP="00653C74">
      <w:pPr>
        <w:spacing w:line="480" w:lineRule="auto"/>
        <w:jc w:val="both"/>
        <w:rPr>
          <w:rFonts w:ascii="Times New Roman" w:hAnsi="Times New Roman"/>
        </w:rPr>
      </w:pPr>
      <w:r w:rsidRPr="00EA45E0">
        <w:rPr>
          <w:rFonts w:ascii="Times New Roman" w:hAnsi="Times New Roman"/>
        </w:rPr>
        <w:t xml:space="preserve">GB cells are challenged by conditions of the </w:t>
      </w:r>
      <w:r w:rsidR="006A4CC7" w:rsidRPr="00EA45E0">
        <w:rPr>
          <w:rFonts w:ascii="Times New Roman" w:hAnsi="Times New Roman"/>
        </w:rPr>
        <w:t>tumor</w:t>
      </w:r>
      <w:r w:rsidRPr="00EA45E0">
        <w:rPr>
          <w:rFonts w:ascii="Times New Roman" w:hAnsi="Times New Roman"/>
        </w:rPr>
        <w:t xml:space="preserve"> microenvironment with low oxygen and nutrient availability. Activation of AMPK enables metabolic adaptation including catabolic processes (OXPHOS) and mitochondrial biogenesis to promote </w:t>
      </w:r>
      <w:r w:rsidR="006A4CC7" w:rsidRPr="00EA45E0">
        <w:rPr>
          <w:rFonts w:ascii="Times New Roman" w:hAnsi="Times New Roman"/>
        </w:rPr>
        <w:t>tumor</w:t>
      </w:r>
      <w:r w:rsidRPr="00EA45E0">
        <w:rPr>
          <w:rFonts w:ascii="Times New Roman" w:hAnsi="Times New Roman"/>
        </w:rPr>
        <w:t xml:space="preserve"> cell survival and growth (left panel). Double knockout of catalytic subunits α1 and α2 impairs AMPK </w:t>
      </w:r>
      <w:r w:rsidR="006A4CC7" w:rsidRPr="00EA45E0">
        <w:rPr>
          <w:rFonts w:ascii="Times New Roman" w:hAnsi="Times New Roman"/>
        </w:rPr>
        <w:t>signaling</w:t>
      </w:r>
      <w:r w:rsidRPr="00EA45E0">
        <w:rPr>
          <w:rFonts w:ascii="Times New Roman" w:hAnsi="Times New Roman"/>
        </w:rPr>
        <w:t xml:space="preserve"> causing a defective response to energy starvation with in consequence impaired </w:t>
      </w:r>
      <w:r w:rsidR="006A4CC7" w:rsidRPr="00EA45E0">
        <w:rPr>
          <w:rFonts w:ascii="Times New Roman" w:hAnsi="Times New Roman"/>
        </w:rPr>
        <w:t>tumor</w:t>
      </w:r>
      <w:r w:rsidRPr="00EA45E0">
        <w:rPr>
          <w:rFonts w:ascii="Times New Roman" w:hAnsi="Times New Roman"/>
        </w:rPr>
        <w:t xml:space="preserve"> formation (right panel). Figure created with biorender.com.</w:t>
      </w:r>
    </w:p>
    <w:p w14:paraId="4969B482" w14:textId="77777777" w:rsidR="00653C74" w:rsidRPr="00EA45E0" w:rsidRDefault="00653C74" w:rsidP="00653C74">
      <w:pPr>
        <w:spacing w:line="480" w:lineRule="auto"/>
        <w:jc w:val="both"/>
        <w:rPr>
          <w:rFonts w:ascii="Times New Roman" w:hAnsi="Times New Roman"/>
        </w:rPr>
      </w:pPr>
    </w:p>
    <w:p w14:paraId="773EC666" w14:textId="77777777" w:rsidR="00653C74" w:rsidRPr="00EA45E0" w:rsidRDefault="00653C74" w:rsidP="00653C74">
      <w:pPr>
        <w:spacing w:line="480" w:lineRule="auto"/>
        <w:jc w:val="both"/>
        <w:rPr>
          <w:rFonts w:ascii="Times New Roman" w:hAnsi="Times New Roman"/>
        </w:rPr>
      </w:pPr>
    </w:p>
    <w:p w14:paraId="3C966F2A" w14:textId="77777777" w:rsidR="00EA45E0" w:rsidRPr="00EA45E0" w:rsidRDefault="00EA45E0">
      <w:pPr>
        <w:spacing w:after="160" w:line="259" w:lineRule="auto"/>
        <w:rPr>
          <w:rFonts w:ascii="Times New Roman" w:hAnsi="Times New Roman"/>
          <w:b/>
          <w:bCs/>
          <w:sz w:val="28"/>
          <w:szCs w:val="28"/>
        </w:rPr>
      </w:pPr>
      <w:r w:rsidRPr="00EA45E0">
        <w:rPr>
          <w:rFonts w:ascii="Times New Roman" w:hAnsi="Times New Roman"/>
          <w:b/>
          <w:bCs/>
          <w:sz w:val="28"/>
          <w:szCs w:val="28"/>
        </w:rPr>
        <w:br w:type="page"/>
      </w:r>
    </w:p>
    <w:p w14:paraId="3E4E3BD4" w14:textId="63E75435" w:rsidR="00653C74" w:rsidRPr="003B1E6B" w:rsidRDefault="00653C74" w:rsidP="00653C74">
      <w:pPr>
        <w:rPr>
          <w:rFonts w:ascii="Times New Roman" w:hAnsi="Times New Roman"/>
          <w:b/>
          <w:bCs/>
          <w:sz w:val="32"/>
          <w:szCs w:val="32"/>
        </w:rPr>
      </w:pPr>
      <w:r w:rsidRPr="003B1E6B">
        <w:rPr>
          <w:rFonts w:ascii="Times New Roman" w:hAnsi="Times New Roman"/>
          <w:b/>
          <w:bCs/>
          <w:sz w:val="32"/>
          <w:szCs w:val="32"/>
        </w:rPr>
        <w:t>Supplementary Table 1</w:t>
      </w:r>
    </w:p>
    <w:p w14:paraId="5A5A08C2" w14:textId="77777777" w:rsidR="00653C74" w:rsidRPr="00EA45E0" w:rsidRDefault="00653C74" w:rsidP="00653C74">
      <w:pPr>
        <w:rPr>
          <w:rFonts w:ascii="Times New Roman" w:hAnsi="Times New Roman"/>
        </w:rPr>
      </w:pPr>
    </w:p>
    <w:tbl>
      <w:tblPr>
        <w:tblStyle w:val="Tabellenraster"/>
        <w:tblW w:w="8789" w:type="dxa"/>
        <w:tblInd w:w="137" w:type="dxa"/>
        <w:tblLook w:val="04A0" w:firstRow="1" w:lastRow="0" w:firstColumn="1" w:lastColumn="0" w:noHBand="0" w:noVBand="1"/>
      </w:tblPr>
      <w:tblGrid>
        <w:gridCol w:w="2410"/>
        <w:gridCol w:w="6379"/>
      </w:tblGrid>
      <w:tr w:rsidR="00653C74" w:rsidRPr="00EA45E0" w14:paraId="43FE4B17" w14:textId="77777777" w:rsidTr="00AF3D9D">
        <w:tc>
          <w:tcPr>
            <w:tcW w:w="2410" w:type="dxa"/>
          </w:tcPr>
          <w:p w14:paraId="4B0EE506" w14:textId="77777777" w:rsidR="00653C74" w:rsidRPr="00EA45E0" w:rsidRDefault="00653C74" w:rsidP="00717B10">
            <w:pPr>
              <w:rPr>
                <w:rFonts w:ascii="Times New Roman" w:hAnsi="Times New Roman"/>
              </w:rPr>
            </w:pPr>
            <w:proofErr w:type="spellStart"/>
            <w:r w:rsidRPr="00EA45E0">
              <w:rPr>
                <w:rFonts w:ascii="Times New Roman" w:hAnsi="Times New Roman"/>
              </w:rPr>
              <w:t>MSigDB</w:t>
            </w:r>
            <w:proofErr w:type="spellEnd"/>
            <w:r w:rsidRPr="00EA45E0">
              <w:rPr>
                <w:rFonts w:ascii="Times New Roman" w:hAnsi="Times New Roman"/>
              </w:rPr>
              <w:t xml:space="preserve"> v2023.</w:t>
            </w:r>
            <w:proofErr w:type="gramStart"/>
            <w:r w:rsidRPr="00EA45E0">
              <w:rPr>
                <w:rFonts w:ascii="Times New Roman" w:hAnsi="Times New Roman"/>
              </w:rPr>
              <w:t>2.Hs</w:t>
            </w:r>
            <w:proofErr w:type="gramEnd"/>
            <w:r w:rsidRPr="00EA45E0">
              <w:rPr>
                <w:rFonts w:ascii="Times New Roman" w:hAnsi="Times New Roman"/>
              </w:rPr>
              <w:t xml:space="preserve"> gene set</w:t>
            </w:r>
          </w:p>
        </w:tc>
        <w:tc>
          <w:tcPr>
            <w:tcW w:w="6379" w:type="dxa"/>
          </w:tcPr>
          <w:p w14:paraId="1574FC43" w14:textId="77777777" w:rsidR="00653C74" w:rsidRPr="00EA45E0" w:rsidRDefault="00653C74" w:rsidP="00717B10">
            <w:pPr>
              <w:rPr>
                <w:rFonts w:ascii="Times New Roman" w:hAnsi="Times New Roman"/>
              </w:rPr>
            </w:pPr>
            <w:r w:rsidRPr="00EA45E0">
              <w:rPr>
                <w:rFonts w:ascii="Times New Roman" w:hAnsi="Times New Roman"/>
              </w:rPr>
              <w:t>Genes</w:t>
            </w:r>
          </w:p>
        </w:tc>
      </w:tr>
      <w:tr w:rsidR="00653C74" w:rsidRPr="00EA45E0" w14:paraId="2F244821" w14:textId="77777777" w:rsidTr="00AF3D9D">
        <w:tc>
          <w:tcPr>
            <w:tcW w:w="2410" w:type="dxa"/>
          </w:tcPr>
          <w:p w14:paraId="0D938667" w14:textId="77777777" w:rsidR="00653C74" w:rsidRPr="00EA45E0" w:rsidRDefault="00653C74" w:rsidP="00717B10">
            <w:pPr>
              <w:rPr>
                <w:rFonts w:ascii="Times New Roman" w:hAnsi="Times New Roman"/>
              </w:rPr>
            </w:pPr>
            <w:r w:rsidRPr="00EA45E0">
              <w:rPr>
                <w:rFonts w:ascii="Times New Roman" w:hAnsi="Times New Roman"/>
              </w:rPr>
              <w:t>AMP-activated protein kinase</w:t>
            </w:r>
          </w:p>
        </w:tc>
        <w:tc>
          <w:tcPr>
            <w:tcW w:w="6379" w:type="dxa"/>
          </w:tcPr>
          <w:p w14:paraId="6F97D71C" w14:textId="77777777" w:rsidR="00653C74" w:rsidRPr="00EA45E0" w:rsidRDefault="00653C74" w:rsidP="00717B10">
            <w:pPr>
              <w:rPr>
                <w:rFonts w:ascii="Times New Roman" w:hAnsi="Times New Roman"/>
                <w:i/>
              </w:rPr>
            </w:pPr>
            <w:r w:rsidRPr="00EA45E0">
              <w:rPr>
                <w:rFonts w:ascii="Times New Roman" w:hAnsi="Times New Roman"/>
                <w:i/>
              </w:rPr>
              <w:t>RRAGD</w:t>
            </w:r>
            <w:r w:rsidRPr="00EA45E0">
              <w:rPr>
                <w:rFonts w:ascii="Times New Roman" w:hAnsi="Times New Roman"/>
              </w:rPr>
              <w:t xml:space="preserve">, </w:t>
            </w:r>
            <w:r w:rsidRPr="00EA45E0">
              <w:rPr>
                <w:rFonts w:ascii="Times New Roman" w:hAnsi="Times New Roman"/>
                <w:i/>
              </w:rPr>
              <w:t>STRADB</w:t>
            </w:r>
            <w:r w:rsidRPr="00EA45E0">
              <w:rPr>
                <w:rFonts w:ascii="Times New Roman" w:hAnsi="Times New Roman"/>
              </w:rPr>
              <w:t xml:space="preserve">, </w:t>
            </w:r>
            <w:r w:rsidRPr="00EA45E0">
              <w:rPr>
                <w:rFonts w:ascii="Times New Roman" w:hAnsi="Times New Roman"/>
                <w:i/>
              </w:rPr>
              <w:t>RRAGB</w:t>
            </w:r>
            <w:r w:rsidRPr="00EA45E0">
              <w:rPr>
                <w:rFonts w:ascii="Times New Roman" w:hAnsi="Times New Roman"/>
              </w:rPr>
              <w:t xml:space="preserve">, </w:t>
            </w:r>
            <w:r w:rsidRPr="00EA45E0">
              <w:rPr>
                <w:rFonts w:ascii="Times New Roman" w:hAnsi="Times New Roman"/>
                <w:i/>
              </w:rPr>
              <w:t>PPM1A</w:t>
            </w:r>
            <w:r w:rsidRPr="00EA45E0">
              <w:rPr>
                <w:rFonts w:ascii="Times New Roman" w:hAnsi="Times New Roman"/>
              </w:rPr>
              <w:t xml:space="preserve">, </w:t>
            </w:r>
            <w:r w:rsidRPr="00EA45E0">
              <w:rPr>
                <w:rFonts w:ascii="Times New Roman" w:hAnsi="Times New Roman"/>
                <w:i/>
              </w:rPr>
              <w:t>CAB39L</w:t>
            </w:r>
            <w:r w:rsidRPr="00EA45E0">
              <w:rPr>
                <w:rFonts w:ascii="Times New Roman" w:hAnsi="Times New Roman"/>
              </w:rPr>
              <w:t xml:space="preserve">, </w:t>
            </w:r>
            <w:r w:rsidRPr="00EA45E0">
              <w:rPr>
                <w:rFonts w:ascii="Times New Roman" w:hAnsi="Times New Roman"/>
                <w:i/>
              </w:rPr>
              <w:t>TSC2</w:t>
            </w:r>
            <w:r w:rsidRPr="00EA45E0">
              <w:rPr>
                <w:rFonts w:ascii="Times New Roman" w:hAnsi="Times New Roman"/>
              </w:rPr>
              <w:t xml:space="preserve">, </w:t>
            </w:r>
            <w:r w:rsidRPr="00EA45E0">
              <w:rPr>
                <w:rFonts w:ascii="Times New Roman" w:hAnsi="Times New Roman"/>
                <w:i/>
              </w:rPr>
              <w:t>RHEB</w:t>
            </w:r>
            <w:r w:rsidRPr="00EA45E0">
              <w:rPr>
                <w:rFonts w:ascii="Times New Roman" w:hAnsi="Times New Roman"/>
              </w:rPr>
              <w:t xml:space="preserve">, </w:t>
            </w:r>
            <w:r w:rsidRPr="00EA45E0">
              <w:rPr>
                <w:rFonts w:ascii="Times New Roman" w:hAnsi="Times New Roman"/>
                <w:i/>
              </w:rPr>
              <w:t>PRKAG2</w:t>
            </w:r>
            <w:r w:rsidRPr="00EA45E0">
              <w:rPr>
                <w:rFonts w:ascii="Times New Roman" w:hAnsi="Times New Roman"/>
              </w:rPr>
              <w:t xml:space="preserve">, </w:t>
            </w:r>
            <w:r w:rsidRPr="00EA45E0">
              <w:rPr>
                <w:rFonts w:ascii="Times New Roman" w:hAnsi="Times New Roman"/>
                <w:i/>
              </w:rPr>
              <w:t>LAMTOR3</w:t>
            </w:r>
            <w:r w:rsidRPr="00EA45E0">
              <w:rPr>
                <w:rFonts w:ascii="Times New Roman" w:hAnsi="Times New Roman"/>
              </w:rPr>
              <w:t xml:space="preserve">, </w:t>
            </w:r>
            <w:r w:rsidRPr="00EA45E0">
              <w:rPr>
                <w:rFonts w:ascii="Times New Roman" w:hAnsi="Times New Roman"/>
                <w:i/>
              </w:rPr>
              <w:t>PRKAB1</w:t>
            </w:r>
            <w:r w:rsidRPr="00EA45E0">
              <w:rPr>
                <w:rFonts w:ascii="Times New Roman" w:hAnsi="Times New Roman"/>
              </w:rPr>
              <w:t xml:space="preserve">, </w:t>
            </w:r>
            <w:r w:rsidRPr="00EA45E0">
              <w:rPr>
                <w:rFonts w:ascii="Times New Roman" w:hAnsi="Times New Roman"/>
                <w:i/>
              </w:rPr>
              <w:t>LAMTOR2</w:t>
            </w:r>
            <w:r w:rsidRPr="00EA45E0">
              <w:rPr>
                <w:rFonts w:ascii="Times New Roman" w:hAnsi="Times New Roman"/>
              </w:rPr>
              <w:t xml:space="preserve">, </w:t>
            </w:r>
            <w:r w:rsidRPr="00EA45E0">
              <w:rPr>
                <w:rFonts w:ascii="Times New Roman" w:hAnsi="Times New Roman"/>
                <w:i/>
              </w:rPr>
              <w:t>STK11</w:t>
            </w:r>
            <w:r w:rsidRPr="00EA45E0">
              <w:rPr>
                <w:rFonts w:ascii="Times New Roman" w:hAnsi="Times New Roman"/>
              </w:rPr>
              <w:t xml:space="preserve">, </w:t>
            </w:r>
            <w:r w:rsidRPr="00EA45E0">
              <w:rPr>
                <w:rFonts w:ascii="Times New Roman" w:hAnsi="Times New Roman"/>
                <w:i/>
              </w:rPr>
              <w:t>PRKAB2</w:t>
            </w:r>
            <w:r w:rsidRPr="00EA45E0">
              <w:rPr>
                <w:rFonts w:ascii="Times New Roman" w:hAnsi="Times New Roman"/>
              </w:rPr>
              <w:t xml:space="preserve">, </w:t>
            </w:r>
            <w:r w:rsidRPr="00EA45E0">
              <w:rPr>
                <w:rFonts w:ascii="Times New Roman" w:hAnsi="Times New Roman"/>
                <w:i/>
              </w:rPr>
              <w:t>PRKAA1</w:t>
            </w:r>
            <w:r w:rsidRPr="00EA45E0">
              <w:rPr>
                <w:rFonts w:ascii="Times New Roman" w:hAnsi="Times New Roman"/>
              </w:rPr>
              <w:t xml:space="preserve">, </w:t>
            </w:r>
            <w:r w:rsidRPr="00EA45E0">
              <w:rPr>
                <w:rFonts w:ascii="Times New Roman" w:hAnsi="Times New Roman"/>
                <w:i/>
              </w:rPr>
              <w:t>LAMTOR5</w:t>
            </w:r>
            <w:r w:rsidRPr="00EA45E0">
              <w:rPr>
                <w:rFonts w:ascii="Times New Roman" w:hAnsi="Times New Roman"/>
              </w:rPr>
              <w:t xml:space="preserve">, </w:t>
            </w:r>
            <w:r w:rsidRPr="00EA45E0">
              <w:rPr>
                <w:rFonts w:ascii="Times New Roman" w:hAnsi="Times New Roman"/>
                <w:i/>
              </w:rPr>
              <w:t>CAB39</w:t>
            </w:r>
            <w:r w:rsidRPr="00EA45E0">
              <w:rPr>
                <w:rFonts w:ascii="Times New Roman" w:hAnsi="Times New Roman"/>
              </w:rPr>
              <w:t xml:space="preserve">, </w:t>
            </w:r>
            <w:r w:rsidRPr="00EA45E0">
              <w:rPr>
                <w:rFonts w:ascii="Times New Roman" w:hAnsi="Times New Roman"/>
                <w:i/>
              </w:rPr>
              <w:t>RPTOR</w:t>
            </w:r>
            <w:r w:rsidRPr="00EA45E0">
              <w:rPr>
                <w:rFonts w:ascii="Times New Roman" w:hAnsi="Times New Roman"/>
              </w:rPr>
              <w:t xml:space="preserve">, </w:t>
            </w:r>
            <w:r w:rsidRPr="00EA45E0">
              <w:rPr>
                <w:rFonts w:ascii="Times New Roman" w:hAnsi="Times New Roman"/>
                <w:i/>
              </w:rPr>
              <w:t>LAMTOR1</w:t>
            </w:r>
            <w:r w:rsidRPr="00EA45E0">
              <w:rPr>
                <w:rFonts w:ascii="Times New Roman" w:hAnsi="Times New Roman"/>
              </w:rPr>
              <w:t xml:space="preserve">, </w:t>
            </w:r>
            <w:r w:rsidRPr="00EA45E0">
              <w:rPr>
                <w:rFonts w:ascii="Times New Roman" w:hAnsi="Times New Roman"/>
                <w:i/>
              </w:rPr>
              <w:t>RRAGA</w:t>
            </w:r>
            <w:r w:rsidRPr="00EA45E0">
              <w:rPr>
                <w:rFonts w:ascii="Times New Roman" w:hAnsi="Times New Roman"/>
              </w:rPr>
              <w:t xml:space="preserve">, </w:t>
            </w:r>
            <w:r w:rsidRPr="00EA45E0">
              <w:rPr>
                <w:rFonts w:ascii="Times New Roman" w:hAnsi="Times New Roman"/>
                <w:i/>
              </w:rPr>
              <w:t>PRKAA2</w:t>
            </w:r>
            <w:r w:rsidRPr="00EA45E0">
              <w:rPr>
                <w:rFonts w:ascii="Times New Roman" w:hAnsi="Times New Roman"/>
              </w:rPr>
              <w:t xml:space="preserve">, </w:t>
            </w:r>
            <w:r w:rsidRPr="00EA45E0">
              <w:rPr>
                <w:rFonts w:ascii="Times New Roman" w:hAnsi="Times New Roman"/>
                <w:i/>
              </w:rPr>
              <w:t>TSC1</w:t>
            </w:r>
            <w:r w:rsidRPr="00EA45E0">
              <w:rPr>
                <w:rFonts w:ascii="Times New Roman" w:hAnsi="Times New Roman"/>
              </w:rPr>
              <w:t xml:space="preserve">, </w:t>
            </w:r>
            <w:r w:rsidRPr="00EA45E0">
              <w:rPr>
                <w:rFonts w:ascii="Times New Roman" w:hAnsi="Times New Roman"/>
                <w:i/>
              </w:rPr>
              <w:t>MLST8</w:t>
            </w:r>
            <w:r w:rsidRPr="00EA45E0">
              <w:rPr>
                <w:rFonts w:ascii="Times New Roman" w:hAnsi="Times New Roman"/>
              </w:rPr>
              <w:t xml:space="preserve">, </w:t>
            </w:r>
            <w:r w:rsidRPr="00EA45E0">
              <w:rPr>
                <w:rFonts w:ascii="Times New Roman" w:hAnsi="Times New Roman"/>
                <w:i/>
              </w:rPr>
              <w:t>SLC38A9</w:t>
            </w:r>
            <w:r w:rsidRPr="00EA45E0">
              <w:rPr>
                <w:rFonts w:ascii="Times New Roman" w:hAnsi="Times New Roman"/>
              </w:rPr>
              <w:t xml:space="preserve">, </w:t>
            </w:r>
            <w:r w:rsidRPr="00EA45E0">
              <w:rPr>
                <w:rFonts w:ascii="Times New Roman" w:hAnsi="Times New Roman"/>
                <w:i/>
              </w:rPr>
              <w:t>PRKAG1</w:t>
            </w:r>
            <w:r w:rsidRPr="00EA45E0">
              <w:rPr>
                <w:rFonts w:ascii="Times New Roman" w:hAnsi="Times New Roman"/>
              </w:rPr>
              <w:t xml:space="preserve">, </w:t>
            </w:r>
            <w:r w:rsidRPr="00EA45E0">
              <w:rPr>
                <w:rFonts w:ascii="Times New Roman" w:hAnsi="Times New Roman"/>
                <w:i/>
              </w:rPr>
              <w:t>LAMTOR4</w:t>
            </w:r>
            <w:r w:rsidRPr="00EA45E0">
              <w:rPr>
                <w:rFonts w:ascii="Times New Roman" w:hAnsi="Times New Roman"/>
              </w:rPr>
              <w:t xml:space="preserve">, </w:t>
            </w:r>
            <w:r w:rsidRPr="00EA45E0">
              <w:rPr>
                <w:rFonts w:ascii="Times New Roman" w:hAnsi="Times New Roman"/>
                <w:i/>
              </w:rPr>
              <w:t>MTOR</w:t>
            </w:r>
            <w:r w:rsidRPr="00EA45E0">
              <w:rPr>
                <w:rFonts w:ascii="Times New Roman" w:hAnsi="Times New Roman"/>
              </w:rPr>
              <w:t xml:space="preserve">, </w:t>
            </w:r>
            <w:r w:rsidRPr="00EA45E0">
              <w:rPr>
                <w:rFonts w:ascii="Times New Roman" w:hAnsi="Times New Roman"/>
                <w:i/>
              </w:rPr>
              <w:t>STRADA</w:t>
            </w:r>
          </w:p>
        </w:tc>
      </w:tr>
    </w:tbl>
    <w:p w14:paraId="1DEFF6AD" w14:textId="71D6FFEA" w:rsidR="003B1E6B" w:rsidRDefault="003B1E6B"/>
    <w:p w14:paraId="602496C3" w14:textId="77777777" w:rsidR="003B1E6B" w:rsidRDefault="003B1E6B">
      <w:pPr>
        <w:spacing w:after="160" w:line="259" w:lineRule="auto"/>
      </w:pPr>
      <w:r>
        <w:br w:type="page"/>
      </w:r>
    </w:p>
    <w:p w14:paraId="76B8A043" w14:textId="77777777" w:rsidR="003B1E6B" w:rsidRPr="00021F92" w:rsidRDefault="003B1E6B" w:rsidP="003B1E6B">
      <w:pPr>
        <w:spacing w:line="480" w:lineRule="auto"/>
        <w:jc w:val="both"/>
        <w:rPr>
          <w:rFonts w:ascii="Times New Roman" w:hAnsi="Times New Roman"/>
        </w:rPr>
      </w:pPr>
      <w:r w:rsidRPr="00021F92">
        <w:rPr>
          <w:rFonts w:ascii="Times New Roman" w:hAnsi="Times New Roman"/>
          <w:b/>
          <w:sz w:val="32"/>
          <w:szCs w:val="32"/>
        </w:rPr>
        <w:t xml:space="preserve">Supplementary Methods </w:t>
      </w:r>
    </w:p>
    <w:p w14:paraId="23E919FC" w14:textId="77777777" w:rsidR="003B1E6B" w:rsidRPr="00021F92" w:rsidRDefault="003B1E6B" w:rsidP="003B1E6B">
      <w:pPr>
        <w:spacing w:line="480" w:lineRule="auto"/>
        <w:jc w:val="both"/>
        <w:rPr>
          <w:rFonts w:ascii="Times New Roman" w:hAnsi="Times New Roman"/>
          <w:b/>
          <w:sz w:val="32"/>
          <w:szCs w:val="32"/>
        </w:rPr>
      </w:pPr>
    </w:p>
    <w:p w14:paraId="4096A4E6" w14:textId="77777777" w:rsidR="003B1E6B" w:rsidRPr="003B1E6B" w:rsidRDefault="003B1E6B" w:rsidP="003B1E6B">
      <w:pPr>
        <w:spacing w:line="480" w:lineRule="auto"/>
        <w:jc w:val="both"/>
        <w:rPr>
          <w:rFonts w:ascii="Times New Roman" w:hAnsi="Times New Roman"/>
          <w:b/>
          <w:sz w:val="28"/>
          <w:szCs w:val="28"/>
        </w:rPr>
      </w:pPr>
      <w:r w:rsidRPr="003B1E6B">
        <w:rPr>
          <w:rFonts w:ascii="Times New Roman" w:hAnsi="Times New Roman"/>
          <w:b/>
          <w:sz w:val="28"/>
          <w:szCs w:val="28"/>
        </w:rPr>
        <w:t>Mass Spectrometry sample preparation and liquid chromatography MS</w:t>
      </w:r>
    </w:p>
    <w:p w14:paraId="3645FB10" w14:textId="77777777" w:rsidR="003B1E6B" w:rsidRDefault="003B1E6B" w:rsidP="003B1E6B">
      <w:pPr>
        <w:spacing w:line="480" w:lineRule="auto"/>
        <w:jc w:val="both"/>
        <w:rPr>
          <w:rFonts w:ascii="Times New Roman" w:hAnsi="Times New Roman"/>
          <w:b/>
          <w:bCs/>
          <w:sz w:val="28"/>
          <w:szCs w:val="28"/>
        </w:rPr>
      </w:pPr>
    </w:p>
    <w:p w14:paraId="6E40E8EA" w14:textId="67AB6B73" w:rsidR="003B1E6B" w:rsidRPr="00021F92" w:rsidRDefault="003B1E6B" w:rsidP="003B1E6B">
      <w:pPr>
        <w:spacing w:line="480" w:lineRule="auto"/>
        <w:jc w:val="both"/>
        <w:rPr>
          <w:rFonts w:ascii="Times New Roman" w:hAnsi="Times New Roman"/>
          <w:b/>
          <w:bCs/>
          <w:sz w:val="28"/>
          <w:szCs w:val="28"/>
        </w:rPr>
      </w:pPr>
      <w:r w:rsidRPr="00021F92">
        <w:rPr>
          <w:rFonts w:ascii="Times New Roman" w:hAnsi="Times New Roman"/>
          <w:b/>
          <w:bCs/>
          <w:sz w:val="28"/>
          <w:szCs w:val="28"/>
        </w:rPr>
        <w:t>Sample preparation for mass spectrometry</w:t>
      </w:r>
    </w:p>
    <w:p w14:paraId="4B343F49" w14:textId="77777777" w:rsidR="003B1E6B" w:rsidRPr="00021F92" w:rsidRDefault="003B1E6B" w:rsidP="003B1E6B">
      <w:pPr>
        <w:spacing w:line="480" w:lineRule="auto"/>
        <w:jc w:val="both"/>
        <w:rPr>
          <w:rFonts w:ascii="Times New Roman" w:hAnsi="Times New Roman"/>
        </w:rPr>
      </w:pPr>
      <w:r w:rsidRPr="00021F92">
        <w:rPr>
          <w:rFonts w:ascii="Times New Roman" w:hAnsi="Times New Roman"/>
        </w:rPr>
        <w:t xml:space="preserve">Lysate precipitation was carried out by adding 3 volumes of ice-cold methanol, 1 volume of chloroform, and 2.5 volumes of water. Following centrifugation at 14,000g for 15 minutes at 4°C, the upper aqueous phase was removed, and 3 volumes of ice-cold methanol were introduced. The samples were mixed, and the proteins were pelleted by centrifuging at 14,000g for 5 minutes at 4°C. The supernatant was discarded, and the pellets were washed once more with ice-cold methanol. Protein pellets were dried at room temperature for subsequent use. Proteins were then resuspended in 8 M Urea/10 mM EPPS pH 8.2. Protein concentration was measured using the Bradford assay, and 100 µg of protein per sample was digested by diluting to 1 M Urea with 10 mM EPPS pH 8.2 and incubating overnight at 37°C with </w:t>
      </w:r>
      <w:proofErr w:type="spellStart"/>
      <w:r w:rsidRPr="00021F92">
        <w:rPr>
          <w:rFonts w:ascii="Times New Roman" w:hAnsi="Times New Roman"/>
        </w:rPr>
        <w:t>LysC</w:t>
      </w:r>
      <w:proofErr w:type="spellEnd"/>
      <w:r w:rsidRPr="00021F92">
        <w:rPr>
          <w:rFonts w:ascii="Times New Roman" w:hAnsi="Times New Roman"/>
        </w:rPr>
        <w:t xml:space="preserve"> (Wako Chemicals, Neuss, Germany) at a 1:50 (w/w) ratio and Trypsin (Promega, Madison, WI, USA, V5113) at a 1:100 (w/w) ratio. The digests were acidified with TFA (0.2% vol/vol), and tryptic peptides were purified using tC18 </w:t>
      </w:r>
      <w:proofErr w:type="spellStart"/>
      <w:r w:rsidRPr="00021F92">
        <w:rPr>
          <w:rFonts w:ascii="Times New Roman" w:hAnsi="Times New Roman"/>
        </w:rPr>
        <w:t>SepPak</w:t>
      </w:r>
      <w:proofErr w:type="spellEnd"/>
      <w:r w:rsidRPr="00021F92">
        <w:rPr>
          <w:rFonts w:ascii="Times New Roman" w:hAnsi="Times New Roman"/>
        </w:rPr>
        <w:t xml:space="preserve"> (50 mg, Waters WAT054955, Milford, MA, USA). Peptide concentrations were determined with a </w:t>
      </w:r>
      <w:proofErr w:type="spellStart"/>
      <w:r w:rsidRPr="00021F92">
        <w:rPr>
          <w:rFonts w:ascii="Times New Roman" w:hAnsi="Times New Roman"/>
        </w:rPr>
        <w:t>μBCA</w:t>
      </w:r>
      <w:proofErr w:type="spellEnd"/>
      <w:r w:rsidRPr="00021F92">
        <w:rPr>
          <w:rFonts w:ascii="Times New Roman" w:hAnsi="Times New Roman"/>
        </w:rPr>
        <w:t xml:space="preserve"> assay (</w:t>
      </w:r>
      <w:proofErr w:type="spellStart"/>
      <w:r w:rsidRPr="00021F92">
        <w:rPr>
          <w:rFonts w:ascii="Times New Roman" w:hAnsi="Times New Roman"/>
        </w:rPr>
        <w:t>ThermoFisher</w:t>
      </w:r>
      <w:proofErr w:type="spellEnd"/>
      <w:r w:rsidRPr="00021F92">
        <w:rPr>
          <w:rFonts w:ascii="Times New Roman" w:hAnsi="Times New Roman"/>
        </w:rPr>
        <w:t xml:space="preserve"> Scientific, 23235), and 10 µg of peptides per sample were labeled with TMT reagents (Thermo Scientific, 90406). TMT-labeled samples were normalized to equimolar ratios for each channel after a single injection measurement by LC-MS/MS. The labeled peptide samples were then pooled and fractionated. </w:t>
      </w:r>
    </w:p>
    <w:p w14:paraId="2E6CAB1D" w14:textId="77777777" w:rsidR="003B1E6B" w:rsidRPr="00021F92" w:rsidRDefault="003B1E6B" w:rsidP="003B1E6B">
      <w:pPr>
        <w:spacing w:line="480" w:lineRule="auto"/>
        <w:jc w:val="both"/>
        <w:rPr>
          <w:rFonts w:ascii="Times New Roman" w:hAnsi="Times New Roman"/>
        </w:rPr>
      </w:pPr>
    </w:p>
    <w:p w14:paraId="19ED37FA" w14:textId="77777777" w:rsidR="003B1E6B" w:rsidRPr="00021F92" w:rsidRDefault="003B1E6B" w:rsidP="003B1E6B">
      <w:pPr>
        <w:spacing w:before="100" w:beforeAutospacing="1" w:after="100" w:afterAutospacing="1"/>
        <w:jc w:val="both"/>
        <w:rPr>
          <w:rFonts w:asciiTheme="minorHAnsi" w:eastAsiaTheme="minorHAnsi" w:hAnsiTheme="minorHAnsi" w:cs="Calibri"/>
          <w:b/>
          <w:color w:val="000000"/>
        </w:rPr>
      </w:pPr>
      <w:r w:rsidRPr="00021F92">
        <w:rPr>
          <w:rFonts w:cs="Calibri"/>
          <w:b/>
          <w:color w:val="000000"/>
        </w:rPr>
        <w:t xml:space="preserve">High pH micro-flow fractionation </w:t>
      </w:r>
    </w:p>
    <w:p w14:paraId="3C892D64" w14:textId="77777777" w:rsidR="003B1E6B" w:rsidRPr="00021F92" w:rsidRDefault="003B1E6B" w:rsidP="003B1E6B">
      <w:pPr>
        <w:spacing w:line="480" w:lineRule="auto"/>
        <w:jc w:val="both"/>
        <w:rPr>
          <w:rFonts w:ascii="Times New Roman" w:hAnsi="Times New Roman"/>
          <w:highlight w:val="yellow"/>
        </w:rPr>
      </w:pPr>
      <w:r w:rsidRPr="00021F92">
        <w:rPr>
          <w:rFonts w:ascii="Times New Roman" w:hAnsi="Times New Roman"/>
        </w:rPr>
        <w:t>Peptide fractionation was conducted using high-pH liquid chromatography on a micro-flow HPLC system (</w:t>
      </w:r>
      <w:proofErr w:type="spellStart"/>
      <w:r w:rsidRPr="00021F92">
        <w:rPr>
          <w:rFonts w:ascii="Times New Roman" w:hAnsi="Times New Roman"/>
        </w:rPr>
        <w:t>Dionex</w:t>
      </w:r>
      <w:proofErr w:type="spellEnd"/>
      <w:r w:rsidRPr="00021F92">
        <w:rPr>
          <w:rFonts w:ascii="Times New Roman" w:hAnsi="Times New Roman"/>
        </w:rPr>
        <w:t xml:space="preserve"> U3000 RSLC, Thermo Scientific). For this process, 45 µg of pooled and purified TMT-labeled peptides, which had been resuspended in Solvent A (5 mM ammonium bicarbonate, 5% ACN), were loaded onto a C18 column (</w:t>
      </w:r>
      <w:proofErr w:type="spellStart"/>
      <w:r w:rsidRPr="00021F92">
        <w:rPr>
          <w:rFonts w:ascii="Times New Roman" w:hAnsi="Times New Roman"/>
        </w:rPr>
        <w:t>XSelect</w:t>
      </w:r>
      <w:proofErr w:type="spellEnd"/>
      <w:r w:rsidRPr="00021F92">
        <w:rPr>
          <w:rFonts w:ascii="Times New Roman" w:hAnsi="Times New Roman"/>
        </w:rPr>
        <w:t xml:space="preserve"> CSH, 1 mm x 150 mm, 3.5 µm particle size; Waters). The peptides were separated via a multistep gradient ranging from 3% to 60% Solvent B (5 mM ammonium bicarbonate, 90% ACN) over a 65-minute period, with a flow rate of 30 µl/min. Peptides were collected every 43 seconds from minute 2 to minute 69, resulting in 96 fractions that were subsequently combined into 24 fractions. The combined fractions were then dried using a vacuum concentrator and reconstituted in 2% ACN, 0.1% TFA for subsequent LC-MS analysis.</w:t>
      </w:r>
    </w:p>
    <w:p w14:paraId="759F1850" w14:textId="77777777" w:rsidR="003B1E6B" w:rsidRPr="00021F92" w:rsidRDefault="003B1E6B" w:rsidP="003B1E6B">
      <w:pPr>
        <w:spacing w:line="480" w:lineRule="auto"/>
        <w:jc w:val="both"/>
        <w:rPr>
          <w:rFonts w:ascii="Times New Roman" w:hAnsi="Times New Roman"/>
          <w:highlight w:val="yellow"/>
        </w:rPr>
      </w:pPr>
    </w:p>
    <w:p w14:paraId="73749DBC" w14:textId="77777777" w:rsidR="003B1E6B" w:rsidRPr="00021F92" w:rsidRDefault="003B1E6B" w:rsidP="003B1E6B">
      <w:pPr>
        <w:spacing w:line="480" w:lineRule="auto"/>
        <w:jc w:val="both"/>
        <w:rPr>
          <w:rFonts w:ascii="Times New Roman" w:hAnsi="Times New Roman"/>
          <w:b/>
          <w:bCs/>
          <w:sz w:val="28"/>
          <w:szCs w:val="28"/>
        </w:rPr>
      </w:pPr>
      <w:r w:rsidRPr="00021F92">
        <w:rPr>
          <w:rFonts w:ascii="Times New Roman" w:hAnsi="Times New Roman"/>
          <w:b/>
          <w:bCs/>
          <w:sz w:val="28"/>
          <w:szCs w:val="28"/>
        </w:rPr>
        <w:t>Liquid chromatography mass spectrometry (LC-MS</w:t>
      </w:r>
      <w:r w:rsidRPr="00021F92">
        <w:rPr>
          <w:rFonts w:ascii="Times New Roman" w:hAnsi="Times New Roman"/>
          <w:b/>
          <w:bCs/>
          <w:sz w:val="28"/>
          <w:szCs w:val="28"/>
          <w:vertAlign w:val="superscript"/>
        </w:rPr>
        <w:t>3</w:t>
      </w:r>
      <w:r w:rsidRPr="00021F92">
        <w:rPr>
          <w:rFonts w:ascii="Times New Roman" w:hAnsi="Times New Roman"/>
          <w:b/>
          <w:bCs/>
          <w:sz w:val="28"/>
          <w:szCs w:val="28"/>
        </w:rPr>
        <w:t>)</w:t>
      </w:r>
    </w:p>
    <w:p w14:paraId="5BD42C0F" w14:textId="77777777" w:rsidR="003B1E6B" w:rsidRPr="00021F92" w:rsidRDefault="003B1E6B" w:rsidP="003B1E6B">
      <w:pPr>
        <w:spacing w:line="480" w:lineRule="auto"/>
        <w:jc w:val="both"/>
        <w:rPr>
          <w:rFonts w:ascii="Times New Roman" w:hAnsi="Times New Roman"/>
        </w:rPr>
      </w:pPr>
      <w:r w:rsidRPr="00021F92">
        <w:rPr>
          <w:rFonts w:ascii="Times New Roman" w:hAnsi="Times New Roman"/>
        </w:rPr>
        <w:t>All mass spectrometry data were collected in centroid mode using an Orbitrap Fusion Lumos mass spectrometer connected to an easy-</w:t>
      </w:r>
      <w:proofErr w:type="spellStart"/>
      <w:r w:rsidRPr="00021F92">
        <w:rPr>
          <w:rFonts w:ascii="Times New Roman" w:hAnsi="Times New Roman"/>
        </w:rPr>
        <w:t>nLC</w:t>
      </w:r>
      <w:proofErr w:type="spellEnd"/>
      <w:r w:rsidRPr="00021F92">
        <w:rPr>
          <w:rFonts w:ascii="Times New Roman" w:hAnsi="Times New Roman"/>
        </w:rPr>
        <w:t xml:space="preserve"> 1200 </w:t>
      </w:r>
      <w:proofErr w:type="spellStart"/>
      <w:r w:rsidRPr="00021F92">
        <w:rPr>
          <w:rFonts w:ascii="Times New Roman" w:hAnsi="Times New Roman"/>
        </w:rPr>
        <w:t>nano</w:t>
      </w:r>
      <w:proofErr w:type="spellEnd"/>
      <w:r w:rsidRPr="00021F92">
        <w:rPr>
          <w:rFonts w:ascii="Times New Roman" w:hAnsi="Times New Roman"/>
        </w:rPr>
        <w:t xml:space="preserve"> HPLC system with a </w:t>
      </w:r>
      <w:proofErr w:type="spellStart"/>
      <w:r w:rsidRPr="00021F92">
        <w:rPr>
          <w:rFonts w:ascii="Times New Roman" w:hAnsi="Times New Roman"/>
        </w:rPr>
        <w:t>nanoFlex</w:t>
      </w:r>
      <w:proofErr w:type="spellEnd"/>
      <w:r w:rsidRPr="00021F92">
        <w:rPr>
          <w:rFonts w:ascii="Times New Roman" w:hAnsi="Times New Roman"/>
        </w:rPr>
        <w:t xml:space="preserve"> ion source (</w:t>
      </w:r>
      <w:proofErr w:type="spellStart"/>
      <w:r w:rsidRPr="00021F92">
        <w:rPr>
          <w:rFonts w:ascii="Times New Roman" w:hAnsi="Times New Roman"/>
        </w:rPr>
        <w:t>ThermoFisher</w:t>
      </w:r>
      <w:proofErr w:type="spellEnd"/>
      <w:r w:rsidRPr="00021F92">
        <w:rPr>
          <w:rFonts w:ascii="Times New Roman" w:hAnsi="Times New Roman"/>
        </w:rPr>
        <w:t xml:space="preserve"> Scientific, Waltham, MA, USA). Peptide separation was performed on a custom-made 22 cm long, 75 µm ID fused-silica column, packed in-house with 1.9 µm C18 particles (</w:t>
      </w:r>
      <w:proofErr w:type="spellStart"/>
      <w:r w:rsidRPr="00021F92">
        <w:rPr>
          <w:rFonts w:ascii="Times New Roman" w:hAnsi="Times New Roman"/>
        </w:rPr>
        <w:t>ReproSil-Pur</w:t>
      </w:r>
      <w:proofErr w:type="spellEnd"/>
      <w:r w:rsidRPr="00021F92">
        <w:rPr>
          <w:rFonts w:ascii="Times New Roman" w:hAnsi="Times New Roman"/>
        </w:rPr>
        <w:t xml:space="preserve">, Dr. Maisch, </w:t>
      </w:r>
      <w:proofErr w:type="spellStart"/>
      <w:r w:rsidRPr="00021F92">
        <w:rPr>
          <w:rFonts w:ascii="Times New Roman" w:hAnsi="Times New Roman"/>
        </w:rPr>
        <w:t>Ammerbuch-Entringen</w:t>
      </w:r>
      <w:proofErr w:type="spellEnd"/>
      <w:r w:rsidRPr="00021F92">
        <w:rPr>
          <w:rFonts w:ascii="Times New Roman" w:hAnsi="Times New Roman"/>
        </w:rPr>
        <w:t>, Germany) and kept at 50°C using an integrated column oven (</w:t>
      </w:r>
      <w:proofErr w:type="spellStart"/>
      <w:r w:rsidRPr="00021F92">
        <w:rPr>
          <w:rFonts w:ascii="Times New Roman" w:hAnsi="Times New Roman"/>
        </w:rPr>
        <w:t>Sonation</w:t>
      </w:r>
      <w:proofErr w:type="spellEnd"/>
      <w:r w:rsidRPr="00021F92">
        <w:rPr>
          <w:rFonts w:ascii="Times New Roman" w:hAnsi="Times New Roman"/>
        </w:rPr>
        <w:t xml:space="preserve">, </w:t>
      </w:r>
      <w:proofErr w:type="spellStart"/>
      <w:r w:rsidRPr="00021F92">
        <w:rPr>
          <w:rFonts w:ascii="Times New Roman" w:hAnsi="Times New Roman"/>
        </w:rPr>
        <w:t>Biberach</w:t>
      </w:r>
      <w:proofErr w:type="spellEnd"/>
      <w:r w:rsidRPr="00021F92">
        <w:rPr>
          <w:rFonts w:ascii="Times New Roman" w:hAnsi="Times New Roman"/>
        </w:rPr>
        <w:t>, Germany). The HPLC solvents consisted of 0.1% formic acid in water (Buffer A) and 0.1% formic acid, 80% acetonitrile in water (Buffer B). Approximately 400 ng of each fraction was loaded onto the column and eluted over a 90-minute linear gradient from 10% to 40% Buffer B.</w:t>
      </w:r>
    </w:p>
    <w:p w14:paraId="75AB118A" w14:textId="77777777" w:rsidR="003B1E6B" w:rsidRPr="00021F92" w:rsidRDefault="003B1E6B" w:rsidP="003B1E6B">
      <w:pPr>
        <w:spacing w:line="480" w:lineRule="auto"/>
        <w:jc w:val="both"/>
        <w:rPr>
          <w:rFonts w:ascii="Times New Roman" w:hAnsi="Times New Roman"/>
        </w:rPr>
      </w:pPr>
      <w:r w:rsidRPr="00021F92">
        <w:rPr>
          <w:rFonts w:ascii="Times New Roman" w:hAnsi="Times New Roman"/>
        </w:rPr>
        <w:t xml:space="preserve">For proteome analysis, a synchronous precursor selection (SPS) multi-notch MS3 method was used to minimize ratio compression as previously described. Full scan MS spectra (350-1400 m/z) were acquired at a resolution of 120,000 at m/z 200, with a maximum injection time of 100 </w:t>
      </w:r>
      <w:proofErr w:type="spellStart"/>
      <w:r w:rsidRPr="00021F92">
        <w:rPr>
          <w:rFonts w:ascii="Times New Roman" w:hAnsi="Times New Roman"/>
        </w:rPr>
        <w:t>ms</w:t>
      </w:r>
      <w:proofErr w:type="spellEnd"/>
      <w:r w:rsidRPr="00021F92">
        <w:rPr>
          <w:rFonts w:ascii="Times New Roman" w:hAnsi="Times New Roman"/>
        </w:rPr>
        <w:t xml:space="preserve"> and an AGC target value of 4 x 10^5. The most intense precursors with charge states between 2 and 6 from each full scan were chosen for fragmentation using the “Top Speed” mode with a cycle time of 1.5 seconds and isolated with a quadrupole isolation window of 0.7 Th. MS2 scans were performed in the ion trap (Turbo) with a maximum injection time of 50 </w:t>
      </w:r>
      <w:proofErr w:type="spellStart"/>
      <w:r w:rsidRPr="00021F92">
        <w:rPr>
          <w:rFonts w:ascii="Times New Roman" w:hAnsi="Times New Roman"/>
        </w:rPr>
        <w:t>ms</w:t>
      </w:r>
      <w:proofErr w:type="spellEnd"/>
      <w:r w:rsidRPr="00021F92">
        <w:rPr>
          <w:rFonts w:ascii="Times New Roman" w:hAnsi="Times New Roman"/>
        </w:rPr>
        <w:t>, an AGC target value of 1.5 x 10^4, and fragmented using CID with a normalized collision energy (NCE) of 35%. For quantification, SPS-MS3 scans were carried out on the 10 most intense MS2 fragment ions, with an isolation window of 0.7 Th (MS) and 2 m/z (MS2). These ions were fragmented using HCD with an NCE of 65% (</w:t>
      </w:r>
      <w:proofErr w:type="spellStart"/>
      <w:r w:rsidRPr="00021F92">
        <w:rPr>
          <w:rFonts w:ascii="Times New Roman" w:hAnsi="Times New Roman"/>
        </w:rPr>
        <w:t>TMTclassic</w:t>
      </w:r>
      <w:proofErr w:type="spellEnd"/>
      <w:r w:rsidRPr="00021F92">
        <w:rPr>
          <w:rFonts w:ascii="Times New Roman" w:hAnsi="Times New Roman"/>
        </w:rPr>
        <w:t xml:space="preserve">) and analyzed in the Orbitrap at a resolution of 50,000 at m/z 200, a scan range of 100-500 m/z, an AGC target value of 1.5 x 10^5, and a maximum injection time of 86 </w:t>
      </w:r>
      <w:proofErr w:type="spellStart"/>
      <w:r w:rsidRPr="00021F92">
        <w:rPr>
          <w:rFonts w:ascii="Times New Roman" w:hAnsi="Times New Roman"/>
        </w:rPr>
        <w:t>ms.</w:t>
      </w:r>
      <w:proofErr w:type="spellEnd"/>
      <w:r w:rsidRPr="00021F92">
        <w:rPr>
          <w:rFonts w:ascii="Times New Roman" w:hAnsi="Times New Roman"/>
        </w:rPr>
        <w:t xml:space="preserve"> To avoid repeated sequencing of previously acquired precursors, a dynamic exclusion of 60 seconds and 7 ppm was applied, and advanced peak determination was disabled. All spectra were acquired in centroid mode.</w:t>
      </w:r>
    </w:p>
    <w:p w14:paraId="3ECCD005" w14:textId="77777777" w:rsidR="003B1E6B" w:rsidRPr="00021F92" w:rsidRDefault="003B1E6B" w:rsidP="003B1E6B">
      <w:pPr>
        <w:spacing w:line="480" w:lineRule="auto"/>
        <w:jc w:val="both"/>
        <w:rPr>
          <w:rFonts w:ascii="Times New Roman" w:hAnsi="Times New Roman"/>
          <w:sz w:val="28"/>
          <w:szCs w:val="28"/>
        </w:rPr>
      </w:pPr>
    </w:p>
    <w:p w14:paraId="52553771" w14:textId="77777777" w:rsidR="003B1E6B" w:rsidRPr="00021F92" w:rsidRDefault="003B1E6B" w:rsidP="003B1E6B">
      <w:pPr>
        <w:spacing w:line="480" w:lineRule="auto"/>
        <w:jc w:val="both"/>
        <w:rPr>
          <w:rFonts w:ascii="Times New Roman" w:hAnsi="Times New Roman"/>
          <w:b/>
          <w:bCs/>
          <w:sz w:val="28"/>
          <w:szCs w:val="28"/>
        </w:rPr>
      </w:pPr>
      <w:r w:rsidRPr="00021F92">
        <w:rPr>
          <w:rFonts w:ascii="Times New Roman" w:hAnsi="Times New Roman"/>
          <w:b/>
          <w:bCs/>
          <w:sz w:val="28"/>
          <w:szCs w:val="28"/>
        </w:rPr>
        <w:t>Proteomics data analysis</w:t>
      </w:r>
    </w:p>
    <w:p w14:paraId="2A3CCBE9" w14:textId="77777777" w:rsidR="003B1E6B" w:rsidRPr="00021F92" w:rsidRDefault="003B1E6B" w:rsidP="003B1E6B">
      <w:pPr>
        <w:spacing w:line="480" w:lineRule="auto"/>
        <w:jc w:val="both"/>
        <w:rPr>
          <w:rFonts w:ascii="Times New Roman" w:hAnsi="Times New Roman"/>
        </w:rPr>
      </w:pPr>
      <w:r w:rsidRPr="00021F92">
        <w:rPr>
          <w:rFonts w:ascii="Times New Roman" w:hAnsi="Times New Roman"/>
        </w:rPr>
        <w:t>The acquired raw data was analyzed with Proteome Discoverer 2.4 (</w:t>
      </w:r>
      <w:proofErr w:type="spellStart"/>
      <w:r w:rsidRPr="00021F92">
        <w:rPr>
          <w:rFonts w:ascii="Times New Roman" w:hAnsi="Times New Roman"/>
        </w:rPr>
        <w:t>ThermoFisher</w:t>
      </w:r>
      <w:proofErr w:type="spellEnd"/>
      <w:r w:rsidRPr="00021F92">
        <w:rPr>
          <w:rFonts w:ascii="Times New Roman" w:hAnsi="Times New Roman"/>
        </w:rPr>
        <w:t xml:space="preserve"> Scientific). The </w:t>
      </w:r>
      <w:proofErr w:type="spellStart"/>
      <w:r w:rsidRPr="00021F92">
        <w:rPr>
          <w:rFonts w:ascii="Times New Roman" w:hAnsi="Times New Roman"/>
        </w:rPr>
        <w:t>SequenceHT</w:t>
      </w:r>
      <w:proofErr w:type="spellEnd"/>
      <w:r w:rsidRPr="00021F92">
        <w:rPr>
          <w:rFonts w:ascii="Times New Roman" w:hAnsi="Times New Roman"/>
        </w:rPr>
        <w:t xml:space="preserve"> node was used for database searches of MS2 spectra. Protein identifications were made using the human trypsin-digested proteome (Homo sapiens </w:t>
      </w:r>
      <w:proofErr w:type="spellStart"/>
      <w:r w:rsidRPr="00021F92">
        <w:rPr>
          <w:rFonts w:ascii="Times New Roman" w:hAnsi="Times New Roman"/>
        </w:rPr>
        <w:t>SwissProt</w:t>
      </w:r>
      <w:proofErr w:type="spellEnd"/>
      <w:r w:rsidRPr="00021F92">
        <w:rPr>
          <w:rFonts w:ascii="Times New Roman" w:hAnsi="Times New Roman"/>
        </w:rPr>
        <w:t xml:space="preserve"> database, </w:t>
      </w:r>
      <w:proofErr w:type="spellStart"/>
      <w:r w:rsidRPr="00021F92">
        <w:rPr>
          <w:rFonts w:ascii="Times New Roman" w:hAnsi="Times New Roman"/>
        </w:rPr>
        <w:t>TaxID</w:t>
      </w:r>
      <w:proofErr w:type="spellEnd"/>
      <w:r w:rsidRPr="00021F92">
        <w:rPr>
          <w:rFonts w:ascii="Times New Roman" w:hAnsi="Times New Roman"/>
        </w:rPr>
        <w:t xml:space="preserve">: 9606, version March 12, 2020). Contaminants were identified using the </w:t>
      </w:r>
      <w:proofErr w:type="spellStart"/>
      <w:r w:rsidRPr="00021F92">
        <w:rPr>
          <w:rFonts w:ascii="Times New Roman" w:hAnsi="Times New Roman"/>
        </w:rPr>
        <w:t>MaxQuant</w:t>
      </w:r>
      <w:proofErr w:type="spellEnd"/>
      <w:r w:rsidRPr="00021F92">
        <w:rPr>
          <w:rFonts w:ascii="Times New Roman" w:hAnsi="Times New Roman"/>
        </w:rPr>
        <w:t xml:space="preserve"> “</w:t>
      </w:r>
      <w:proofErr w:type="spellStart"/>
      <w:proofErr w:type="gramStart"/>
      <w:r w:rsidRPr="00021F92">
        <w:rPr>
          <w:rFonts w:ascii="Times New Roman" w:hAnsi="Times New Roman"/>
        </w:rPr>
        <w:t>contamination.fasta</w:t>
      </w:r>
      <w:proofErr w:type="spellEnd"/>
      <w:proofErr w:type="gramEnd"/>
      <w:r w:rsidRPr="00021F92">
        <w:rPr>
          <w:rFonts w:ascii="Times New Roman" w:hAnsi="Times New Roman"/>
        </w:rPr>
        <w:t xml:space="preserve">” file for quality control. Fixed modifications included TMT (+229.163) at the N-terminus and lysine (K), as well as </w:t>
      </w:r>
      <w:proofErr w:type="spellStart"/>
      <w:r w:rsidRPr="00021F92">
        <w:rPr>
          <w:rFonts w:ascii="Times New Roman" w:hAnsi="Times New Roman"/>
        </w:rPr>
        <w:t>carbamidomethylation</w:t>
      </w:r>
      <w:proofErr w:type="spellEnd"/>
      <w:r w:rsidRPr="00021F92">
        <w:rPr>
          <w:rFonts w:ascii="Times New Roman" w:hAnsi="Times New Roman"/>
        </w:rPr>
        <w:t xml:space="preserve"> (C, +57.021) at cysteine residues. Dynamic modifications were set for methionine oxidation (M, +15.995) and acetylation (+42.011) at the protein N-terminus. The precursor mass tolerance was set to 10 ppm and fragment mass tolerance to 0.6 Da. Default percolator settings in Proteome Discoverer were applied to filter peptide spectrum matches (PSMs) at a 0.01 false discovery rate. Reporter ion quantification was conducted with default settings in the consensus workflow. The protein file from Proteome Discoverer was then exported to .csv format for further processing. Normalized abundances from the protein file, after removal of contaminants and completely empty values, were used for statistical analysis. Differential expression analysis was performed using the </w:t>
      </w:r>
      <w:proofErr w:type="spellStart"/>
      <w:r w:rsidRPr="00021F92">
        <w:rPr>
          <w:rFonts w:ascii="Times New Roman" w:hAnsi="Times New Roman"/>
        </w:rPr>
        <w:t>limma</w:t>
      </w:r>
      <w:proofErr w:type="spellEnd"/>
      <w:r w:rsidRPr="00021F92">
        <w:rPr>
          <w:rFonts w:ascii="Times New Roman" w:hAnsi="Times New Roman"/>
        </w:rPr>
        <w:t xml:space="preserve"> package within </w:t>
      </w:r>
      <w:proofErr w:type="spellStart"/>
      <w:r w:rsidRPr="00021F92">
        <w:rPr>
          <w:rFonts w:ascii="Times New Roman" w:hAnsi="Times New Roman"/>
        </w:rPr>
        <w:t>NormalyzerDE</w:t>
      </w:r>
      <w:proofErr w:type="spellEnd"/>
      <w:r w:rsidRPr="00021F92">
        <w:rPr>
          <w:rFonts w:ascii="Times New Roman" w:hAnsi="Times New Roman"/>
        </w:rPr>
        <w:t xml:space="preserve"> in R Studio.</w:t>
      </w:r>
      <w:sdt>
        <w:sdtPr>
          <w:rPr>
            <w:rFonts w:ascii="Times New Roman" w:hAnsi="Times New Roman"/>
          </w:rPr>
          <w:alias w:val="To edit, see citavi.com/edit"/>
          <w:tag w:val="CitaviPlaceholder#fa6aebb0-11cd-49b6-9a60-ed3e95e9fb19"/>
          <w:id w:val="118964626"/>
          <w:placeholder>
            <w:docPart w:val="6656B929F0864D2C9646F1BBB650BE86"/>
          </w:placeholder>
        </w:sdtPr>
        <w:sdtContent>
          <w:r w:rsidRPr="00021F92">
            <w:rPr>
              <w:rFonts w:ascii="Times New Roman" w:hAnsi="Times New Roman"/>
            </w:rPr>
            <w:fldChar w:fldCharType="begin"/>
          </w:r>
          <w:r w:rsidRPr="00021F92">
            <w:rPr>
              <w:rFonts w:ascii="Times New Roman" w:hAnsi="Times New Roman"/>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YwZTI1ZWJkLTBhOTQtNDA0Zi05ZmNiLWEzMjFlZGFhOWE2YyIsIlJhbmdlTGVuZ3RoIjoxLCJSZWZlcmVuY2VJZCI6IjhhM2YzZjA0LTY3OWYtNGQzYi1iNTNjLWU2MWQ4ZmIwZjRhM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}</w:instrText>
          </w:r>
          <w:r w:rsidRPr="00021F92">
            <w:rPr>
              <w:rFonts w:ascii="Times New Roman" w:hAnsi="Times New Roman"/>
            </w:rPr>
            <w:fldChar w:fldCharType="separate"/>
          </w:r>
          <w:r w:rsidRPr="00021F92">
            <w:rPr>
              <w:rFonts w:ascii="Times New Roman" w:hAnsi="Times New Roman"/>
              <w:vertAlign w:val="superscript"/>
            </w:rPr>
            <w:t>2</w:t>
          </w:r>
          <w:r w:rsidRPr="00021F92">
            <w:rPr>
              <w:rFonts w:ascii="Times New Roman" w:hAnsi="Times New Roman"/>
            </w:rPr>
            <w:fldChar w:fldCharType="end"/>
          </w:r>
        </w:sdtContent>
      </w:sdt>
      <w:r w:rsidRPr="00021F92">
        <w:rPr>
          <w:rFonts w:ascii="Times New Roman" w:hAnsi="Times New Roman"/>
        </w:rPr>
        <w:t xml:space="preserve">. Gene annotation for protein accessions were collated using </w:t>
      </w:r>
      <w:proofErr w:type="spellStart"/>
      <w:r w:rsidRPr="00021F92">
        <w:rPr>
          <w:rFonts w:ascii="Times New Roman" w:hAnsi="Times New Roman"/>
        </w:rPr>
        <w:t>artMS</w:t>
      </w:r>
      <w:proofErr w:type="spellEnd"/>
      <w:r w:rsidRPr="00021F92">
        <w:rPr>
          <w:rFonts w:ascii="Times New Roman" w:hAnsi="Times New Roman"/>
        </w:rPr>
        <w:t xml:space="preserve"> package</w:t>
      </w:r>
      <w:sdt>
        <w:sdtPr>
          <w:rPr>
            <w:rFonts w:ascii="Times New Roman" w:hAnsi="Times New Roman"/>
          </w:rPr>
          <w:alias w:val="To edit, see citavi.com/edit"/>
          <w:tag w:val="CitaviPlaceholder#6cdf6f9c-3922-4f6f-b70b-4f2f5574615f"/>
          <w:id w:val="-685375682"/>
          <w:placeholder>
            <w:docPart w:val="6656B929F0864D2C9646F1BBB650BE86"/>
          </w:placeholder>
        </w:sdtPr>
        <w:sdtContent>
          <w:r w:rsidRPr="00021F92">
            <w:rPr>
              <w:rFonts w:ascii="Times New Roman" w:hAnsi="Times New Roman"/>
            </w:rPr>
            <w:fldChar w:fldCharType="begin"/>
          </w:r>
          <w:r w:rsidRPr="00021F92">
            <w:rPr>
              <w:rFonts w:ascii="Times New Roman" w:hAnsi="Times New Roman"/>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g2ZGMzMDcyLWEzYjAtNDFjNy1hYmE5LTZlZWQyNzg3NDUzNyIsIlJhbmdlTGVuZ3RoIjoxLCJSZWZlcmVuY2VJZCI6IjZiZmNlNjcxLTlkZDMtNDAxZS1hYzFmLWMyMjk4ZTRiYzU3N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}</w:instrText>
          </w:r>
          <w:r w:rsidRPr="00021F92">
            <w:rPr>
              <w:rFonts w:ascii="Times New Roman" w:hAnsi="Times New Roman"/>
            </w:rPr>
            <w:fldChar w:fldCharType="separate"/>
          </w:r>
          <w:r w:rsidRPr="00021F92">
            <w:rPr>
              <w:rFonts w:ascii="Times New Roman" w:hAnsi="Times New Roman"/>
              <w:vertAlign w:val="superscript"/>
            </w:rPr>
            <w:t>3</w:t>
          </w:r>
          <w:r w:rsidRPr="00021F92">
            <w:rPr>
              <w:rFonts w:ascii="Times New Roman" w:hAnsi="Times New Roman"/>
            </w:rPr>
            <w:fldChar w:fldCharType="end"/>
          </w:r>
        </w:sdtContent>
      </w:sdt>
      <w:r w:rsidRPr="00021F92">
        <w:rPr>
          <w:rFonts w:ascii="Times New Roman" w:hAnsi="Times New Roman"/>
        </w:rPr>
        <w:t>.</w:t>
      </w:r>
    </w:p>
    <w:p w14:paraId="796765A9" w14:textId="77777777" w:rsidR="003B1E6B" w:rsidRPr="00021F92" w:rsidRDefault="003B1E6B" w:rsidP="003B1E6B"/>
    <w:sdt>
      <w:sdtPr>
        <w:rPr>
          <w:rFonts w:ascii="Arial" w:eastAsia="Arial" w:hAnsi="Arial" w:cs="Times New Roman"/>
          <w:color w:val="auto"/>
          <w:sz w:val="24"/>
          <w:szCs w:val="24"/>
          <w:lang w:val="en-US"/>
        </w:rPr>
        <w:tag w:val="CitaviBibliography"/>
        <w:id w:val="-1185368231"/>
        <w:placeholder>
          <w:docPart w:val="6656B929F0864D2C9646F1BBB650BE86"/>
        </w:placeholder>
      </w:sdtPr>
      <w:sdtEndPr>
        <w:rPr>
          <w:rFonts w:ascii="Times New Roman" w:hAnsi="Times New Roman"/>
        </w:rPr>
      </w:sdtEndPr>
      <w:sdtContent>
        <w:p w14:paraId="0EB3F132" w14:textId="77777777" w:rsidR="003B1E6B" w:rsidRPr="003B1E6B" w:rsidRDefault="003B1E6B" w:rsidP="003B1E6B">
          <w:pPr>
            <w:pStyle w:val="CitaviBibliographyHeading"/>
            <w:rPr>
              <w:rFonts w:ascii="Times New Roman" w:hAnsi="Times New Roman" w:cs="Times New Roman"/>
              <w:b/>
              <w:color w:val="000000" w:themeColor="text1"/>
              <w:lang w:val="en-US"/>
            </w:rPr>
          </w:pPr>
          <w:r w:rsidRPr="003B1E6B">
            <w:rPr>
              <w:rFonts w:ascii="Times New Roman" w:hAnsi="Times New Roman" w:cs="Times New Roman"/>
              <w:lang w:val="en-US"/>
            </w:rPr>
            <w:fldChar w:fldCharType="begin"/>
          </w:r>
          <w:r w:rsidRPr="003B1E6B">
            <w:rPr>
              <w:rFonts w:ascii="Times New Roman" w:hAnsi="Times New Roman" w:cs="Times New Roman"/>
              <w:lang w:val="en-US"/>
            </w:rPr>
            <w:instrText>ADDIN CitaviBibliography</w:instrText>
          </w:r>
          <w:r w:rsidRPr="003B1E6B">
            <w:rPr>
              <w:rFonts w:ascii="Times New Roman" w:hAnsi="Times New Roman" w:cs="Times New Roman"/>
              <w:lang w:val="en-US"/>
            </w:rPr>
            <w:fldChar w:fldCharType="separate"/>
          </w:r>
          <w:r w:rsidRPr="003B1E6B">
            <w:rPr>
              <w:rFonts w:ascii="Times New Roman" w:hAnsi="Times New Roman" w:cs="Times New Roman"/>
              <w:b/>
              <w:color w:val="000000" w:themeColor="text1"/>
              <w:lang w:val="en-US"/>
            </w:rPr>
            <w:t>References</w:t>
          </w:r>
        </w:p>
        <w:p w14:paraId="2838B4C0" w14:textId="77777777" w:rsidR="003B1E6B" w:rsidRPr="003B1E6B" w:rsidRDefault="003B1E6B" w:rsidP="003B1E6B">
          <w:pPr>
            <w:pStyle w:val="CitaviBibliographyHeading"/>
            <w:rPr>
              <w:rFonts w:ascii="Times New Roman" w:hAnsi="Times New Roman" w:cs="Times New Roman"/>
              <w:b/>
              <w:color w:val="000000" w:themeColor="text1"/>
              <w:lang w:val="en-US"/>
            </w:rPr>
          </w:pPr>
        </w:p>
        <w:p w14:paraId="227AFC53" w14:textId="77777777" w:rsidR="003B1E6B" w:rsidRPr="003B1E6B" w:rsidRDefault="003B1E6B" w:rsidP="003B1E6B">
          <w:pPr>
            <w:pStyle w:val="CitaviBibliographyEntry"/>
            <w:rPr>
              <w:rFonts w:ascii="Times New Roman" w:hAnsi="Times New Roman"/>
              <w:lang w:val="en-US"/>
            </w:rPr>
          </w:pPr>
          <w:r w:rsidRPr="003B1E6B">
            <w:rPr>
              <w:rFonts w:ascii="Times New Roman" w:hAnsi="Times New Roman"/>
              <w:lang w:val="en-US"/>
            </w:rPr>
            <w:t>1.</w:t>
          </w:r>
          <w:r w:rsidRPr="003B1E6B">
            <w:rPr>
              <w:rFonts w:ascii="Times New Roman" w:hAnsi="Times New Roman"/>
              <w:lang w:val="en-US"/>
            </w:rPr>
            <w:tab/>
          </w:r>
          <w:bookmarkStart w:id="2" w:name="_CTVL001eb4e988157e04996ba1d7ab48e78c735"/>
          <w:r w:rsidRPr="003B1E6B">
            <w:rPr>
              <w:rFonts w:ascii="Times New Roman" w:hAnsi="Times New Roman"/>
              <w:lang w:val="en-US"/>
            </w:rPr>
            <w:t xml:space="preserve">McAlister GC, </w:t>
          </w:r>
          <w:proofErr w:type="spellStart"/>
          <w:r w:rsidRPr="003B1E6B">
            <w:rPr>
              <w:rFonts w:ascii="Times New Roman" w:hAnsi="Times New Roman"/>
              <w:lang w:val="en-US"/>
            </w:rPr>
            <w:t>Nusinow</w:t>
          </w:r>
          <w:proofErr w:type="spellEnd"/>
          <w:r w:rsidRPr="003B1E6B">
            <w:rPr>
              <w:rFonts w:ascii="Times New Roman" w:hAnsi="Times New Roman"/>
              <w:lang w:val="en-US"/>
            </w:rPr>
            <w:t xml:space="preserve"> DP, </w:t>
          </w:r>
          <w:proofErr w:type="spellStart"/>
          <w:r w:rsidRPr="003B1E6B">
            <w:rPr>
              <w:rFonts w:ascii="Times New Roman" w:hAnsi="Times New Roman"/>
              <w:lang w:val="en-US"/>
            </w:rPr>
            <w:t>Jedrychowski</w:t>
          </w:r>
          <w:proofErr w:type="spellEnd"/>
          <w:r w:rsidRPr="003B1E6B">
            <w:rPr>
              <w:rFonts w:ascii="Times New Roman" w:hAnsi="Times New Roman"/>
              <w:lang w:val="en-US"/>
            </w:rPr>
            <w:t xml:space="preserve"> MP, et al. </w:t>
          </w:r>
          <w:proofErr w:type="spellStart"/>
          <w:r w:rsidRPr="003B1E6B">
            <w:rPr>
              <w:rFonts w:ascii="Times New Roman" w:hAnsi="Times New Roman"/>
              <w:lang w:val="en-US"/>
            </w:rPr>
            <w:t>MultiNotch</w:t>
          </w:r>
          <w:proofErr w:type="spellEnd"/>
          <w:r w:rsidRPr="003B1E6B">
            <w:rPr>
              <w:rFonts w:ascii="Times New Roman" w:hAnsi="Times New Roman"/>
              <w:lang w:val="en-US"/>
            </w:rPr>
            <w:t xml:space="preserve"> MS3 enables accurate, sensitive, and multiplexed detection of differential expression across cancer cell line proteomes.</w:t>
          </w:r>
          <w:bookmarkEnd w:id="2"/>
          <w:r w:rsidRPr="003B1E6B">
            <w:rPr>
              <w:rFonts w:ascii="Times New Roman" w:hAnsi="Times New Roman"/>
              <w:lang w:val="en-US"/>
            </w:rPr>
            <w:t xml:space="preserve"> </w:t>
          </w:r>
          <w:r w:rsidRPr="003B1E6B">
            <w:rPr>
              <w:rFonts w:ascii="Times New Roman" w:hAnsi="Times New Roman"/>
              <w:i/>
              <w:lang w:val="en-US"/>
            </w:rPr>
            <w:t>Anal Chem</w:t>
          </w:r>
          <w:r w:rsidRPr="003B1E6B">
            <w:rPr>
              <w:rFonts w:ascii="Times New Roman" w:hAnsi="Times New Roman"/>
              <w:lang w:val="en-US"/>
            </w:rPr>
            <w:t>. 2014;86(14):7150-7158. doi:10.1021/ac502040v</w:t>
          </w:r>
        </w:p>
        <w:p w14:paraId="632EB612" w14:textId="77777777" w:rsidR="003B1E6B" w:rsidRPr="003B1E6B" w:rsidRDefault="003B1E6B" w:rsidP="003B1E6B">
          <w:pPr>
            <w:pStyle w:val="CitaviBibliographyEntry"/>
            <w:rPr>
              <w:rFonts w:ascii="Times New Roman" w:hAnsi="Times New Roman"/>
              <w:lang w:val="en-US"/>
            </w:rPr>
          </w:pPr>
          <w:r w:rsidRPr="003B1E6B">
            <w:rPr>
              <w:rFonts w:ascii="Times New Roman" w:hAnsi="Times New Roman"/>
              <w:lang w:val="en-US"/>
            </w:rPr>
            <w:t>2.</w:t>
          </w:r>
          <w:r w:rsidRPr="003B1E6B">
            <w:rPr>
              <w:rFonts w:ascii="Times New Roman" w:hAnsi="Times New Roman"/>
              <w:lang w:val="en-US"/>
            </w:rPr>
            <w:tab/>
          </w:r>
          <w:bookmarkStart w:id="3" w:name="_CTVL0018a3f3f04679f4d3bb53ce61d8fb0f4a2"/>
          <w:proofErr w:type="spellStart"/>
          <w:r w:rsidRPr="003B1E6B">
            <w:rPr>
              <w:rFonts w:ascii="Times New Roman" w:hAnsi="Times New Roman"/>
              <w:lang w:val="en-US"/>
            </w:rPr>
            <w:t>Willforss</w:t>
          </w:r>
          <w:proofErr w:type="spellEnd"/>
          <w:r w:rsidRPr="003B1E6B">
            <w:rPr>
              <w:rFonts w:ascii="Times New Roman" w:hAnsi="Times New Roman"/>
              <w:lang w:val="en-US"/>
            </w:rPr>
            <w:t xml:space="preserve"> J, </w:t>
          </w:r>
          <w:proofErr w:type="spellStart"/>
          <w:r w:rsidRPr="003B1E6B">
            <w:rPr>
              <w:rFonts w:ascii="Times New Roman" w:hAnsi="Times New Roman"/>
              <w:lang w:val="en-US"/>
            </w:rPr>
            <w:t>Chawade</w:t>
          </w:r>
          <w:proofErr w:type="spellEnd"/>
          <w:r w:rsidRPr="003B1E6B">
            <w:rPr>
              <w:rFonts w:ascii="Times New Roman" w:hAnsi="Times New Roman"/>
              <w:lang w:val="en-US"/>
            </w:rPr>
            <w:t xml:space="preserve"> A, Levander F. </w:t>
          </w:r>
          <w:proofErr w:type="spellStart"/>
          <w:r w:rsidRPr="003B1E6B">
            <w:rPr>
              <w:rFonts w:ascii="Times New Roman" w:hAnsi="Times New Roman"/>
              <w:lang w:val="en-US"/>
            </w:rPr>
            <w:t>NormalyzerDE</w:t>
          </w:r>
          <w:proofErr w:type="spellEnd"/>
          <w:r w:rsidRPr="003B1E6B">
            <w:rPr>
              <w:rFonts w:ascii="Times New Roman" w:hAnsi="Times New Roman"/>
              <w:lang w:val="en-US"/>
            </w:rPr>
            <w:t>: Online Tool for Improved Normalization of Omics Expression Data and High-Sensitivity Differential Expression Analysis.</w:t>
          </w:r>
          <w:bookmarkEnd w:id="3"/>
          <w:r w:rsidRPr="003B1E6B">
            <w:rPr>
              <w:rFonts w:ascii="Times New Roman" w:hAnsi="Times New Roman"/>
              <w:lang w:val="en-US"/>
            </w:rPr>
            <w:t xml:space="preserve"> </w:t>
          </w:r>
          <w:r w:rsidRPr="003B1E6B">
            <w:rPr>
              <w:rFonts w:ascii="Times New Roman" w:hAnsi="Times New Roman"/>
              <w:i/>
              <w:lang w:val="en-US"/>
            </w:rPr>
            <w:t>Journal of Proteome Research</w:t>
          </w:r>
          <w:r w:rsidRPr="003B1E6B">
            <w:rPr>
              <w:rFonts w:ascii="Times New Roman" w:hAnsi="Times New Roman"/>
              <w:lang w:val="en-US"/>
            </w:rPr>
            <w:t xml:space="preserve">. 2019;18(2):732-740. </w:t>
          </w:r>
          <w:proofErr w:type="gramStart"/>
          <w:r w:rsidRPr="003B1E6B">
            <w:rPr>
              <w:rFonts w:ascii="Times New Roman" w:hAnsi="Times New Roman"/>
              <w:lang w:val="en-US"/>
            </w:rPr>
            <w:t>doi:10.1021/acs.jproteome</w:t>
          </w:r>
          <w:proofErr w:type="gramEnd"/>
          <w:r w:rsidRPr="003B1E6B">
            <w:rPr>
              <w:rFonts w:ascii="Times New Roman" w:hAnsi="Times New Roman"/>
              <w:lang w:val="en-US"/>
            </w:rPr>
            <w:t>.8b00523</w:t>
          </w:r>
        </w:p>
        <w:p w14:paraId="120BBA0B" w14:textId="77777777" w:rsidR="003B1E6B" w:rsidRPr="003B1E6B" w:rsidRDefault="003B1E6B" w:rsidP="003B1E6B">
          <w:pPr>
            <w:pStyle w:val="CitaviBibliographyEntry"/>
            <w:rPr>
              <w:rFonts w:ascii="Times New Roman" w:hAnsi="Times New Roman"/>
              <w:lang w:val="en-US"/>
            </w:rPr>
          </w:pPr>
          <w:r w:rsidRPr="003B1E6B">
            <w:rPr>
              <w:rFonts w:ascii="Times New Roman" w:hAnsi="Times New Roman"/>
              <w:lang w:val="en-US"/>
            </w:rPr>
            <w:t>3.</w:t>
          </w:r>
          <w:r w:rsidRPr="003B1E6B">
            <w:rPr>
              <w:rFonts w:ascii="Times New Roman" w:hAnsi="Times New Roman"/>
              <w:lang w:val="en-US"/>
            </w:rPr>
            <w:tab/>
          </w:r>
          <w:bookmarkStart w:id="4" w:name="_CTVL0016bfce6719dd3401eac1fc2298e4bc575"/>
          <w:proofErr w:type="spellStart"/>
          <w:r w:rsidRPr="003B1E6B">
            <w:rPr>
              <w:rFonts w:ascii="Times New Roman" w:hAnsi="Times New Roman"/>
              <w:i/>
              <w:lang w:val="en-US"/>
            </w:rPr>
            <w:t>ArtMS</w:t>
          </w:r>
          <w:proofErr w:type="spellEnd"/>
          <w:r w:rsidRPr="003B1E6B">
            <w:rPr>
              <w:rFonts w:ascii="Times New Roman" w:hAnsi="Times New Roman"/>
              <w:i/>
              <w:lang w:val="en-US"/>
            </w:rPr>
            <w:t>.</w:t>
          </w:r>
          <w:bookmarkEnd w:id="4"/>
          <w:r w:rsidRPr="003B1E6B">
            <w:rPr>
              <w:rFonts w:ascii="Times New Roman" w:hAnsi="Times New Roman"/>
              <w:i/>
              <w:lang w:val="en-US"/>
            </w:rPr>
            <w:t xml:space="preserve"> </w:t>
          </w:r>
          <w:r w:rsidRPr="003B1E6B">
            <w:rPr>
              <w:rFonts w:ascii="Times New Roman" w:hAnsi="Times New Roman"/>
              <w:lang w:val="en-US"/>
            </w:rPr>
            <w:t>Bioconductor; 2018. https://bioconductor.org/packages/artMS.</w:t>
          </w:r>
          <w:r w:rsidRPr="003B1E6B">
            <w:rPr>
              <w:rFonts w:ascii="Times New Roman" w:hAnsi="Times New Roman"/>
              <w:lang w:val="en-US"/>
            </w:rPr>
            <w:fldChar w:fldCharType="end"/>
          </w:r>
        </w:p>
      </w:sdtContent>
    </w:sdt>
    <w:p w14:paraId="66ECE1E1" w14:textId="77777777" w:rsidR="003B1E6B" w:rsidRPr="003B1E6B" w:rsidRDefault="003B1E6B" w:rsidP="003B1E6B">
      <w:pPr>
        <w:rPr>
          <w:rFonts w:ascii="Times New Roman" w:hAnsi="Times New Roman"/>
        </w:rPr>
      </w:pPr>
    </w:p>
    <w:p w14:paraId="03626C07" w14:textId="77777777" w:rsidR="00511065" w:rsidRPr="00EA45E0" w:rsidRDefault="00511065"/>
    <w:sectPr w:rsidR="00511065" w:rsidRPr="00EA45E0" w:rsidSect="009A3001">
      <w:headerReference w:type="even" r:id="rId11"/>
      <w:headerReference w:type="default" r:id="rId12"/>
      <w:footerReference w:type="even" r:id="rId13"/>
      <w:footerReference w:type="default" r:id="rId14"/>
      <w:headerReference w:type="first" r:id="rId15"/>
      <w:footerReference w:type="first" r:id="rId16"/>
      <w:pgSz w:w="11906" w:h="16838" w:code="9"/>
      <w:pgMar w:top="1418"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74445D" w14:textId="77777777" w:rsidR="00E449A9" w:rsidRDefault="00E449A9">
      <w:r>
        <w:separator/>
      </w:r>
    </w:p>
  </w:endnote>
  <w:endnote w:type="continuationSeparator" w:id="0">
    <w:p w14:paraId="1C32B245" w14:textId="77777777" w:rsidR="00E449A9" w:rsidRDefault="00E449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B61853" w14:textId="77777777" w:rsidR="007C7881" w:rsidRPr="0008060E" w:rsidRDefault="007C7881">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C052B8" w14:textId="77777777" w:rsidR="007C7881" w:rsidRPr="0008060E" w:rsidRDefault="007C7881">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A5B727" w14:textId="77777777" w:rsidR="007C7881" w:rsidRPr="0008060E" w:rsidRDefault="007C7881">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BBBD38" w14:textId="77777777" w:rsidR="00E449A9" w:rsidRDefault="00E449A9">
      <w:r>
        <w:separator/>
      </w:r>
    </w:p>
  </w:footnote>
  <w:footnote w:type="continuationSeparator" w:id="0">
    <w:p w14:paraId="427226FD" w14:textId="77777777" w:rsidR="00E449A9" w:rsidRDefault="00E449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2706C6" w14:textId="77777777" w:rsidR="007C7881" w:rsidRPr="0008060E" w:rsidRDefault="007C7881">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1C8FE6" w14:textId="77777777" w:rsidR="007C7881" w:rsidRPr="0008060E" w:rsidRDefault="00653C74" w:rsidP="003B19E9">
    <w:pPr>
      <w:pStyle w:val="Kopfzeile"/>
      <w:jc w:val="right"/>
    </w:pPr>
    <w:r>
      <w:t>Lorenz</w:t>
    </w:r>
    <w:r w:rsidRPr="0008060E">
      <w:t xml:space="preserve"> et al.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18DAE9" w14:textId="77777777" w:rsidR="007C7881" w:rsidRPr="0008060E" w:rsidRDefault="007C7881">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3C74"/>
    <w:rsid w:val="00015864"/>
    <w:rsid w:val="001C5719"/>
    <w:rsid w:val="00365A67"/>
    <w:rsid w:val="003B1E6B"/>
    <w:rsid w:val="004559FB"/>
    <w:rsid w:val="00511065"/>
    <w:rsid w:val="00653C74"/>
    <w:rsid w:val="006A4CC7"/>
    <w:rsid w:val="0071696C"/>
    <w:rsid w:val="00780970"/>
    <w:rsid w:val="007C7881"/>
    <w:rsid w:val="007D0472"/>
    <w:rsid w:val="007D3822"/>
    <w:rsid w:val="00AE25C6"/>
    <w:rsid w:val="00AF3D9D"/>
    <w:rsid w:val="00B73BE4"/>
    <w:rsid w:val="00C645F1"/>
    <w:rsid w:val="00E20DA3"/>
    <w:rsid w:val="00E449A9"/>
    <w:rsid w:val="00EA45E0"/>
    <w:rsid w:val="00FA7F03"/>
    <w:rsid w:val="00FF258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31B22E"/>
  <w15:chartTrackingRefBased/>
  <w15:docId w15:val="{6E75B812-940E-4DA3-8DAD-F6DC2D588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653C74"/>
    <w:pPr>
      <w:spacing w:after="0" w:line="240" w:lineRule="auto"/>
    </w:pPr>
    <w:rPr>
      <w:rFonts w:ascii="Arial" w:eastAsia="Arial" w:hAnsi="Arial" w:cs="Times New Roman"/>
      <w:sz w:val="24"/>
      <w:szCs w:val="24"/>
      <w:lang w:val="en-US"/>
    </w:rPr>
  </w:style>
  <w:style w:type="paragraph" w:styleId="berschrift1">
    <w:name w:val="heading 1"/>
    <w:basedOn w:val="Standard"/>
    <w:next w:val="Standard"/>
    <w:link w:val="berschrift1Zchn"/>
    <w:uiPriority w:val="9"/>
    <w:qFormat/>
    <w:rsid w:val="003B1E6B"/>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rsid w:val="00653C74"/>
    <w:pPr>
      <w:tabs>
        <w:tab w:val="center" w:pos="4536"/>
        <w:tab w:val="right" w:pos="9072"/>
      </w:tabs>
    </w:pPr>
  </w:style>
  <w:style w:type="character" w:customStyle="1" w:styleId="KopfzeileZchn">
    <w:name w:val="Kopfzeile Zchn"/>
    <w:basedOn w:val="Absatz-Standardschriftart"/>
    <w:link w:val="Kopfzeile"/>
    <w:uiPriority w:val="99"/>
    <w:rsid w:val="00653C74"/>
    <w:rPr>
      <w:rFonts w:ascii="Arial" w:eastAsia="Arial" w:hAnsi="Arial" w:cs="Times New Roman"/>
      <w:sz w:val="24"/>
      <w:szCs w:val="24"/>
      <w:lang w:val="en-US"/>
    </w:rPr>
  </w:style>
  <w:style w:type="paragraph" w:styleId="Fuzeile">
    <w:name w:val="footer"/>
    <w:basedOn w:val="Standard"/>
    <w:link w:val="FuzeileZchn"/>
    <w:uiPriority w:val="99"/>
    <w:rsid w:val="00653C74"/>
    <w:pPr>
      <w:tabs>
        <w:tab w:val="center" w:pos="4536"/>
        <w:tab w:val="right" w:pos="9072"/>
      </w:tabs>
    </w:pPr>
  </w:style>
  <w:style w:type="character" w:customStyle="1" w:styleId="FuzeileZchn">
    <w:name w:val="Fußzeile Zchn"/>
    <w:basedOn w:val="Absatz-Standardschriftart"/>
    <w:link w:val="Fuzeile"/>
    <w:uiPriority w:val="99"/>
    <w:rsid w:val="00653C74"/>
    <w:rPr>
      <w:rFonts w:ascii="Arial" w:eastAsia="Arial" w:hAnsi="Arial" w:cs="Times New Roman"/>
      <w:sz w:val="24"/>
      <w:szCs w:val="24"/>
      <w:lang w:val="en-US"/>
    </w:rPr>
  </w:style>
  <w:style w:type="character" w:styleId="Kommentarzeichen">
    <w:name w:val="annotation reference"/>
    <w:basedOn w:val="Absatz-Standardschriftart"/>
    <w:uiPriority w:val="99"/>
    <w:semiHidden/>
    <w:rsid w:val="00653C74"/>
    <w:rPr>
      <w:rFonts w:cs="Times New Roman"/>
      <w:sz w:val="16"/>
    </w:rPr>
  </w:style>
  <w:style w:type="paragraph" w:styleId="Kommentartext">
    <w:name w:val="annotation text"/>
    <w:basedOn w:val="Standard"/>
    <w:link w:val="KommentartextZchn"/>
    <w:uiPriority w:val="99"/>
    <w:semiHidden/>
    <w:rsid w:val="00653C74"/>
    <w:rPr>
      <w:sz w:val="20"/>
      <w:szCs w:val="20"/>
    </w:rPr>
  </w:style>
  <w:style w:type="character" w:customStyle="1" w:styleId="KommentartextZchn">
    <w:name w:val="Kommentartext Zchn"/>
    <w:basedOn w:val="Absatz-Standardschriftart"/>
    <w:link w:val="Kommentartext"/>
    <w:uiPriority w:val="99"/>
    <w:semiHidden/>
    <w:rsid w:val="00653C74"/>
    <w:rPr>
      <w:rFonts w:ascii="Arial" w:eastAsia="Arial" w:hAnsi="Arial" w:cs="Times New Roman"/>
      <w:sz w:val="20"/>
      <w:szCs w:val="20"/>
      <w:lang w:val="en-US"/>
    </w:rPr>
  </w:style>
  <w:style w:type="table" w:styleId="Tabellenraster">
    <w:name w:val="Table Grid"/>
    <w:basedOn w:val="NormaleTabelle"/>
    <w:uiPriority w:val="39"/>
    <w:rsid w:val="00653C74"/>
    <w:pPr>
      <w:spacing w:after="0" w:line="240" w:lineRule="auto"/>
    </w:pPr>
    <w:rPr>
      <w:rFonts w:ascii="Arial" w:eastAsia="Arial" w:hAnsi="Arial"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653C74"/>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653C74"/>
    <w:rPr>
      <w:rFonts w:ascii="Segoe UI" w:eastAsia="Arial" w:hAnsi="Segoe UI" w:cs="Segoe UI"/>
      <w:sz w:val="18"/>
      <w:szCs w:val="18"/>
      <w:lang w:val="en-US"/>
    </w:rPr>
  </w:style>
  <w:style w:type="paragraph" w:customStyle="1" w:styleId="CitaviBibliographyEntry">
    <w:name w:val="Citavi Bibliography Entry"/>
    <w:basedOn w:val="Standard"/>
    <w:link w:val="CitaviBibliographyEntryZchn"/>
    <w:uiPriority w:val="99"/>
    <w:rsid w:val="003B1E6B"/>
    <w:pPr>
      <w:tabs>
        <w:tab w:val="left" w:pos="340"/>
      </w:tabs>
      <w:ind w:left="340" w:hanging="340"/>
    </w:pPr>
    <w:rPr>
      <w:lang w:val="en-GB"/>
    </w:rPr>
  </w:style>
  <w:style w:type="character" w:customStyle="1" w:styleId="CitaviBibliographyEntryZchn">
    <w:name w:val="Citavi Bibliography Entry Zchn"/>
    <w:basedOn w:val="Absatz-Standardschriftart"/>
    <w:link w:val="CitaviBibliographyEntry"/>
    <w:uiPriority w:val="99"/>
    <w:rsid w:val="003B1E6B"/>
    <w:rPr>
      <w:rFonts w:ascii="Arial" w:eastAsia="Arial" w:hAnsi="Arial" w:cs="Times New Roman"/>
      <w:sz w:val="24"/>
      <w:szCs w:val="24"/>
      <w:lang w:val="en-GB"/>
    </w:rPr>
  </w:style>
  <w:style w:type="paragraph" w:customStyle="1" w:styleId="CitaviBibliographyHeading">
    <w:name w:val="Citavi Bibliography Heading"/>
    <w:basedOn w:val="berschrift1"/>
    <w:link w:val="CitaviBibliographyHeadingZchn"/>
    <w:uiPriority w:val="99"/>
    <w:rsid w:val="003B1E6B"/>
    <w:rPr>
      <w:lang w:val="en-GB"/>
    </w:rPr>
  </w:style>
  <w:style w:type="character" w:customStyle="1" w:styleId="CitaviBibliographyHeadingZchn">
    <w:name w:val="Citavi Bibliography Heading Zchn"/>
    <w:basedOn w:val="Absatz-Standardschriftart"/>
    <w:link w:val="CitaviBibliographyHeading"/>
    <w:uiPriority w:val="99"/>
    <w:rsid w:val="003B1E6B"/>
    <w:rPr>
      <w:rFonts w:asciiTheme="majorHAnsi" w:eastAsiaTheme="majorEastAsia" w:hAnsiTheme="majorHAnsi" w:cstheme="majorBidi"/>
      <w:color w:val="2F5496" w:themeColor="accent1" w:themeShade="BF"/>
      <w:sz w:val="32"/>
      <w:szCs w:val="32"/>
      <w:lang w:val="en-GB"/>
    </w:rPr>
  </w:style>
  <w:style w:type="character" w:customStyle="1" w:styleId="berschrift1Zchn">
    <w:name w:val="Überschrift 1 Zchn"/>
    <w:basedOn w:val="Absatz-Standardschriftart"/>
    <w:link w:val="berschrift1"/>
    <w:uiPriority w:val="9"/>
    <w:rsid w:val="003B1E6B"/>
    <w:rPr>
      <w:rFonts w:asciiTheme="majorHAnsi" w:eastAsiaTheme="majorEastAsia" w:hAnsiTheme="majorHAnsi" w:cstheme="majorBidi"/>
      <w:color w:val="2F5496" w:themeColor="accent1" w:themeShade="BF"/>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30116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3.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eader" Target="header1.xml"/><Relationship Id="rId5" Type="http://schemas.openxmlformats.org/officeDocument/2006/relationships/endnotes" Target="endnotes.xml"/><Relationship Id="rId15" Type="http://schemas.openxmlformats.org/officeDocument/2006/relationships/header" Target="header3.xml"/><Relationship Id="rId10" Type="http://schemas.openxmlformats.org/officeDocument/2006/relationships/image" Target="media/image5.jpeg"/><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656B929F0864D2C9646F1BBB650BE86"/>
        <w:category>
          <w:name w:val="Allgemein"/>
          <w:gallery w:val="placeholder"/>
        </w:category>
        <w:types>
          <w:type w:val="bbPlcHdr"/>
        </w:types>
        <w:behaviors>
          <w:behavior w:val="content"/>
        </w:behaviors>
        <w:guid w:val="{8E1C55B0-2FD0-4367-91AF-B4C57798C763}"/>
      </w:docPartPr>
      <w:docPartBody>
        <w:p w:rsidR="00000000" w:rsidRDefault="00C47DB2" w:rsidP="00C47DB2">
          <w:pPr>
            <w:pStyle w:val="6656B929F0864D2C9646F1BBB650BE86"/>
          </w:pPr>
          <w:r w:rsidRPr="00325079">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7DB2"/>
    <w:rsid w:val="00C47DB2"/>
    <w:rsid w:val="00ED3EF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C47DB2"/>
    <w:rPr>
      <w:color w:val="666666"/>
    </w:rPr>
  </w:style>
  <w:style w:type="paragraph" w:customStyle="1" w:styleId="6656B929F0864D2C9646F1BBB650BE86">
    <w:name w:val="6656B929F0864D2C9646F1BBB650BE86"/>
    <w:rsid w:val="00C47DB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3322</Words>
  <Characters>20933</Characters>
  <Application>Microsoft Office Word</Application>
  <DocSecurity>0</DocSecurity>
  <Lines>174</Lines>
  <Paragraphs>48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mronelle</dc:creator>
  <cp:keywords/>
  <dc:description/>
  <cp:lastModifiedBy>mronelle</cp:lastModifiedBy>
  <cp:revision>5</cp:revision>
  <dcterms:created xsi:type="dcterms:W3CDTF">2024-12-27T13:48:00Z</dcterms:created>
  <dcterms:modified xsi:type="dcterms:W3CDTF">2024-12-27T14:07:00Z</dcterms:modified>
</cp:coreProperties>
</file>