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36B3D" w14:textId="1A619DBE" w:rsidR="00292187" w:rsidRDefault="00292187" w:rsidP="00292187">
      <w:pPr>
        <w:spacing w:line="360" w:lineRule="auto"/>
        <w:rPr>
          <w:b/>
          <w:sz w:val="32"/>
        </w:rPr>
      </w:pPr>
      <w:r w:rsidRPr="00292187">
        <w:rPr>
          <w:b/>
          <w:noProof/>
          <w:sz w:val="32"/>
        </w:rPr>
        <w:drawing>
          <wp:inline distT="0" distB="0" distL="0" distR="0" wp14:anchorId="709B3101" wp14:editId="3E6D4922">
            <wp:extent cx="5765800" cy="1868022"/>
            <wp:effectExtent l="0" t="0" r="6350" b="0"/>
            <wp:docPr id="2" name="图片 2" descr="C:\Users\sure\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re\Desktop\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669" t="15838" r="5487" b="34718"/>
                    <a:stretch/>
                  </pic:blipFill>
                  <pic:spPr bwMode="auto">
                    <a:xfrm>
                      <a:off x="0" y="0"/>
                      <a:ext cx="5773898" cy="1870646"/>
                    </a:xfrm>
                    <a:prstGeom prst="rect">
                      <a:avLst/>
                    </a:prstGeom>
                    <a:noFill/>
                    <a:ln>
                      <a:noFill/>
                    </a:ln>
                    <a:extLst>
                      <a:ext uri="{53640926-AAD7-44D8-BBD7-CCE9431645EC}">
                        <a14:shadowObscured xmlns:a14="http://schemas.microsoft.com/office/drawing/2010/main"/>
                      </a:ext>
                    </a:extLst>
                  </pic:spPr>
                </pic:pic>
              </a:graphicData>
            </a:graphic>
          </wp:inline>
        </w:drawing>
      </w:r>
    </w:p>
    <w:p w14:paraId="19C35016" w14:textId="15B32257" w:rsidR="0098210E" w:rsidRDefault="0098210E" w:rsidP="0098210E">
      <w:pPr>
        <w:spacing w:line="360" w:lineRule="auto"/>
        <w:ind w:firstLineChars="200" w:firstLine="482"/>
        <w:rPr>
          <w:sz w:val="24"/>
        </w:rPr>
      </w:pPr>
      <w:r w:rsidRPr="00880D09">
        <w:rPr>
          <w:b/>
          <w:sz w:val="24"/>
        </w:rPr>
        <w:t>Figure S1.</w:t>
      </w:r>
      <w:r w:rsidR="00F53D7D" w:rsidRPr="00880D09">
        <w:rPr>
          <w:b/>
          <w:sz w:val="24"/>
        </w:rPr>
        <w:t xml:space="preserve"> </w:t>
      </w:r>
      <w:r w:rsidR="00F53D7D">
        <w:rPr>
          <w:sz w:val="24"/>
        </w:rPr>
        <w:t>The e</w:t>
      </w:r>
      <w:r w:rsidR="00535244" w:rsidRPr="00535244">
        <w:rPr>
          <w:sz w:val="24"/>
        </w:rPr>
        <w:t>ffects of ADV</w:t>
      </w:r>
      <w:r w:rsidR="00535244">
        <w:rPr>
          <w:sz w:val="24"/>
          <w:vertAlign w:val="superscript"/>
        </w:rPr>
        <w:t>Ctrl</w:t>
      </w:r>
      <w:r w:rsidR="00535244">
        <w:rPr>
          <w:sz w:val="24"/>
        </w:rPr>
        <w:t xml:space="preserve"> </w:t>
      </w:r>
      <w:r w:rsidR="00535244" w:rsidRPr="00535244">
        <w:rPr>
          <w:sz w:val="24"/>
        </w:rPr>
        <w:t xml:space="preserve">and </w:t>
      </w:r>
      <w:r w:rsidR="00535244">
        <w:rPr>
          <w:sz w:val="24"/>
        </w:rPr>
        <w:t>r</w:t>
      </w:r>
      <w:r w:rsidR="00535244" w:rsidRPr="00535244">
        <w:rPr>
          <w:sz w:val="24"/>
        </w:rPr>
        <w:t xml:space="preserve">ecombinant </w:t>
      </w:r>
      <w:r w:rsidR="00535244">
        <w:rPr>
          <w:sz w:val="24"/>
        </w:rPr>
        <w:t>v</w:t>
      </w:r>
      <w:r w:rsidR="00535244" w:rsidRPr="00535244">
        <w:rPr>
          <w:sz w:val="24"/>
        </w:rPr>
        <w:t xml:space="preserve">irus on HEK-293T </w:t>
      </w:r>
      <w:r w:rsidR="00535244">
        <w:rPr>
          <w:sz w:val="24"/>
        </w:rPr>
        <w:t>c</w:t>
      </w:r>
      <w:r w:rsidR="00535244" w:rsidRPr="00535244">
        <w:rPr>
          <w:sz w:val="24"/>
        </w:rPr>
        <w:t>ells</w:t>
      </w:r>
      <w:r w:rsidR="00535244">
        <w:rPr>
          <w:sz w:val="24"/>
        </w:rPr>
        <w:t xml:space="preserve">. </w:t>
      </w:r>
      <w:r w:rsidR="00535244" w:rsidRPr="008425EE">
        <w:rPr>
          <w:sz w:val="24"/>
        </w:rPr>
        <w:t xml:space="preserve">Related to </w:t>
      </w:r>
      <w:r w:rsidR="00535244" w:rsidRPr="001D638C">
        <w:rPr>
          <w:sz w:val="24"/>
        </w:rPr>
        <w:t xml:space="preserve">Figure </w:t>
      </w:r>
      <w:r w:rsidR="00535244">
        <w:rPr>
          <w:sz w:val="24"/>
        </w:rPr>
        <w:t>2.</w:t>
      </w:r>
    </w:p>
    <w:p w14:paraId="121A5A3C" w14:textId="3F8CDB3C" w:rsidR="0098210E" w:rsidRPr="001D638C" w:rsidRDefault="0098210E" w:rsidP="0098210E">
      <w:pPr>
        <w:spacing w:line="360" w:lineRule="auto"/>
        <w:ind w:firstLineChars="200" w:firstLine="480"/>
        <w:rPr>
          <w:sz w:val="24"/>
        </w:rPr>
      </w:pPr>
      <w:r w:rsidRPr="001D638C">
        <w:rPr>
          <w:sz w:val="24"/>
        </w:rPr>
        <w:t>(</w:t>
      </w:r>
      <w:r>
        <w:rPr>
          <w:sz w:val="24"/>
        </w:rPr>
        <w:t>A</w:t>
      </w:r>
      <w:r w:rsidRPr="001D638C">
        <w:rPr>
          <w:sz w:val="24"/>
        </w:rPr>
        <w:t xml:space="preserve">) To evaluate the oncolytic </w:t>
      </w:r>
      <w:r>
        <w:rPr>
          <w:sz w:val="24"/>
        </w:rPr>
        <w:t>activity</w:t>
      </w:r>
      <w:r w:rsidRPr="001D638C">
        <w:rPr>
          <w:sz w:val="24"/>
        </w:rPr>
        <w:t xml:space="preserve"> of the recombinant </w:t>
      </w:r>
      <w:r>
        <w:rPr>
          <w:sz w:val="24"/>
        </w:rPr>
        <w:t>ADVs</w:t>
      </w:r>
      <w:r w:rsidRPr="001D638C">
        <w:rPr>
          <w:sz w:val="24"/>
        </w:rPr>
        <w:t>, HEK-293T cells were infected with ADV</w:t>
      </w:r>
      <w:r w:rsidRPr="001D638C">
        <w:rPr>
          <w:sz w:val="24"/>
          <w:vertAlign w:val="superscript"/>
        </w:rPr>
        <w:t>Ctrl</w:t>
      </w:r>
      <w:r w:rsidRPr="001D638C">
        <w:rPr>
          <w:sz w:val="24"/>
        </w:rPr>
        <w:t>, ADV</w:t>
      </w:r>
      <w:r w:rsidRPr="001D638C">
        <w:rPr>
          <w:sz w:val="24"/>
          <w:vertAlign w:val="superscript"/>
        </w:rPr>
        <w:t>NE</w:t>
      </w:r>
      <w:r w:rsidRPr="001D638C">
        <w:rPr>
          <w:sz w:val="24"/>
        </w:rPr>
        <w:t>, or ADV</w:t>
      </w:r>
      <w:r w:rsidRPr="001D638C">
        <w:rPr>
          <w:sz w:val="24"/>
          <w:vertAlign w:val="superscript"/>
        </w:rPr>
        <w:t>PPE</w:t>
      </w:r>
      <w:r w:rsidRPr="001D638C">
        <w:rPr>
          <w:sz w:val="24"/>
        </w:rPr>
        <w:t xml:space="preserve"> at different </w:t>
      </w:r>
      <w:r>
        <w:rPr>
          <w:sz w:val="24"/>
        </w:rPr>
        <w:t>multiplicities of infection (</w:t>
      </w:r>
      <w:r w:rsidRPr="001D638C">
        <w:rPr>
          <w:sz w:val="24"/>
        </w:rPr>
        <w:t>MOIs</w:t>
      </w:r>
      <w:r>
        <w:rPr>
          <w:sz w:val="24"/>
        </w:rPr>
        <w:t>)</w:t>
      </w:r>
      <w:r w:rsidRPr="001D638C">
        <w:rPr>
          <w:sz w:val="24"/>
        </w:rPr>
        <w:t>. Cytotoxicity was assessed 48 hours po</w:t>
      </w:r>
      <w:r>
        <w:rPr>
          <w:sz w:val="24"/>
        </w:rPr>
        <w:t xml:space="preserve">st infection via a CCK-8 assay </w:t>
      </w:r>
      <w:r w:rsidRPr="001D638C">
        <w:rPr>
          <w:sz w:val="24"/>
        </w:rPr>
        <w:t>(n = 3 biological replicates).</w:t>
      </w:r>
    </w:p>
    <w:p w14:paraId="18046B11" w14:textId="669E6152" w:rsidR="0098210E" w:rsidRPr="001D638C" w:rsidRDefault="0098210E" w:rsidP="0098210E">
      <w:pPr>
        <w:spacing w:line="360" w:lineRule="auto"/>
        <w:ind w:firstLineChars="200" w:firstLine="480"/>
        <w:rPr>
          <w:sz w:val="24"/>
        </w:rPr>
      </w:pPr>
      <w:r w:rsidRPr="001D638C">
        <w:rPr>
          <w:sz w:val="24"/>
        </w:rPr>
        <w:t>(</w:t>
      </w:r>
      <w:r w:rsidR="00535244">
        <w:rPr>
          <w:sz w:val="24"/>
        </w:rPr>
        <w:t>B</w:t>
      </w:r>
      <w:r w:rsidRPr="001D638C">
        <w:rPr>
          <w:sz w:val="24"/>
        </w:rPr>
        <w:t xml:space="preserve">) To assess the replication capacity of oncolytic </w:t>
      </w:r>
      <w:r>
        <w:rPr>
          <w:sz w:val="24"/>
        </w:rPr>
        <w:t>ADVs</w:t>
      </w:r>
      <w:r w:rsidRPr="001D638C">
        <w:rPr>
          <w:sz w:val="24"/>
        </w:rPr>
        <w:t xml:space="preserve">, </w:t>
      </w:r>
      <w:r w:rsidR="00535244" w:rsidRPr="001D638C">
        <w:rPr>
          <w:sz w:val="24"/>
        </w:rPr>
        <w:t>HEK-293T</w:t>
      </w:r>
      <w:r w:rsidRPr="001D638C">
        <w:rPr>
          <w:sz w:val="24"/>
        </w:rPr>
        <w:t xml:space="preserve"> cells were infected at an MOI of </w:t>
      </w:r>
      <w:r w:rsidR="00535244">
        <w:rPr>
          <w:sz w:val="24"/>
        </w:rPr>
        <w:t>0.</w:t>
      </w:r>
      <w:r w:rsidRPr="001D638C">
        <w:rPr>
          <w:sz w:val="24"/>
        </w:rPr>
        <w:t>1, and viral titers were measured at 12 h, 24 h, 48 h, 72 h, and 96 h post infection via a TCID</w:t>
      </w:r>
      <w:r w:rsidRPr="00654656">
        <w:rPr>
          <w:sz w:val="24"/>
          <w:vertAlign w:val="subscript"/>
        </w:rPr>
        <w:t>50</w:t>
      </w:r>
      <w:r w:rsidRPr="001D638C">
        <w:rPr>
          <w:sz w:val="24"/>
        </w:rPr>
        <w:t xml:space="preserve"> assay (n = 3 biological replicates).</w:t>
      </w:r>
    </w:p>
    <w:p w14:paraId="581351ED" w14:textId="77777777" w:rsidR="00E2639E" w:rsidRPr="001D638C" w:rsidRDefault="00E2639E" w:rsidP="00E2639E">
      <w:pPr>
        <w:spacing w:line="360" w:lineRule="auto"/>
        <w:ind w:firstLineChars="200" w:firstLine="480"/>
        <w:rPr>
          <w:sz w:val="24"/>
        </w:rPr>
      </w:pPr>
      <w:r w:rsidRPr="001D638C">
        <w:rPr>
          <w:sz w:val="24"/>
        </w:rPr>
        <w:t xml:space="preserve">The data are presented as the means ± SDs. NS, no significant difference; </w:t>
      </w:r>
      <w:r w:rsidRPr="001D638C">
        <w:rPr>
          <w:rFonts w:ascii="Cambria Math" w:eastAsia="Cambria Math" w:hAnsi="Cambria Math" w:cs="Cambria Math" w:hint="eastAsia"/>
          <w:sz w:val="24"/>
        </w:rPr>
        <w:t>∗</w:t>
      </w:r>
      <w:r w:rsidRPr="001D638C">
        <w:rPr>
          <w:sz w:val="24"/>
        </w:rPr>
        <w:t xml:space="preserve">p &lt; 0.05, </w:t>
      </w:r>
      <w:r w:rsidRPr="001D638C">
        <w:rPr>
          <w:rFonts w:ascii="Cambria Math" w:eastAsia="Cambria Math" w:hAnsi="Cambria Math" w:cs="Cambria Math" w:hint="eastAsia"/>
          <w:sz w:val="24"/>
        </w:rPr>
        <w:t>∗∗</w:t>
      </w:r>
      <w:r w:rsidRPr="001D638C">
        <w:rPr>
          <w:sz w:val="24"/>
        </w:rPr>
        <w:t xml:space="preserve">p &lt; 0.01, </w:t>
      </w:r>
      <w:r w:rsidRPr="001D638C">
        <w:rPr>
          <w:rFonts w:ascii="Cambria Math" w:eastAsia="Cambria Math" w:hAnsi="Cambria Math" w:cs="Cambria Math" w:hint="eastAsia"/>
          <w:sz w:val="24"/>
        </w:rPr>
        <w:t>∗∗∗</w:t>
      </w:r>
      <w:r w:rsidRPr="001D638C">
        <w:rPr>
          <w:sz w:val="24"/>
        </w:rPr>
        <w:t xml:space="preserve">p &lt; 0.001, </w:t>
      </w:r>
      <w:r w:rsidRPr="001D638C">
        <w:rPr>
          <w:rFonts w:ascii="Cambria Math" w:eastAsia="Cambria Math" w:hAnsi="Cambria Math" w:cs="Cambria Math" w:hint="eastAsia"/>
          <w:sz w:val="24"/>
        </w:rPr>
        <w:t>∗∗∗∗</w:t>
      </w:r>
      <w:r w:rsidRPr="001D638C">
        <w:rPr>
          <w:sz w:val="24"/>
        </w:rPr>
        <w:t>p &lt; 0.0001.</w:t>
      </w:r>
    </w:p>
    <w:p w14:paraId="68A2D545" w14:textId="77777777" w:rsidR="0079778B" w:rsidRDefault="0079778B" w:rsidP="002B1D6D">
      <w:pPr>
        <w:spacing w:line="360" w:lineRule="auto"/>
        <w:rPr>
          <w:sz w:val="24"/>
        </w:rPr>
      </w:pPr>
    </w:p>
    <w:p w14:paraId="48D01015" w14:textId="6AE1E795" w:rsidR="002B1D6D" w:rsidRDefault="0033410D" w:rsidP="002B1D6D">
      <w:pPr>
        <w:spacing w:line="360" w:lineRule="auto"/>
        <w:rPr>
          <w:sz w:val="24"/>
        </w:rPr>
      </w:pPr>
      <w:r w:rsidRPr="0033410D">
        <w:rPr>
          <w:noProof/>
          <w:sz w:val="24"/>
        </w:rPr>
        <w:drawing>
          <wp:inline distT="0" distB="0" distL="0" distR="0" wp14:anchorId="05BC75A3" wp14:editId="2B47FA2D">
            <wp:extent cx="5273675" cy="1524000"/>
            <wp:effectExtent l="0" t="0" r="3175" b="0"/>
            <wp:docPr id="21" name="图片 21" descr="F:\原始数据\作图\2\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原始数据\作图\2\S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678" b="16947"/>
                    <a:stretch/>
                  </pic:blipFill>
                  <pic:spPr bwMode="auto">
                    <a:xfrm>
                      <a:off x="0" y="0"/>
                      <a:ext cx="5274310" cy="1524184"/>
                    </a:xfrm>
                    <a:prstGeom prst="rect">
                      <a:avLst/>
                    </a:prstGeom>
                    <a:noFill/>
                    <a:ln>
                      <a:noFill/>
                    </a:ln>
                    <a:extLst>
                      <a:ext uri="{53640926-AAD7-44D8-BBD7-CCE9431645EC}">
                        <a14:shadowObscured xmlns:a14="http://schemas.microsoft.com/office/drawing/2010/main"/>
                      </a:ext>
                    </a:extLst>
                  </pic:spPr>
                </pic:pic>
              </a:graphicData>
            </a:graphic>
          </wp:inline>
        </w:drawing>
      </w:r>
    </w:p>
    <w:p w14:paraId="06C9EDAC" w14:textId="70896F4A" w:rsidR="002B1D6D" w:rsidRDefault="007D4343" w:rsidP="007D4343">
      <w:pPr>
        <w:spacing w:line="360" w:lineRule="auto"/>
        <w:ind w:firstLineChars="200" w:firstLine="482"/>
        <w:rPr>
          <w:sz w:val="24"/>
        </w:rPr>
      </w:pPr>
      <w:r w:rsidRPr="00880D09">
        <w:rPr>
          <w:b/>
          <w:sz w:val="24"/>
        </w:rPr>
        <w:t>Figure S</w:t>
      </w:r>
      <w:r w:rsidR="00004723">
        <w:rPr>
          <w:b/>
          <w:sz w:val="24"/>
        </w:rPr>
        <w:t>2</w:t>
      </w:r>
      <w:r w:rsidRPr="00880D09">
        <w:rPr>
          <w:b/>
          <w:sz w:val="24"/>
        </w:rPr>
        <w:t xml:space="preserve">. </w:t>
      </w:r>
      <w:r w:rsidR="008B6466" w:rsidRPr="008B6466">
        <w:rPr>
          <w:sz w:val="24"/>
        </w:rPr>
        <w:t>The impact of recombinant oncolytic adenovirus on the induction of necroptosis in tumor cells</w:t>
      </w:r>
    </w:p>
    <w:p w14:paraId="410AFD16" w14:textId="72F9A542" w:rsidR="007D4343" w:rsidRDefault="008B6466">
      <w:pPr>
        <w:spacing w:line="360" w:lineRule="auto"/>
        <w:ind w:firstLineChars="200" w:firstLine="480"/>
        <w:rPr>
          <w:sz w:val="24"/>
        </w:rPr>
      </w:pPr>
      <w:r w:rsidRPr="008B6466">
        <w:rPr>
          <w:sz w:val="24"/>
        </w:rPr>
        <w:t xml:space="preserve">After infecting MC38 and CT26 cells with different viruses, the intracellular levels of MLKL and phosphorylated MLKL </w:t>
      </w:r>
      <w:r w:rsidR="00F2137A">
        <w:rPr>
          <w:sz w:val="24"/>
        </w:rPr>
        <w:t xml:space="preserve">(p-MLKL) </w:t>
      </w:r>
      <w:r w:rsidRPr="008B6466">
        <w:rPr>
          <w:sz w:val="24"/>
        </w:rPr>
        <w:t xml:space="preserve">were detected using Western </w:t>
      </w:r>
      <w:r>
        <w:rPr>
          <w:sz w:val="24"/>
        </w:rPr>
        <w:t>b</w:t>
      </w:r>
      <w:r w:rsidRPr="008B6466">
        <w:rPr>
          <w:sz w:val="24"/>
        </w:rPr>
        <w:t>lot. The Necroptosis Inducer Kit with TSZ was used to induce necroptosis in tumor cells as a positive control.</w:t>
      </w:r>
    </w:p>
    <w:p w14:paraId="477BCCD8" w14:textId="736E4DDC" w:rsidR="007D4343" w:rsidRDefault="007D4343">
      <w:pPr>
        <w:spacing w:line="360" w:lineRule="auto"/>
        <w:ind w:firstLineChars="200" w:firstLine="480"/>
        <w:rPr>
          <w:sz w:val="24"/>
        </w:rPr>
      </w:pPr>
    </w:p>
    <w:p w14:paraId="69ADF77E" w14:textId="51FC7F4E" w:rsidR="007D4343" w:rsidRDefault="007D4343">
      <w:pPr>
        <w:spacing w:line="360" w:lineRule="auto"/>
        <w:ind w:firstLineChars="200" w:firstLine="480"/>
        <w:rPr>
          <w:sz w:val="24"/>
        </w:rPr>
      </w:pPr>
    </w:p>
    <w:p w14:paraId="5EACA7B4" w14:textId="77777777" w:rsidR="007D4343" w:rsidRPr="00E2639E" w:rsidRDefault="007D4343">
      <w:pPr>
        <w:spacing w:line="360" w:lineRule="auto"/>
        <w:ind w:firstLineChars="200" w:firstLine="480"/>
        <w:rPr>
          <w:sz w:val="24"/>
        </w:rPr>
      </w:pPr>
    </w:p>
    <w:p w14:paraId="46AFBC10" w14:textId="3F3CD9E9" w:rsidR="001F3D51" w:rsidRDefault="00EB0194" w:rsidP="001F3D51">
      <w:pPr>
        <w:spacing w:line="360" w:lineRule="auto"/>
        <w:rPr>
          <w:sz w:val="24"/>
        </w:rPr>
      </w:pPr>
      <w:r w:rsidRPr="00EB0194">
        <w:rPr>
          <w:noProof/>
          <w:sz w:val="24"/>
        </w:rPr>
        <w:drawing>
          <wp:inline distT="0" distB="0" distL="0" distR="0" wp14:anchorId="6334ECB8" wp14:editId="30793351">
            <wp:extent cx="5274310" cy="3199056"/>
            <wp:effectExtent l="0" t="0" r="2540" b="1905"/>
            <wp:docPr id="13" name="图片 13" descr="F:\原始数据\作图\Supplemental inform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原始数据\作图\Supplemental information\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199056"/>
                    </a:xfrm>
                    <a:prstGeom prst="rect">
                      <a:avLst/>
                    </a:prstGeom>
                    <a:noFill/>
                    <a:ln>
                      <a:noFill/>
                    </a:ln>
                  </pic:spPr>
                </pic:pic>
              </a:graphicData>
            </a:graphic>
          </wp:inline>
        </w:drawing>
      </w:r>
    </w:p>
    <w:p w14:paraId="1D5736DF" w14:textId="2E4525EE" w:rsidR="00F53D7D" w:rsidRDefault="00F53D7D" w:rsidP="00535244">
      <w:pPr>
        <w:spacing w:line="360" w:lineRule="auto"/>
        <w:ind w:firstLineChars="200" w:firstLine="482"/>
        <w:rPr>
          <w:sz w:val="24"/>
        </w:rPr>
      </w:pPr>
      <w:r w:rsidRPr="00880D09">
        <w:rPr>
          <w:b/>
          <w:sz w:val="24"/>
        </w:rPr>
        <w:t>Figure S</w:t>
      </w:r>
      <w:r w:rsidR="008B6466">
        <w:rPr>
          <w:b/>
          <w:sz w:val="24"/>
        </w:rPr>
        <w:t>3</w:t>
      </w:r>
      <w:r w:rsidRPr="00880D09">
        <w:rPr>
          <w:b/>
          <w:sz w:val="24"/>
        </w:rPr>
        <w:t xml:space="preserve">. </w:t>
      </w:r>
      <w:r>
        <w:rPr>
          <w:sz w:val="24"/>
        </w:rPr>
        <w:t xml:space="preserve">The </w:t>
      </w:r>
      <w:r w:rsidRPr="00F53D7D">
        <w:rPr>
          <w:sz w:val="24"/>
        </w:rPr>
        <w:t>effects of different oncolytic adenovirus therapies on the tumor microenvironment (TME) in a mouse CT26 subcutaneous tumor model</w:t>
      </w:r>
      <w:r w:rsidR="00D10CD5">
        <w:rPr>
          <w:rFonts w:hint="eastAsia"/>
          <w:sz w:val="24"/>
        </w:rPr>
        <w:t>.</w:t>
      </w:r>
      <w:r w:rsidR="00D10CD5" w:rsidRPr="00D10CD5">
        <w:t xml:space="preserve"> </w:t>
      </w:r>
      <w:r w:rsidR="00D10CD5">
        <w:t xml:space="preserve">Related to </w:t>
      </w:r>
      <w:r w:rsidR="00D10CD5" w:rsidRPr="001D638C">
        <w:rPr>
          <w:sz w:val="24"/>
        </w:rPr>
        <w:t xml:space="preserve">Figure </w:t>
      </w:r>
      <w:r w:rsidR="00D10CD5">
        <w:rPr>
          <w:sz w:val="24"/>
        </w:rPr>
        <w:t>4.</w:t>
      </w:r>
    </w:p>
    <w:p w14:paraId="7B900FCA" w14:textId="1A66874A" w:rsidR="00535244" w:rsidRPr="001D638C" w:rsidRDefault="00535244" w:rsidP="00535244">
      <w:pPr>
        <w:spacing w:line="360" w:lineRule="auto"/>
        <w:ind w:firstLineChars="200" w:firstLine="480"/>
        <w:rPr>
          <w:sz w:val="24"/>
        </w:rPr>
      </w:pPr>
      <w:r w:rsidRPr="00535244">
        <w:rPr>
          <w:sz w:val="24"/>
        </w:rPr>
        <w:t>BALB/c</w:t>
      </w:r>
      <w:r>
        <w:rPr>
          <w:sz w:val="24"/>
        </w:rPr>
        <w:t xml:space="preserve"> </w:t>
      </w:r>
      <w:r w:rsidRPr="00535244">
        <w:rPr>
          <w:sz w:val="24"/>
        </w:rPr>
        <w:t>m</w:t>
      </w:r>
      <w:r w:rsidRPr="001D638C">
        <w:rPr>
          <w:sz w:val="24"/>
        </w:rPr>
        <w:t xml:space="preserve">ice were subcutaneously inoculated with 1x10⁶ </w:t>
      </w:r>
      <w:r>
        <w:rPr>
          <w:sz w:val="24"/>
        </w:rPr>
        <w:t>CT26</w:t>
      </w:r>
      <w:r w:rsidRPr="001D638C">
        <w:rPr>
          <w:sz w:val="24"/>
        </w:rPr>
        <w:t xml:space="preserve"> cells. When the tumors reached a volume of 50–100 mm³, intratumoral injections of 3×10⁸ PFU of </w:t>
      </w:r>
      <w:r>
        <w:rPr>
          <w:sz w:val="24"/>
        </w:rPr>
        <w:t>ADV</w:t>
      </w:r>
      <w:r w:rsidRPr="001D638C">
        <w:rPr>
          <w:sz w:val="24"/>
        </w:rPr>
        <w:t xml:space="preserve"> were administered every other day for a total of three treatments. On day 7 after the first virus treatment, flow cytometry was used to assess </w:t>
      </w:r>
      <w:r>
        <w:rPr>
          <w:sz w:val="24"/>
        </w:rPr>
        <w:t>the proportions of</w:t>
      </w:r>
      <w:r w:rsidRPr="00535244">
        <w:rPr>
          <w:sz w:val="24"/>
        </w:rPr>
        <w:t xml:space="preserve"> </w:t>
      </w:r>
      <w:r w:rsidRPr="001D638C">
        <w:rPr>
          <w:sz w:val="24"/>
        </w:rPr>
        <w:t>CD8</w:t>
      </w:r>
      <w:r w:rsidRPr="001D638C">
        <w:rPr>
          <w:sz w:val="24"/>
          <w:vertAlign w:val="superscript"/>
        </w:rPr>
        <w:t>+</w:t>
      </w:r>
      <w:r w:rsidRPr="001D638C">
        <w:rPr>
          <w:sz w:val="24"/>
        </w:rPr>
        <w:t xml:space="preserve"> T</w:t>
      </w:r>
      <w:r w:rsidRPr="001D638C">
        <w:rPr>
          <w:sz w:val="24"/>
          <w:vertAlign w:val="subscript"/>
        </w:rPr>
        <w:t>eff</w:t>
      </w:r>
      <w:r>
        <w:rPr>
          <w:sz w:val="24"/>
        </w:rPr>
        <w:t xml:space="preserve">s, </w:t>
      </w:r>
      <w:r w:rsidRPr="001D638C">
        <w:rPr>
          <w:sz w:val="24"/>
        </w:rPr>
        <w:t>CD8</w:t>
      </w:r>
      <w:r w:rsidRPr="001D638C">
        <w:rPr>
          <w:sz w:val="24"/>
          <w:vertAlign w:val="superscript"/>
        </w:rPr>
        <w:t>+</w:t>
      </w:r>
      <w:r w:rsidRPr="001D638C">
        <w:rPr>
          <w:sz w:val="24"/>
        </w:rPr>
        <w:t xml:space="preserve"> T cells</w:t>
      </w:r>
      <w:r>
        <w:rPr>
          <w:sz w:val="24"/>
        </w:rPr>
        <w:t xml:space="preserve">, M1 macrophages, M2 macrophages, </w:t>
      </w:r>
      <w:r w:rsidRPr="001D638C">
        <w:rPr>
          <w:sz w:val="24"/>
        </w:rPr>
        <w:t>TAMs, CD4</w:t>
      </w:r>
      <w:r w:rsidRPr="00535244">
        <w:rPr>
          <w:sz w:val="24"/>
          <w:vertAlign w:val="superscript"/>
        </w:rPr>
        <w:t>+</w:t>
      </w:r>
      <w:r w:rsidRPr="001D638C">
        <w:rPr>
          <w:sz w:val="24"/>
        </w:rPr>
        <w:t xml:space="preserve"> T cells</w:t>
      </w:r>
      <w:r w:rsidR="00F53D7D">
        <w:rPr>
          <w:sz w:val="24"/>
        </w:rPr>
        <w:t xml:space="preserve">, DCs </w:t>
      </w:r>
      <w:r w:rsidRPr="001D638C">
        <w:rPr>
          <w:sz w:val="24"/>
        </w:rPr>
        <w:t>and</w:t>
      </w:r>
      <w:r w:rsidR="00F53D7D" w:rsidRPr="00F53D7D">
        <w:rPr>
          <w:sz w:val="24"/>
        </w:rPr>
        <w:t xml:space="preserve"> </w:t>
      </w:r>
      <w:r w:rsidR="00F53D7D">
        <w:rPr>
          <w:sz w:val="24"/>
        </w:rPr>
        <w:t>NK cells</w:t>
      </w:r>
      <w:r w:rsidRPr="001D638C">
        <w:rPr>
          <w:sz w:val="24"/>
        </w:rPr>
        <w:t xml:space="preserve"> in the tumor microenvironment of mice following different virus treatments (n = 6 </w:t>
      </w:r>
      <w:r>
        <w:rPr>
          <w:sz w:val="24"/>
        </w:rPr>
        <w:t>mice per group</w:t>
      </w:r>
      <w:r w:rsidRPr="001D638C">
        <w:rPr>
          <w:sz w:val="24"/>
        </w:rPr>
        <w:t>).</w:t>
      </w:r>
    </w:p>
    <w:p w14:paraId="7A1A253B" w14:textId="77777777" w:rsidR="00E2639E" w:rsidRPr="001D638C" w:rsidRDefault="00E2639E" w:rsidP="00E2639E">
      <w:pPr>
        <w:spacing w:line="360" w:lineRule="auto"/>
        <w:ind w:firstLineChars="200" w:firstLine="480"/>
        <w:rPr>
          <w:sz w:val="24"/>
        </w:rPr>
      </w:pPr>
      <w:r w:rsidRPr="001D638C">
        <w:rPr>
          <w:sz w:val="24"/>
        </w:rPr>
        <w:t xml:space="preserve">The data are presented as the means ± SDs. NS, no significant difference; </w:t>
      </w:r>
      <w:r w:rsidRPr="001D638C">
        <w:rPr>
          <w:rFonts w:ascii="Cambria Math" w:eastAsia="Cambria Math" w:hAnsi="Cambria Math" w:cs="Cambria Math" w:hint="eastAsia"/>
          <w:sz w:val="24"/>
        </w:rPr>
        <w:t>∗</w:t>
      </w:r>
      <w:r w:rsidRPr="001D638C">
        <w:rPr>
          <w:sz w:val="24"/>
        </w:rPr>
        <w:t xml:space="preserve">p &lt; 0.05, </w:t>
      </w:r>
      <w:r w:rsidRPr="001D638C">
        <w:rPr>
          <w:rFonts w:ascii="Cambria Math" w:eastAsia="Cambria Math" w:hAnsi="Cambria Math" w:cs="Cambria Math" w:hint="eastAsia"/>
          <w:sz w:val="24"/>
        </w:rPr>
        <w:t>∗∗</w:t>
      </w:r>
      <w:r w:rsidRPr="001D638C">
        <w:rPr>
          <w:sz w:val="24"/>
        </w:rPr>
        <w:t xml:space="preserve">p &lt; 0.01, </w:t>
      </w:r>
      <w:r w:rsidRPr="001D638C">
        <w:rPr>
          <w:rFonts w:ascii="Cambria Math" w:eastAsia="Cambria Math" w:hAnsi="Cambria Math" w:cs="Cambria Math" w:hint="eastAsia"/>
          <w:sz w:val="24"/>
        </w:rPr>
        <w:t>∗∗∗</w:t>
      </w:r>
      <w:r w:rsidRPr="001D638C">
        <w:rPr>
          <w:sz w:val="24"/>
        </w:rPr>
        <w:t xml:space="preserve">p &lt; 0.001, </w:t>
      </w:r>
      <w:r w:rsidRPr="001D638C">
        <w:rPr>
          <w:rFonts w:ascii="Cambria Math" w:eastAsia="Cambria Math" w:hAnsi="Cambria Math" w:cs="Cambria Math" w:hint="eastAsia"/>
          <w:sz w:val="24"/>
        </w:rPr>
        <w:t>∗∗∗∗</w:t>
      </w:r>
      <w:r w:rsidRPr="001D638C">
        <w:rPr>
          <w:sz w:val="24"/>
        </w:rPr>
        <w:t>p &lt; 0.0001.</w:t>
      </w:r>
    </w:p>
    <w:p w14:paraId="6A4D46BA" w14:textId="512EFC35" w:rsidR="001F3D51" w:rsidRPr="00E2639E" w:rsidRDefault="001F3D51" w:rsidP="001F3D51">
      <w:pPr>
        <w:spacing w:line="360" w:lineRule="auto"/>
        <w:ind w:firstLineChars="200" w:firstLine="480"/>
        <w:rPr>
          <w:sz w:val="24"/>
        </w:rPr>
      </w:pPr>
    </w:p>
    <w:p w14:paraId="353212F2" w14:textId="6DBC7246" w:rsidR="001F3D51" w:rsidRPr="001F3D51" w:rsidRDefault="001F3D51" w:rsidP="001F3D51">
      <w:pPr>
        <w:spacing w:line="360" w:lineRule="auto"/>
        <w:rPr>
          <w:sz w:val="24"/>
        </w:rPr>
      </w:pPr>
      <w:r w:rsidRPr="001F3D51">
        <w:rPr>
          <w:noProof/>
          <w:sz w:val="24"/>
        </w:rPr>
        <w:lastRenderedPageBreak/>
        <w:drawing>
          <wp:inline distT="0" distB="0" distL="0" distR="0" wp14:anchorId="5D9B2C05" wp14:editId="46BA19D4">
            <wp:extent cx="5274310" cy="2966799"/>
            <wp:effectExtent l="0" t="0" r="2540" b="5080"/>
            <wp:docPr id="11" name="图片 11" descr="C:\Users\sure\Deskto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re\Desktop\S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0EC1EEEB" w14:textId="27E33F90" w:rsidR="0009066A" w:rsidRPr="0009066A" w:rsidRDefault="008E0CEF" w:rsidP="0009066A">
      <w:pPr>
        <w:spacing w:line="360" w:lineRule="auto"/>
        <w:ind w:firstLineChars="200" w:firstLine="482"/>
        <w:rPr>
          <w:sz w:val="24"/>
        </w:rPr>
      </w:pPr>
      <w:r w:rsidRPr="00880D09">
        <w:rPr>
          <w:b/>
          <w:sz w:val="24"/>
        </w:rPr>
        <w:t>Figure S</w:t>
      </w:r>
      <w:r w:rsidR="008B6466">
        <w:rPr>
          <w:b/>
          <w:sz w:val="24"/>
        </w:rPr>
        <w:t>4</w:t>
      </w:r>
      <w:r w:rsidR="00F53B6C" w:rsidRPr="00880D09">
        <w:rPr>
          <w:b/>
          <w:sz w:val="24"/>
        </w:rPr>
        <w:t xml:space="preserve">. </w:t>
      </w:r>
      <w:r w:rsidR="0009066A">
        <w:rPr>
          <w:sz w:val="24"/>
        </w:rPr>
        <w:t>E</w:t>
      </w:r>
      <w:r w:rsidR="0009066A" w:rsidRPr="0009066A">
        <w:rPr>
          <w:sz w:val="24"/>
        </w:rPr>
        <w:t xml:space="preserve">ffects of tumor </w:t>
      </w:r>
      <w:r w:rsidR="0009066A">
        <w:rPr>
          <w:rFonts w:hint="eastAsia"/>
          <w:sz w:val="24"/>
        </w:rPr>
        <w:t>cell</w:t>
      </w:r>
      <w:r w:rsidR="0009066A" w:rsidRPr="0009066A">
        <w:rPr>
          <w:sz w:val="24"/>
        </w:rPr>
        <w:t xml:space="preserve"> supernatants from different oncolytic adenovirus treatment groups on M1 polarization of RAW264.7 cells</w:t>
      </w:r>
      <w:r w:rsidR="00D10CD5">
        <w:rPr>
          <w:rFonts w:hint="eastAsia"/>
          <w:sz w:val="24"/>
        </w:rPr>
        <w:t>.</w:t>
      </w:r>
      <w:r w:rsidR="00D10CD5">
        <w:rPr>
          <w:sz w:val="24"/>
        </w:rPr>
        <w:t xml:space="preserve"> </w:t>
      </w:r>
      <w:r w:rsidR="00DC52D5">
        <w:t xml:space="preserve">Related to </w:t>
      </w:r>
      <w:r w:rsidR="00DC52D5" w:rsidRPr="001D638C">
        <w:rPr>
          <w:sz w:val="24"/>
        </w:rPr>
        <w:t xml:space="preserve">Figure </w:t>
      </w:r>
      <w:r w:rsidR="003F187F">
        <w:rPr>
          <w:sz w:val="24"/>
        </w:rPr>
        <w:t>5</w:t>
      </w:r>
      <w:r w:rsidR="00DC52D5">
        <w:rPr>
          <w:sz w:val="24"/>
        </w:rPr>
        <w:t>.</w:t>
      </w:r>
      <w:r w:rsidR="0009066A">
        <w:rPr>
          <w:rFonts w:hint="eastAsia"/>
          <w:sz w:val="24"/>
        </w:rPr>
        <w:t xml:space="preserve"> </w:t>
      </w:r>
    </w:p>
    <w:p w14:paraId="26766523" w14:textId="181DE6AF" w:rsidR="00F53D7D" w:rsidRPr="001D638C" w:rsidRDefault="00F53D7D" w:rsidP="00F53D7D">
      <w:pPr>
        <w:spacing w:line="360" w:lineRule="auto"/>
        <w:ind w:firstLineChars="200" w:firstLine="480"/>
        <w:rPr>
          <w:sz w:val="24"/>
        </w:rPr>
      </w:pPr>
      <w:r w:rsidRPr="001D638C">
        <w:rPr>
          <w:sz w:val="24"/>
        </w:rPr>
        <w:t xml:space="preserve">(A) Schematic of the in vitro experimental model shown in </w:t>
      </w:r>
      <w:r w:rsidR="008E0CEF">
        <w:rPr>
          <w:sz w:val="24"/>
        </w:rPr>
        <w:t>S3</w:t>
      </w:r>
      <w:r w:rsidRPr="001D638C">
        <w:rPr>
          <w:sz w:val="24"/>
        </w:rPr>
        <w:t>B-</w:t>
      </w:r>
      <w:r w:rsidR="008E0CEF">
        <w:rPr>
          <w:sz w:val="24"/>
        </w:rPr>
        <w:t>S3</w:t>
      </w:r>
      <w:r w:rsidRPr="001D638C">
        <w:rPr>
          <w:sz w:val="24"/>
        </w:rPr>
        <w:t>E: MC38 cells were treated with PBS, ADV</w:t>
      </w:r>
      <w:r w:rsidRPr="001D638C">
        <w:rPr>
          <w:sz w:val="24"/>
          <w:vertAlign w:val="superscript"/>
        </w:rPr>
        <w:t>Ctrl</w:t>
      </w:r>
      <w:r w:rsidRPr="001D638C">
        <w:rPr>
          <w:sz w:val="24"/>
        </w:rPr>
        <w:t>, ADV</w:t>
      </w:r>
      <w:r w:rsidRPr="001D638C">
        <w:rPr>
          <w:sz w:val="24"/>
          <w:vertAlign w:val="superscript"/>
        </w:rPr>
        <w:t>NE</w:t>
      </w:r>
      <w:r w:rsidRPr="001D638C">
        <w:rPr>
          <w:sz w:val="24"/>
        </w:rPr>
        <w:t>, or ADV</w:t>
      </w:r>
      <w:r w:rsidRPr="001D638C">
        <w:rPr>
          <w:sz w:val="24"/>
          <w:vertAlign w:val="superscript"/>
        </w:rPr>
        <w:t>PPE</w:t>
      </w:r>
      <w:r w:rsidRPr="001D638C">
        <w:rPr>
          <w:sz w:val="24"/>
        </w:rPr>
        <w:t>, and after 24 hours, the tumor cell supernatant was collected to stimulate RAW264.7 cells. Flow cytometry, qPCR, and ELISA were performed 24 hours after stimulation.</w:t>
      </w:r>
    </w:p>
    <w:p w14:paraId="2712A61D" w14:textId="1A6EC757" w:rsidR="00F53D7D" w:rsidRPr="001D638C" w:rsidRDefault="00F53D7D" w:rsidP="00F53D7D">
      <w:pPr>
        <w:spacing w:line="360" w:lineRule="auto"/>
        <w:ind w:firstLineChars="200" w:firstLine="480"/>
        <w:rPr>
          <w:sz w:val="24"/>
        </w:rPr>
      </w:pPr>
      <w:r w:rsidRPr="001D638C">
        <w:rPr>
          <w:sz w:val="24"/>
        </w:rPr>
        <w:t>(B) Polarization state of RAW264.7 cells after 24 hours of stimulation with supernatants from different treatment groups, as assessed by flow cytometry (n = 3 biological replicates).</w:t>
      </w:r>
    </w:p>
    <w:p w14:paraId="117B7B6F" w14:textId="4A3A09D5" w:rsidR="00F53D7D" w:rsidRPr="001D638C" w:rsidRDefault="00F53D7D" w:rsidP="00F53D7D">
      <w:pPr>
        <w:spacing w:line="360" w:lineRule="auto"/>
        <w:ind w:firstLineChars="200" w:firstLine="480"/>
        <w:rPr>
          <w:sz w:val="24"/>
        </w:rPr>
      </w:pPr>
      <w:r w:rsidRPr="001D638C">
        <w:rPr>
          <w:sz w:val="24"/>
        </w:rPr>
        <w:t>(C) qPCR analysis of gene expression in RAW264.7 cells for CD86, iNOS, TNF-α, IL-6, IL-1β, Arg-1, CD206, TGF-β, IDO1, and IL-10, with expression levels presented as a heatmap (n = 3 biological replicates).</w:t>
      </w:r>
    </w:p>
    <w:p w14:paraId="493AFD15" w14:textId="77B2CDAB" w:rsidR="00F53D7D" w:rsidRPr="001D638C" w:rsidRDefault="00F53D7D" w:rsidP="00F53D7D">
      <w:pPr>
        <w:spacing w:line="360" w:lineRule="auto"/>
        <w:ind w:firstLineChars="200" w:firstLine="480"/>
        <w:rPr>
          <w:sz w:val="24"/>
        </w:rPr>
      </w:pPr>
      <w:r w:rsidRPr="001D638C">
        <w:rPr>
          <w:sz w:val="24"/>
        </w:rPr>
        <w:t>(D) qPCR analysis of M1</w:t>
      </w:r>
      <w:r>
        <w:rPr>
          <w:sz w:val="24"/>
        </w:rPr>
        <w:t xml:space="preserve"> macrophage</w:t>
      </w:r>
      <w:r w:rsidRPr="001D638C">
        <w:rPr>
          <w:sz w:val="24"/>
        </w:rPr>
        <w:t>-related chemokines CXCL10 and CXCL11 in RAW264.7 cells (n = 3 biological replicates).</w:t>
      </w:r>
    </w:p>
    <w:p w14:paraId="770BEB76" w14:textId="6C83FE70" w:rsidR="00F53D7D" w:rsidRDefault="00F53D7D" w:rsidP="00F53D7D">
      <w:pPr>
        <w:spacing w:line="360" w:lineRule="auto"/>
        <w:ind w:firstLineChars="200" w:firstLine="480"/>
        <w:rPr>
          <w:sz w:val="24"/>
        </w:rPr>
      </w:pPr>
      <w:r w:rsidRPr="001D638C">
        <w:rPr>
          <w:sz w:val="24"/>
        </w:rPr>
        <w:t xml:space="preserve">(E) ELISA of IL-6 and IL-10 </w:t>
      </w:r>
      <w:r>
        <w:rPr>
          <w:sz w:val="24"/>
        </w:rPr>
        <w:t xml:space="preserve">levels </w:t>
      </w:r>
      <w:r w:rsidRPr="001D638C">
        <w:rPr>
          <w:sz w:val="24"/>
        </w:rPr>
        <w:t>in the supernatants of RAW264.7 cells after 24 hours of stimulation with different treatments (n = 3 biological replicates).</w:t>
      </w:r>
    </w:p>
    <w:p w14:paraId="75C0A22A" w14:textId="77777777" w:rsidR="00E2639E" w:rsidRPr="001D638C" w:rsidRDefault="00E2639E" w:rsidP="00E2639E">
      <w:pPr>
        <w:spacing w:line="360" w:lineRule="auto"/>
        <w:ind w:firstLineChars="200" w:firstLine="480"/>
        <w:rPr>
          <w:sz w:val="24"/>
        </w:rPr>
      </w:pPr>
      <w:r w:rsidRPr="001D638C">
        <w:rPr>
          <w:sz w:val="24"/>
        </w:rPr>
        <w:t xml:space="preserve">The data are presented as the means ± SDs. NS, no significant difference; </w:t>
      </w:r>
      <w:r w:rsidRPr="001D638C">
        <w:rPr>
          <w:rFonts w:ascii="Cambria Math" w:eastAsia="Cambria Math" w:hAnsi="Cambria Math" w:cs="Cambria Math" w:hint="eastAsia"/>
          <w:sz w:val="24"/>
        </w:rPr>
        <w:t>∗</w:t>
      </w:r>
      <w:r w:rsidRPr="001D638C">
        <w:rPr>
          <w:sz w:val="24"/>
        </w:rPr>
        <w:t xml:space="preserve">p &lt; 0.05, </w:t>
      </w:r>
      <w:r w:rsidRPr="001D638C">
        <w:rPr>
          <w:rFonts w:ascii="Cambria Math" w:eastAsia="Cambria Math" w:hAnsi="Cambria Math" w:cs="Cambria Math" w:hint="eastAsia"/>
          <w:sz w:val="24"/>
        </w:rPr>
        <w:t>∗∗</w:t>
      </w:r>
      <w:r w:rsidRPr="001D638C">
        <w:rPr>
          <w:sz w:val="24"/>
        </w:rPr>
        <w:t xml:space="preserve">p &lt; 0.01, </w:t>
      </w:r>
      <w:r w:rsidRPr="001D638C">
        <w:rPr>
          <w:rFonts w:ascii="Cambria Math" w:eastAsia="Cambria Math" w:hAnsi="Cambria Math" w:cs="Cambria Math" w:hint="eastAsia"/>
          <w:sz w:val="24"/>
        </w:rPr>
        <w:t>∗∗∗</w:t>
      </w:r>
      <w:r w:rsidRPr="001D638C">
        <w:rPr>
          <w:sz w:val="24"/>
        </w:rPr>
        <w:t xml:space="preserve">p &lt; 0.001, </w:t>
      </w:r>
      <w:r w:rsidRPr="001D638C">
        <w:rPr>
          <w:rFonts w:ascii="Cambria Math" w:eastAsia="Cambria Math" w:hAnsi="Cambria Math" w:cs="Cambria Math" w:hint="eastAsia"/>
          <w:sz w:val="24"/>
        </w:rPr>
        <w:t>∗∗∗∗</w:t>
      </w:r>
      <w:r w:rsidRPr="001D638C">
        <w:rPr>
          <w:sz w:val="24"/>
        </w:rPr>
        <w:t>p &lt; 0.0001.</w:t>
      </w:r>
    </w:p>
    <w:p w14:paraId="1EC4F1E5" w14:textId="77777777" w:rsidR="00F53B6C" w:rsidRPr="00E2639E" w:rsidRDefault="00F53B6C" w:rsidP="00F53D7D">
      <w:pPr>
        <w:spacing w:line="360" w:lineRule="auto"/>
        <w:ind w:firstLineChars="200" w:firstLine="480"/>
        <w:rPr>
          <w:sz w:val="24"/>
        </w:rPr>
      </w:pPr>
    </w:p>
    <w:p w14:paraId="71AC96CE" w14:textId="0BF3B209" w:rsidR="001F3D51" w:rsidRDefault="00EB0194" w:rsidP="000619F0">
      <w:pPr>
        <w:spacing w:line="360" w:lineRule="auto"/>
        <w:rPr>
          <w:sz w:val="24"/>
        </w:rPr>
      </w:pPr>
      <w:r w:rsidRPr="00EB0194">
        <w:rPr>
          <w:noProof/>
          <w:sz w:val="24"/>
        </w:rPr>
        <w:lastRenderedPageBreak/>
        <w:drawing>
          <wp:inline distT="0" distB="0" distL="0" distR="0" wp14:anchorId="6B400529" wp14:editId="54FA9D96">
            <wp:extent cx="5274310" cy="5230721"/>
            <wp:effectExtent l="0" t="0" r="2540" b="8255"/>
            <wp:docPr id="20" name="图片 20" descr="F:\原始数据\作图\Supplemental information\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原始数据\作图\Supplemental information\S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5230721"/>
                    </a:xfrm>
                    <a:prstGeom prst="rect">
                      <a:avLst/>
                    </a:prstGeom>
                    <a:noFill/>
                    <a:ln>
                      <a:noFill/>
                    </a:ln>
                  </pic:spPr>
                </pic:pic>
              </a:graphicData>
            </a:graphic>
          </wp:inline>
        </w:drawing>
      </w:r>
      <w:bookmarkStart w:id="0" w:name="_GoBack"/>
      <w:bookmarkEnd w:id="0"/>
    </w:p>
    <w:p w14:paraId="4DB4B205" w14:textId="7489C91A" w:rsidR="000619F0" w:rsidRDefault="003F187F" w:rsidP="003F187F">
      <w:pPr>
        <w:spacing w:line="360" w:lineRule="auto"/>
        <w:rPr>
          <w:sz w:val="24"/>
        </w:rPr>
      </w:pPr>
      <w:r w:rsidRPr="004F6405">
        <w:rPr>
          <w:b/>
          <w:sz w:val="24"/>
        </w:rPr>
        <w:t>Figure S</w:t>
      </w:r>
      <w:r w:rsidR="004F6405" w:rsidRPr="004F6405">
        <w:rPr>
          <w:b/>
          <w:sz w:val="24"/>
        </w:rPr>
        <w:t>5</w:t>
      </w:r>
      <w:r>
        <w:rPr>
          <w:sz w:val="24"/>
        </w:rPr>
        <w:t xml:space="preserve">. </w:t>
      </w:r>
      <w:r w:rsidR="00E2639E" w:rsidRPr="00E2639E">
        <w:rPr>
          <w:sz w:val="24"/>
        </w:rPr>
        <w:t>The significance of HMGB1 in promoting M1 polarization of RAW cells induced by recombinant viruses</w:t>
      </w:r>
      <w:r w:rsidR="00E2639E">
        <w:rPr>
          <w:sz w:val="24"/>
        </w:rPr>
        <w:t xml:space="preserve">. </w:t>
      </w:r>
      <w:r w:rsidRPr="003F187F">
        <w:rPr>
          <w:sz w:val="24"/>
        </w:rPr>
        <w:t xml:space="preserve">Related to </w:t>
      </w:r>
      <w:r w:rsidRPr="001D638C">
        <w:rPr>
          <w:sz w:val="24"/>
        </w:rPr>
        <w:t xml:space="preserve">Figure </w:t>
      </w:r>
      <w:r>
        <w:rPr>
          <w:sz w:val="24"/>
        </w:rPr>
        <w:t>5.</w:t>
      </w:r>
    </w:p>
    <w:p w14:paraId="09D8D2D5" w14:textId="5348AD21" w:rsidR="003F187F" w:rsidRPr="001D638C" w:rsidRDefault="003F187F" w:rsidP="003F187F">
      <w:pPr>
        <w:spacing w:line="360" w:lineRule="auto"/>
        <w:ind w:firstLineChars="200" w:firstLine="480"/>
        <w:rPr>
          <w:sz w:val="24"/>
        </w:rPr>
      </w:pPr>
      <w:r w:rsidRPr="001D638C">
        <w:rPr>
          <w:sz w:val="24"/>
        </w:rPr>
        <w:t>(</w:t>
      </w:r>
      <w:r>
        <w:rPr>
          <w:sz w:val="24"/>
        </w:rPr>
        <w:t>A</w:t>
      </w:r>
      <w:r w:rsidRPr="001D638C">
        <w:rPr>
          <w:sz w:val="24"/>
        </w:rPr>
        <w:t>) MC38 cells (shHMGB1-MC38 and NC-MC38) were treated with PBS, ADV</w:t>
      </w:r>
      <w:r w:rsidRPr="001D638C">
        <w:rPr>
          <w:sz w:val="24"/>
          <w:vertAlign w:val="superscript"/>
        </w:rPr>
        <w:t>NE</w:t>
      </w:r>
      <w:r w:rsidRPr="001D638C">
        <w:rPr>
          <w:sz w:val="24"/>
        </w:rPr>
        <w:t>, or ADV</w:t>
      </w:r>
      <w:r w:rsidRPr="001D638C">
        <w:rPr>
          <w:sz w:val="24"/>
          <w:vertAlign w:val="superscript"/>
        </w:rPr>
        <w:t>PPE</w:t>
      </w:r>
      <w:r w:rsidRPr="001D638C">
        <w:rPr>
          <w:sz w:val="24"/>
        </w:rPr>
        <w:t>, and after 24 hours, the tumor cell supernatant was collected to stimulate RAW264.7 cells. After an additional 24 h, the polarization of the RAW264.7 cells was assessed via flow cytometry (n = 3 biological replicates).</w:t>
      </w:r>
    </w:p>
    <w:p w14:paraId="25401578" w14:textId="6E8B3C9D" w:rsidR="003F187F" w:rsidRPr="001D638C" w:rsidRDefault="003F187F" w:rsidP="00D02491">
      <w:pPr>
        <w:spacing w:line="360" w:lineRule="auto"/>
        <w:ind w:firstLineChars="200" w:firstLine="480"/>
        <w:rPr>
          <w:sz w:val="24"/>
        </w:rPr>
      </w:pPr>
      <w:r w:rsidRPr="001D638C">
        <w:rPr>
          <w:sz w:val="24"/>
        </w:rPr>
        <w:t>(</w:t>
      </w:r>
      <w:r>
        <w:rPr>
          <w:sz w:val="24"/>
        </w:rPr>
        <w:t>B</w:t>
      </w:r>
      <w:r w:rsidRPr="001D638C">
        <w:rPr>
          <w:sz w:val="24"/>
        </w:rPr>
        <w:t>) RAW264.7 cells were stimulated with supernatants from the various treatment groups for 24 hours,</w:t>
      </w:r>
      <w:r w:rsidR="00D02491">
        <w:rPr>
          <w:sz w:val="24"/>
        </w:rPr>
        <w:t xml:space="preserve"> </w:t>
      </w:r>
      <w:r w:rsidR="00D02491" w:rsidRPr="001D638C">
        <w:rPr>
          <w:sz w:val="24"/>
        </w:rPr>
        <w:t>qPCR was then used to assess M1 and M2 gene expression, and the expression levels are presented in a heatmap (n = 3 biological replicates).</w:t>
      </w:r>
      <w:r w:rsidRPr="001D638C">
        <w:rPr>
          <w:sz w:val="24"/>
        </w:rPr>
        <w:t>.</w:t>
      </w:r>
    </w:p>
    <w:p w14:paraId="49E898EC" w14:textId="4AE8F776" w:rsidR="00723D53" w:rsidRDefault="003F187F" w:rsidP="003F187F">
      <w:pPr>
        <w:spacing w:line="360" w:lineRule="auto"/>
        <w:ind w:firstLineChars="200" w:firstLine="480"/>
        <w:rPr>
          <w:sz w:val="24"/>
        </w:rPr>
      </w:pPr>
      <w:r w:rsidRPr="001D638C">
        <w:rPr>
          <w:sz w:val="24"/>
        </w:rPr>
        <w:t>(</w:t>
      </w:r>
      <w:r w:rsidR="00D02491">
        <w:rPr>
          <w:sz w:val="24"/>
        </w:rPr>
        <w:t>C</w:t>
      </w:r>
      <w:r w:rsidRPr="001D638C">
        <w:rPr>
          <w:sz w:val="24"/>
        </w:rPr>
        <w:t xml:space="preserve">) </w:t>
      </w:r>
      <w:r w:rsidR="00723D53" w:rsidRPr="001D638C">
        <w:rPr>
          <w:sz w:val="24"/>
        </w:rPr>
        <w:t xml:space="preserve">Following the protocol shown in Figure </w:t>
      </w:r>
      <w:r w:rsidR="00723D53">
        <w:rPr>
          <w:sz w:val="24"/>
        </w:rPr>
        <w:t>S4B</w:t>
      </w:r>
      <w:r w:rsidR="00723D53" w:rsidRPr="001D638C">
        <w:rPr>
          <w:sz w:val="24"/>
        </w:rPr>
        <w:t>, qPCR was used to analyze the M1</w:t>
      </w:r>
      <w:r w:rsidR="00723D53">
        <w:rPr>
          <w:sz w:val="24"/>
        </w:rPr>
        <w:t xml:space="preserve"> macrophage</w:t>
      </w:r>
      <w:r w:rsidR="00723D53" w:rsidRPr="001D638C">
        <w:rPr>
          <w:sz w:val="24"/>
        </w:rPr>
        <w:t>-related chemokine expression levels of CXCL10 and CXCL11 in RAW264.7 cells (n = 3 biological replicates).</w:t>
      </w:r>
    </w:p>
    <w:p w14:paraId="3EAA0112" w14:textId="05A890D5" w:rsidR="003F187F" w:rsidRPr="001D638C" w:rsidRDefault="003F187F" w:rsidP="003F187F">
      <w:pPr>
        <w:spacing w:line="360" w:lineRule="auto"/>
        <w:ind w:firstLineChars="200" w:firstLine="480"/>
        <w:rPr>
          <w:sz w:val="24"/>
        </w:rPr>
      </w:pPr>
      <w:r w:rsidRPr="001D638C">
        <w:rPr>
          <w:sz w:val="24"/>
        </w:rPr>
        <w:lastRenderedPageBreak/>
        <w:t>(</w:t>
      </w:r>
      <w:r w:rsidR="00D02491">
        <w:rPr>
          <w:sz w:val="24"/>
        </w:rPr>
        <w:t>D</w:t>
      </w:r>
      <w:r w:rsidRPr="001D638C">
        <w:rPr>
          <w:sz w:val="24"/>
        </w:rPr>
        <w:t>)</w:t>
      </w:r>
      <w:r w:rsidR="00723D53" w:rsidRPr="00723D53">
        <w:rPr>
          <w:sz w:val="24"/>
        </w:rPr>
        <w:t xml:space="preserve"> </w:t>
      </w:r>
      <w:r w:rsidR="00723D53" w:rsidRPr="001D638C">
        <w:rPr>
          <w:sz w:val="24"/>
        </w:rPr>
        <w:t>RAW264.7 cells were stimulated with supernatants from the various treatment groups for 24 hours,</w:t>
      </w:r>
      <w:r w:rsidR="00723D53">
        <w:rPr>
          <w:sz w:val="24"/>
        </w:rPr>
        <w:t xml:space="preserve"> </w:t>
      </w:r>
      <w:r w:rsidR="00723D53" w:rsidRPr="00723D53">
        <w:rPr>
          <w:sz w:val="24"/>
        </w:rPr>
        <w:t xml:space="preserve">ELISA was </w:t>
      </w:r>
      <w:r w:rsidR="00723D53" w:rsidRPr="001D638C">
        <w:rPr>
          <w:sz w:val="24"/>
        </w:rPr>
        <w:t>then</w:t>
      </w:r>
      <w:r w:rsidR="00723D53" w:rsidRPr="00723D53">
        <w:rPr>
          <w:sz w:val="24"/>
        </w:rPr>
        <w:t xml:space="preserve"> performed to measure IL-6 and IL-10 levels in the </w:t>
      </w:r>
      <w:r w:rsidR="00723D53" w:rsidRPr="001D638C">
        <w:rPr>
          <w:sz w:val="24"/>
        </w:rPr>
        <w:t xml:space="preserve">RAW264.7 cells </w:t>
      </w:r>
      <w:r w:rsidR="00723D53" w:rsidRPr="00723D53">
        <w:rPr>
          <w:sz w:val="24"/>
        </w:rPr>
        <w:t>culture supernatants. (n = 3 biological replicates).</w:t>
      </w:r>
    </w:p>
    <w:p w14:paraId="5F30FF57" w14:textId="77777777" w:rsidR="00E2639E" w:rsidRPr="001D638C" w:rsidRDefault="00E2639E" w:rsidP="00E2639E">
      <w:pPr>
        <w:spacing w:line="360" w:lineRule="auto"/>
        <w:ind w:firstLineChars="200" w:firstLine="480"/>
        <w:rPr>
          <w:sz w:val="24"/>
        </w:rPr>
      </w:pPr>
      <w:r w:rsidRPr="001D638C">
        <w:rPr>
          <w:sz w:val="24"/>
        </w:rPr>
        <w:t xml:space="preserve">The data are presented as the means ± SDs. NS, no significant difference; </w:t>
      </w:r>
      <w:r w:rsidRPr="001D638C">
        <w:rPr>
          <w:rFonts w:ascii="Cambria Math" w:eastAsia="Cambria Math" w:hAnsi="Cambria Math" w:cs="Cambria Math" w:hint="eastAsia"/>
          <w:sz w:val="24"/>
        </w:rPr>
        <w:t>∗</w:t>
      </w:r>
      <w:r w:rsidRPr="001D638C">
        <w:rPr>
          <w:sz w:val="24"/>
        </w:rPr>
        <w:t xml:space="preserve">p &lt; 0.05, </w:t>
      </w:r>
      <w:r w:rsidRPr="001D638C">
        <w:rPr>
          <w:rFonts w:ascii="Cambria Math" w:eastAsia="Cambria Math" w:hAnsi="Cambria Math" w:cs="Cambria Math" w:hint="eastAsia"/>
          <w:sz w:val="24"/>
        </w:rPr>
        <w:t>∗∗</w:t>
      </w:r>
      <w:r w:rsidRPr="001D638C">
        <w:rPr>
          <w:sz w:val="24"/>
        </w:rPr>
        <w:t xml:space="preserve">p &lt; 0.01, </w:t>
      </w:r>
      <w:r w:rsidRPr="001D638C">
        <w:rPr>
          <w:rFonts w:ascii="Cambria Math" w:eastAsia="Cambria Math" w:hAnsi="Cambria Math" w:cs="Cambria Math" w:hint="eastAsia"/>
          <w:sz w:val="24"/>
        </w:rPr>
        <w:t>∗∗∗</w:t>
      </w:r>
      <w:r w:rsidRPr="001D638C">
        <w:rPr>
          <w:sz w:val="24"/>
        </w:rPr>
        <w:t xml:space="preserve">p &lt; 0.001, </w:t>
      </w:r>
      <w:r w:rsidRPr="001D638C">
        <w:rPr>
          <w:rFonts w:ascii="Cambria Math" w:eastAsia="Cambria Math" w:hAnsi="Cambria Math" w:cs="Cambria Math" w:hint="eastAsia"/>
          <w:sz w:val="24"/>
        </w:rPr>
        <w:t>∗∗∗∗</w:t>
      </w:r>
      <w:r w:rsidRPr="001D638C">
        <w:rPr>
          <w:sz w:val="24"/>
        </w:rPr>
        <w:t>p &lt; 0.0001.</w:t>
      </w:r>
    </w:p>
    <w:p w14:paraId="4C00AC31" w14:textId="77777777" w:rsidR="00DC52D5" w:rsidRPr="00E2639E" w:rsidRDefault="00DC52D5" w:rsidP="000619F0">
      <w:pPr>
        <w:spacing w:line="360" w:lineRule="auto"/>
        <w:rPr>
          <w:sz w:val="24"/>
        </w:rPr>
      </w:pPr>
    </w:p>
    <w:p w14:paraId="7A74D4A8" w14:textId="21187358" w:rsidR="000619F0" w:rsidRDefault="0098210E" w:rsidP="000619F0">
      <w:pPr>
        <w:spacing w:line="360" w:lineRule="auto"/>
        <w:rPr>
          <w:sz w:val="24"/>
        </w:rPr>
      </w:pPr>
      <w:r w:rsidRPr="0098210E">
        <w:rPr>
          <w:noProof/>
          <w:sz w:val="24"/>
        </w:rPr>
        <w:drawing>
          <wp:inline distT="0" distB="0" distL="0" distR="0" wp14:anchorId="40916960" wp14:editId="47F835E6">
            <wp:extent cx="5274310" cy="5123075"/>
            <wp:effectExtent l="0" t="0" r="2540" b="1905"/>
            <wp:docPr id="17" name="图片 17" descr="F:\原始数据\作图\SI\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原始数据\作图\SI\S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5123075"/>
                    </a:xfrm>
                    <a:prstGeom prst="rect">
                      <a:avLst/>
                    </a:prstGeom>
                    <a:noFill/>
                    <a:ln>
                      <a:noFill/>
                    </a:ln>
                  </pic:spPr>
                </pic:pic>
              </a:graphicData>
            </a:graphic>
          </wp:inline>
        </w:drawing>
      </w:r>
    </w:p>
    <w:p w14:paraId="563D06B6" w14:textId="21FA7E24" w:rsidR="00E2639E" w:rsidRDefault="00E2639E" w:rsidP="00E2639E">
      <w:pPr>
        <w:spacing w:line="360" w:lineRule="auto"/>
        <w:rPr>
          <w:sz w:val="24"/>
        </w:rPr>
      </w:pPr>
      <w:r w:rsidRPr="00880D09">
        <w:rPr>
          <w:b/>
          <w:sz w:val="24"/>
        </w:rPr>
        <w:t>Figure S</w:t>
      </w:r>
      <w:r w:rsidR="004F6405">
        <w:rPr>
          <w:b/>
          <w:sz w:val="24"/>
        </w:rPr>
        <w:t>6</w:t>
      </w:r>
      <w:r w:rsidRPr="00880D09">
        <w:rPr>
          <w:b/>
          <w:sz w:val="24"/>
        </w:rPr>
        <w:t>.</w:t>
      </w:r>
      <w:r>
        <w:rPr>
          <w:sz w:val="24"/>
        </w:rPr>
        <w:t xml:space="preserve"> </w:t>
      </w:r>
      <w:r w:rsidRPr="00E2639E">
        <w:rPr>
          <w:sz w:val="24"/>
        </w:rPr>
        <w:t xml:space="preserve">The significance of </w:t>
      </w:r>
      <w:r>
        <w:rPr>
          <w:sz w:val="24"/>
        </w:rPr>
        <w:t>TLR4</w:t>
      </w:r>
      <w:r w:rsidRPr="00E2639E">
        <w:rPr>
          <w:sz w:val="24"/>
        </w:rPr>
        <w:t xml:space="preserve"> in promoting M1 polarization of RAW cells induced by recombinant viruses</w:t>
      </w:r>
      <w:r>
        <w:rPr>
          <w:sz w:val="24"/>
        </w:rPr>
        <w:t xml:space="preserve">. </w:t>
      </w:r>
      <w:r w:rsidRPr="003F187F">
        <w:rPr>
          <w:sz w:val="24"/>
        </w:rPr>
        <w:t xml:space="preserve">Related to </w:t>
      </w:r>
      <w:r w:rsidRPr="001D638C">
        <w:rPr>
          <w:sz w:val="24"/>
        </w:rPr>
        <w:t xml:space="preserve">Figure </w:t>
      </w:r>
      <w:r>
        <w:rPr>
          <w:sz w:val="24"/>
        </w:rPr>
        <w:t>6.</w:t>
      </w:r>
    </w:p>
    <w:p w14:paraId="3856F4C9" w14:textId="201EA988" w:rsidR="00E2639E" w:rsidRPr="001D638C" w:rsidRDefault="00E2639E" w:rsidP="00E2639E">
      <w:pPr>
        <w:spacing w:line="360" w:lineRule="auto"/>
        <w:ind w:firstLineChars="200" w:firstLine="480"/>
        <w:rPr>
          <w:sz w:val="24"/>
        </w:rPr>
      </w:pPr>
      <w:r w:rsidRPr="001D638C">
        <w:rPr>
          <w:sz w:val="24"/>
        </w:rPr>
        <w:t>(</w:t>
      </w:r>
      <w:r>
        <w:rPr>
          <w:sz w:val="24"/>
        </w:rPr>
        <w:t>A</w:t>
      </w:r>
      <w:r w:rsidRPr="001D638C">
        <w:rPr>
          <w:sz w:val="24"/>
        </w:rPr>
        <w:t>) RAW264.7 cells were stimulated with supernatants from different treatment groups in the presence of vehicle or TAK-242. After 24 hours, flow cytometry was used to assess the macrophage polarization status (n = 3 biological replicates).</w:t>
      </w:r>
    </w:p>
    <w:p w14:paraId="55CCAC8A" w14:textId="5466BDB7" w:rsidR="00E2639E" w:rsidRPr="001D638C" w:rsidRDefault="00E2639E" w:rsidP="00E2639E">
      <w:pPr>
        <w:spacing w:line="360" w:lineRule="auto"/>
        <w:ind w:firstLineChars="200" w:firstLine="480"/>
        <w:rPr>
          <w:sz w:val="24"/>
        </w:rPr>
      </w:pPr>
      <w:r w:rsidRPr="001D638C">
        <w:rPr>
          <w:sz w:val="24"/>
        </w:rPr>
        <w:t>(</w:t>
      </w:r>
      <w:r>
        <w:rPr>
          <w:sz w:val="24"/>
        </w:rPr>
        <w:t>B</w:t>
      </w:r>
      <w:r w:rsidRPr="001D638C">
        <w:rPr>
          <w:sz w:val="24"/>
        </w:rPr>
        <w:t xml:space="preserve">) RAW264.7 cells were stimulated with supernatants from different treatment </w:t>
      </w:r>
      <w:r w:rsidRPr="001D638C">
        <w:rPr>
          <w:sz w:val="24"/>
        </w:rPr>
        <w:lastRenderedPageBreak/>
        <w:t>groups in the presence of vehicle or TAK-242 for 24 hours. qPCR was then used to assess M1 and M2 gene expression, and the expression levels are presented in a heatmap (n = 3 biological replicates).</w:t>
      </w:r>
    </w:p>
    <w:p w14:paraId="280415F5" w14:textId="1776CA41" w:rsidR="00E2639E" w:rsidRPr="001D638C" w:rsidRDefault="00E2639E" w:rsidP="00E2639E">
      <w:pPr>
        <w:spacing w:line="360" w:lineRule="auto"/>
        <w:ind w:firstLineChars="200" w:firstLine="480"/>
        <w:rPr>
          <w:sz w:val="24"/>
        </w:rPr>
      </w:pPr>
      <w:r w:rsidRPr="001D638C">
        <w:rPr>
          <w:sz w:val="24"/>
        </w:rPr>
        <w:t>(</w:t>
      </w:r>
      <w:r>
        <w:rPr>
          <w:sz w:val="24"/>
        </w:rPr>
        <w:t>C</w:t>
      </w:r>
      <w:r w:rsidRPr="001D638C">
        <w:rPr>
          <w:sz w:val="24"/>
        </w:rPr>
        <w:t>) Following the protocol shown in Figure 6J, qPCR was used to analyze the M1</w:t>
      </w:r>
      <w:r>
        <w:rPr>
          <w:sz w:val="24"/>
        </w:rPr>
        <w:t xml:space="preserve"> macrophage</w:t>
      </w:r>
      <w:r w:rsidRPr="001D638C">
        <w:rPr>
          <w:sz w:val="24"/>
        </w:rPr>
        <w:t>-related chemokine expression levels of CXCL10 and CXCL11 in RAW264.7 cells (n = 3 biological replicates).</w:t>
      </w:r>
    </w:p>
    <w:p w14:paraId="3FCB1A17" w14:textId="1BDFB0FB" w:rsidR="00E2639E" w:rsidRPr="001D638C" w:rsidRDefault="00E2639E" w:rsidP="00E2639E">
      <w:pPr>
        <w:spacing w:line="360" w:lineRule="auto"/>
        <w:ind w:firstLineChars="200" w:firstLine="480"/>
        <w:rPr>
          <w:sz w:val="24"/>
        </w:rPr>
      </w:pPr>
      <w:r w:rsidRPr="001D638C">
        <w:rPr>
          <w:sz w:val="24"/>
        </w:rPr>
        <w:t>(</w:t>
      </w:r>
      <w:r>
        <w:rPr>
          <w:sz w:val="24"/>
        </w:rPr>
        <w:t>D</w:t>
      </w:r>
      <w:r w:rsidRPr="001D638C">
        <w:rPr>
          <w:sz w:val="24"/>
        </w:rPr>
        <w:t>) Supernatants from different treatment groups were used to stimulate RAW264.7 cells in the presence of either the vehicle control or TAK-242. After 24 hours, ELISA was performed to measure IL-6 and IL-10 levels in the BMDM culture supernatants. (n = 3 biological replicates).</w:t>
      </w:r>
    </w:p>
    <w:p w14:paraId="2BF132A7" w14:textId="77777777" w:rsidR="00E2639E" w:rsidRPr="001D638C" w:rsidRDefault="00E2639E" w:rsidP="00E2639E">
      <w:pPr>
        <w:spacing w:line="360" w:lineRule="auto"/>
        <w:ind w:firstLineChars="200" w:firstLine="480"/>
        <w:rPr>
          <w:sz w:val="24"/>
        </w:rPr>
      </w:pPr>
      <w:r w:rsidRPr="001D638C">
        <w:rPr>
          <w:sz w:val="24"/>
        </w:rPr>
        <w:t xml:space="preserve">The data are presented as the means ± SDs. NS, no significant difference; </w:t>
      </w:r>
      <w:r w:rsidRPr="001D638C">
        <w:rPr>
          <w:rFonts w:ascii="Cambria Math" w:eastAsia="Cambria Math" w:hAnsi="Cambria Math" w:cs="Cambria Math" w:hint="eastAsia"/>
          <w:sz w:val="24"/>
        </w:rPr>
        <w:t>∗</w:t>
      </w:r>
      <w:r w:rsidRPr="001D638C">
        <w:rPr>
          <w:sz w:val="24"/>
        </w:rPr>
        <w:t xml:space="preserve">p &lt; 0.05, </w:t>
      </w:r>
      <w:r w:rsidRPr="001D638C">
        <w:rPr>
          <w:rFonts w:ascii="Cambria Math" w:eastAsia="Cambria Math" w:hAnsi="Cambria Math" w:cs="Cambria Math" w:hint="eastAsia"/>
          <w:sz w:val="24"/>
        </w:rPr>
        <w:t>∗∗</w:t>
      </w:r>
      <w:r w:rsidRPr="001D638C">
        <w:rPr>
          <w:sz w:val="24"/>
        </w:rPr>
        <w:t xml:space="preserve">p &lt; 0.01, </w:t>
      </w:r>
      <w:r w:rsidRPr="001D638C">
        <w:rPr>
          <w:rFonts w:ascii="Cambria Math" w:eastAsia="Cambria Math" w:hAnsi="Cambria Math" w:cs="Cambria Math" w:hint="eastAsia"/>
          <w:sz w:val="24"/>
        </w:rPr>
        <w:t>∗∗∗</w:t>
      </w:r>
      <w:r w:rsidRPr="001D638C">
        <w:rPr>
          <w:sz w:val="24"/>
        </w:rPr>
        <w:t xml:space="preserve">p &lt; 0.001, </w:t>
      </w:r>
      <w:r w:rsidRPr="001D638C">
        <w:rPr>
          <w:rFonts w:ascii="Cambria Math" w:eastAsia="Cambria Math" w:hAnsi="Cambria Math" w:cs="Cambria Math" w:hint="eastAsia"/>
          <w:sz w:val="24"/>
        </w:rPr>
        <w:t>∗∗∗∗</w:t>
      </w:r>
      <w:r w:rsidRPr="001D638C">
        <w:rPr>
          <w:sz w:val="24"/>
        </w:rPr>
        <w:t>p &lt; 0.0001.</w:t>
      </w:r>
    </w:p>
    <w:p w14:paraId="420DB95B" w14:textId="3703158E" w:rsidR="00DC52D5" w:rsidRDefault="00E05999" w:rsidP="000619F0">
      <w:pPr>
        <w:spacing w:line="360" w:lineRule="auto"/>
        <w:rPr>
          <w:sz w:val="24"/>
        </w:rPr>
      </w:pPr>
      <w:r w:rsidRPr="00E05999">
        <w:rPr>
          <w:noProof/>
          <w:sz w:val="24"/>
        </w:rPr>
        <w:drawing>
          <wp:inline distT="0" distB="0" distL="0" distR="0" wp14:anchorId="79B75B90" wp14:editId="680104E3">
            <wp:extent cx="5274310" cy="2966799"/>
            <wp:effectExtent l="0" t="0" r="2540" b="5080"/>
            <wp:docPr id="1" name="图片 1" descr="F:\原始数据\作图\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原始数据\作图\2\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0C5ECAAC" w14:textId="7A318115" w:rsidR="00E05999" w:rsidRDefault="00AD3885" w:rsidP="000619F0">
      <w:pPr>
        <w:spacing w:line="360" w:lineRule="auto"/>
        <w:rPr>
          <w:sz w:val="24"/>
        </w:rPr>
      </w:pPr>
      <w:r w:rsidRPr="00AD3885">
        <w:rPr>
          <w:noProof/>
          <w:sz w:val="24"/>
        </w:rPr>
        <w:lastRenderedPageBreak/>
        <w:drawing>
          <wp:inline distT="0" distB="0" distL="0" distR="0" wp14:anchorId="0F2DC968" wp14:editId="3B971C46">
            <wp:extent cx="5274310" cy="2966799"/>
            <wp:effectExtent l="0" t="0" r="2540" b="5080"/>
            <wp:docPr id="3" name="图片 3" descr="F:\原始数据\作图\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原始数据\作图\2\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r w:rsidRPr="00AD3885">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sidRPr="00AD3885">
        <w:rPr>
          <w:noProof/>
          <w:sz w:val="24"/>
        </w:rPr>
        <w:drawing>
          <wp:inline distT="0" distB="0" distL="0" distR="0" wp14:anchorId="68C01039" wp14:editId="668FB6F5">
            <wp:extent cx="5274310" cy="2966799"/>
            <wp:effectExtent l="0" t="0" r="2540" b="5080"/>
            <wp:docPr id="4" name="图片 4" descr="F:\原始数据\作图\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原始数据\作图\2\1-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145A2D6F" w14:textId="587727E1" w:rsidR="00E05999" w:rsidRDefault="00F2137A" w:rsidP="000619F0">
      <w:pPr>
        <w:spacing w:line="360" w:lineRule="auto"/>
        <w:rPr>
          <w:sz w:val="24"/>
        </w:rPr>
      </w:pPr>
      <w:r w:rsidRPr="00F2137A">
        <w:rPr>
          <w:noProof/>
          <w:sz w:val="24"/>
        </w:rPr>
        <w:lastRenderedPageBreak/>
        <w:drawing>
          <wp:inline distT="0" distB="0" distL="0" distR="0" wp14:anchorId="66A56D1C" wp14:editId="6DE034C7">
            <wp:extent cx="5274310" cy="2966799"/>
            <wp:effectExtent l="0" t="0" r="2540" b="5080"/>
            <wp:docPr id="19" name="图片 19" descr="F:\原始数据\作图\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原始数据\作图\2\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6F276F46" w14:textId="56E4BF9F" w:rsidR="00E05999" w:rsidRDefault="00E05999" w:rsidP="000619F0">
      <w:pPr>
        <w:spacing w:line="360" w:lineRule="auto"/>
        <w:rPr>
          <w:sz w:val="24"/>
        </w:rPr>
      </w:pPr>
    </w:p>
    <w:p w14:paraId="209825E2" w14:textId="2FEF05AF" w:rsidR="00E05999" w:rsidRDefault="001E0BCE" w:rsidP="000619F0">
      <w:pPr>
        <w:spacing w:line="360" w:lineRule="auto"/>
        <w:rPr>
          <w:sz w:val="24"/>
        </w:rPr>
      </w:pPr>
      <w:r w:rsidRPr="001E0BCE">
        <w:rPr>
          <w:noProof/>
          <w:sz w:val="24"/>
        </w:rPr>
        <w:drawing>
          <wp:inline distT="0" distB="0" distL="0" distR="0" wp14:anchorId="360798FF" wp14:editId="7123CCB1">
            <wp:extent cx="5274310" cy="2966799"/>
            <wp:effectExtent l="0" t="0" r="2540" b="5080"/>
            <wp:docPr id="5" name="图片 5" descr="F:\原始数据\作图\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原始数据\作图\2\1-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6C7EC0BC" w14:textId="2003D577" w:rsidR="00E05999" w:rsidRDefault="001E0BCE" w:rsidP="000619F0">
      <w:pPr>
        <w:spacing w:line="360" w:lineRule="auto"/>
        <w:rPr>
          <w:sz w:val="24"/>
        </w:rPr>
      </w:pPr>
      <w:r w:rsidRPr="001E0BCE">
        <w:rPr>
          <w:noProof/>
          <w:sz w:val="24"/>
        </w:rPr>
        <w:lastRenderedPageBreak/>
        <w:drawing>
          <wp:inline distT="0" distB="0" distL="0" distR="0" wp14:anchorId="23D3EFCD" wp14:editId="72CCE801">
            <wp:extent cx="5274310" cy="2966799"/>
            <wp:effectExtent l="0" t="0" r="2540" b="5080"/>
            <wp:docPr id="6" name="图片 6" descr="F:\原始数据\作图\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原始数据\作图\2\1-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15D6BF39" w14:textId="6A72A500" w:rsidR="00E05999" w:rsidRDefault="00E05999" w:rsidP="000619F0">
      <w:pPr>
        <w:spacing w:line="360" w:lineRule="auto"/>
        <w:rPr>
          <w:sz w:val="24"/>
        </w:rPr>
      </w:pPr>
    </w:p>
    <w:p w14:paraId="4B30F326" w14:textId="3A7FB571" w:rsidR="00E05999" w:rsidRDefault="00E05999" w:rsidP="000619F0">
      <w:pPr>
        <w:spacing w:line="360" w:lineRule="auto"/>
        <w:rPr>
          <w:sz w:val="24"/>
        </w:rPr>
      </w:pPr>
    </w:p>
    <w:p w14:paraId="32815BF8" w14:textId="368183F9" w:rsidR="00C24947" w:rsidRDefault="00C24947" w:rsidP="000619F0">
      <w:pPr>
        <w:spacing w:line="360" w:lineRule="auto"/>
        <w:rPr>
          <w:sz w:val="24"/>
        </w:rPr>
      </w:pPr>
    </w:p>
    <w:p w14:paraId="21B0BC81" w14:textId="1E48BB7D" w:rsidR="00C24947" w:rsidRDefault="00C24947" w:rsidP="000619F0">
      <w:pPr>
        <w:spacing w:line="360" w:lineRule="auto"/>
        <w:rPr>
          <w:sz w:val="24"/>
        </w:rPr>
      </w:pPr>
      <w:r w:rsidRPr="00C24947">
        <w:rPr>
          <w:noProof/>
          <w:sz w:val="24"/>
        </w:rPr>
        <w:drawing>
          <wp:inline distT="0" distB="0" distL="0" distR="0" wp14:anchorId="53EA692A" wp14:editId="2193B47C">
            <wp:extent cx="5274310" cy="2966799"/>
            <wp:effectExtent l="0" t="0" r="2540" b="5080"/>
            <wp:docPr id="9" name="图片 9" descr="F:\原始数据\作图\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原始数据\作图\2\1-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6A6AF48A" w14:textId="0F98DE2B" w:rsidR="00C24947" w:rsidRDefault="00C24947" w:rsidP="000619F0">
      <w:pPr>
        <w:spacing w:line="360" w:lineRule="auto"/>
        <w:rPr>
          <w:sz w:val="24"/>
        </w:rPr>
      </w:pPr>
      <w:r w:rsidRPr="00C24947">
        <w:rPr>
          <w:noProof/>
          <w:sz w:val="24"/>
        </w:rPr>
        <w:lastRenderedPageBreak/>
        <w:drawing>
          <wp:inline distT="0" distB="0" distL="0" distR="0" wp14:anchorId="06B1DA22" wp14:editId="1181E209">
            <wp:extent cx="5274310" cy="2966720"/>
            <wp:effectExtent l="0" t="0" r="2540" b="5080"/>
            <wp:docPr id="7" name="图片 7" descr="F:\原始数据\作图\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原始数据\作图\2\1-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768FC04E" w14:textId="43EB6837" w:rsidR="007150F9" w:rsidRDefault="007150F9" w:rsidP="000619F0">
      <w:pPr>
        <w:spacing w:line="360" w:lineRule="auto"/>
        <w:rPr>
          <w:sz w:val="24"/>
        </w:rPr>
      </w:pPr>
      <w:r w:rsidRPr="007150F9">
        <w:rPr>
          <w:noProof/>
          <w:sz w:val="24"/>
        </w:rPr>
        <w:drawing>
          <wp:inline distT="0" distB="0" distL="0" distR="0" wp14:anchorId="1CF1799D" wp14:editId="3115ADF2">
            <wp:extent cx="5274310" cy="2965873"/>
            <wp:effectExtent l="0" t="0" r="2540" b="6350"/>
            <wp:docPr id="8" name="图片 8" descr="F:\原始数据\作图\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原始数据\作图\2\1-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4310" cy="2965873"/>
                    </a:xfrm>
                    <a:prstGeom prst="rect">
                      <a:avLst/>
                    </a:prstGeom>
                    <a:noFill/>
                    <a:ln>
                      <a:noFill/>
                    </a:ln>
                  </pic:spPr>
                </pic:pic>
              </a:graphicData>
            </a:graphic>
          </wp:inline>
        </w:drawing>
      </w:r>
    </w:p>
    <w:p w14:paraId="12B7E866" w14:textId="3CEA5DB2" w:rsidR="007150F9" w:rsidRDefault="007150F9" w:rsidP="000619F0">
      <w:pPr>
        <w:spacing w:line="360" w:lineRule="auto"/>
        <w:rPr>
          <w:sz w:val="24"/>
        </w:rPr>
      </w:pPr>
      <w:r w:rsidRPr="007150F9">
        <w:rPr>
          <w:noProof/>
          <w:sz w:val="24"/>
        </w:rPr>
        <w:lastRenderedPageBreak/>
        <w:drawing>
          <wp:inline distT="0" distB="0" distL="0" distR="0" wp14:anchorId="4FCC2667" wp14:editId="7ED9C440">
            <wp:extent cx="5274310" cy="2965873"/>
            <wp:effectExtent l="0" t="0" r="2540" b="6350"/>
            <wp:docPr id="12" name="图片 12" descr="F:\原始数据\作图\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原始数据\作图\2\1-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4310" cy="2965873"/>
                    </a:xfrm>
                    <a:prstGeom prst="rect">
                      <a:avLst/>
                    </a:prstGeom>
                    <a:noFill/>
                    <a:ln>
                      <a:noFill/>
                    </a:ln>
                  </pic:spPr>
                </pic:pic>
              </a:graphicData>
            </a:graphic>
          </wp:inline>
        </w:drawing>
      </w:r>
      <w:r w:rsidR="00E06CA5" w:rsidRPr="00E06CA5">
        <w:rPr>
          <w:noProof/>
          <w:sz w:val="24"/>
        </w:rPr>
        <w:drawing>
          <wp:inline distT="0" distB="0" distL="0" distR="0" wp14:anchorId="1A75B4DE" wp14:editId="1AC5F9AE">
            <wp:extent cx="5274310" cy="2966799"/>
            <wp:effectExtent l="0" t="0" r="2540" b="5080"/>
            <wp:docPr id="16" name="图片 16" descr="F:\原始数据\作图\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原始数据\作图\2\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r w:rsidR="00E06CA5" w:rsidRPr="00E06CA5">
        <w:rPr>
          <w:noProof/>
          <w:sz w:val="24"/>
        </w:rPr>
        <w:lastRenderedPageBreak/>
        <w:drawing>
          <wp:inline distT="0" distB="0" distL="0" distR="0" wp14:anchorId="6C90B978" wp14:editId="2CF5366E">
            <wp:extent cx="5274310" cy="2966799"/>
            <wp:effectExtent l="0" t="0" r="2540" b="5080"/>
            <wp:docPr id="18" name="图片 18" descr="F:\原始数据\作图\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原始数据\作图\2\1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74310" cy="2966799"/>
                    </a:xfrm>
                    <a:prstGeom prst="rect">
                      <a:avLst/>
                    </a:prstGeom>
                    <a:noFill/>
                    <a:ln>
                      <a:noFill/>
                    </a:ln>
                  </pic:spPr>
                </pic:pic>
              </a:graphicData>
            </a:graphic>
          </wp:inline>
        </w:drawing>
      </w:r>
    </w:p>
    <w:p w14:paraId="0383E717" w14:textId="421F7AEB" w:rsidR="00E05999" w:rsidRPr="00E03A5B" w:rsidRDefault="00E05999" w:rsidP="00E05999">
      <w:pPr>
        <w:rPr>
          <w:rStyle w:val="fontstyle01"/>
          <w:rFonts w:hint="eastAsia"/>
          <w:sz w:val="24"/>
          <w:szCs w:val="24"/>
        </w:rPr>
      </w:pPr>
      <w:r w:rsidRPr="00E03A5B">
        <w:rPr>
          <w:b/>
          <w:bCs/>
          <w:sz w:val="24"/>
        </w:rPr>
        <w:t>Figure S</w:t>
      </w:r>
      <w:r w:rsidR="004F6405">
        <w:rPr>
          <w:b/>
          <w:bCs/>
          <w:sz w:val="24"/>
        </w:rPr>
        <w:t>7</w:t>
      </w:r>
      <w:r w:rsidRPr="00E03A5B">
        <w:rPr>
          <w:sz w:val="24"/>
        </w:rPr>
        <w:tab/>
      </w:r>
      <w:bookmarkStart w:id="1" w:name="OLE_LINK3"/>
      <w:r w:rsidRPr="00E05999">
        <w:rPr>
          <w:rStyle w:val="fontstyle01"/>
          <w:rFonts w:ascii="Times New Roman" w:hAnsi="Times New Roman"/>
          <w:sz w:val="24"/>
          <w:szCs w:val="24"/>
        </w:rPr>
        <w:t>Uncropped blots</w:t>
      </w:r>
      <w:bookmarkEnd w:id="1"/>
      <w:r w:rsidRPr="00E05999">
        <w:rPr>
          <w:rStyle w:val="fontstyle01"/>
          <w:rFonts w:ascii="Times New Roman" w:hAnsi="Times New Roman"/>
          <w:sz w:val="24"/>
          <w:szCs w:val="24"/>
        </w:rPr>
        <w:t>.</w:t>
      </w:r>
    </w:p>
    <w:p w14:paraId="750B21F6" w14:textId="4722C7B0" w:rsidR="00E05999" w:rsidRDefault="00E05999" w:rsidP="000619F0">
      <w:pPr>
        <w:spacing w:line="360" w:lineRule="auto"/>
        <w:rPr>
          <w:sz w:val="24"/>
        </w:rPr>
      </w:pPr>
    </w:p>
    <w:p w14:paraId="1C538561" w14:textId="4B3096EE" w:rsidR="00E05999" w:rsidRDefault="00E05999" w:rsidP="000619F0">
      <w:pPr>
        <w:spacing w:line="360" w:lineRule="auto"/>
        <w:rPr>
          <w:sz w:val="24"/>
        </w:rPr>
      </w:pPr>
    </w:p>
    <w:p w14:paraId="221B073F" w14:textId="01F1CD1D" w:rsidR="00E05999" w:rsidRDefault="00E05999" w:rsidP="000619F0">
      <w:pPr>
        <w:spacing w:line="360" w:lineRule="auto"/>
        <w:rPr>
          <w:sz w:val="24"/>
        </w:rPr>
      </w:pPr>
    </w:p>
    <w:p w14:paraId="3456811E" w14:textId="77777777" w:rsidR="00E05999" w:rsidRPr="00E2639E" w:rsidRDefault="00E05999" w:rsidP="000619F0">
      <w:pPr>
        <w:spacing w:line="360" w:lineRule="auto"/>
        <w:rPr>
          <w:sz w:val="24"/>
        </w:rPr>
      </w:pPr>
    </w:p>
    <w:sectPr w:rsidR="00E05999" w:rsidRPr="00E263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F062B" w14:textId="77777777" w:rsidR="009652A1" w:rsidRDefault="009652A1" w:rsidP="002665E7">
      <w:r>
        <w:separator/>
      </w:r>
    </w:p>
  </w:endnote>
  <w:endnote w:type="continuationSeparator" w:id="0">
    <w:p w14:paraId="6F96CD99" w14:textId="77777777" w:rsidR="009652A1" w:rsidRDefault="009652A1" w:rsidP="0026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Linotype-Roman">
    <w:altName w:val="Palatino Linotype"/>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3F2ED" w14:textId="77777777" w:rsidR="009652A1" w:rsidRDefault="009652A1" w:rsidP="002665E7">
      <w:r>
        <w:separator/>
      </w:r>
    </w:p>
  </w:footnote>
  <w:footnote w:type="continuationSeparator" w:id="0">
    <w:p w14:paraId="28E1FD9E" w14:textId="77777777" w:rsidR="009652A1" w:rsidRDefault="009652A1" w:rsidP="002665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AFDE5A6"/>
    <w:multiLevelType w:val="singleLevel"/>
    <w:tmpl w:val="9AFDE5A6"/>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ADA"/>
    <w:rsid w:val="00004723"/>
    <w:rsid w:val="00010338"/>
    <w:rsid w:val="0001046E"/>
    <w:rsid w:val="00025B99"/>
    <w:rsid w:val="00033ABB"/>
    <w:rsid w:val="0004033D"/>
    <w:rsid w:val="000619F0"/>
    <w:rsid w:val="000813A1"/>
    <w:rsid w:val="0009066A"/>
    <w:rsid w:val="000968D5"/>
    <w:rsid w:val="000D3FF4"/>
    <w:rsid w:val="000D7E73"/>
    <w:rsid w:val="00115200"/>
    <w:rsid w:val="00116E0E"/>
    <w:rsid w:val="00120CA0"/>
    <w:rsid w:val="00125005"/>
    <w:rsid w:val="00126A7C"/>
    <w:rsid w:val="00136DAA"/>
    <w:rsid w:val="00163A77"/>
    <w:rsid w:val="001A24E8"/>
    <w:rsid w:val="001E0BCE"/>
    <w:rsid w:val="001F115A"/>
    <w:rsid w:val="001F122A"/>
    <w:rsid w:val="001F3D51"/>
    <w:rsid w:val="002140D2"/>
    <w:rsid w:val="00222C5E"/>
    <w:rsid w:val="00242536"/>
    <w:rsid w:val="002533CE"/>
    <w:rsid w:val="002665E7"/>
    <w:rsid w:val="00292187"/>
    <w:rsid w:val="002A0384"/>
    <w:rsid w:val="002B1D6D"/>
    <w:rsid w:val="002C5A10"/>
    <w:rsid w:val="0033410D"/>
    <w:rsid w:val="003368CE"/>
    <w:rsid w:val="00341897"/>
    <w:rsid w:val="00347054"/>
    <w:rsid w:val="0038595F"/>
    <w:rsid w:val="003A4D2A"/>
    <w:rsid w:val="003B45F2"/>
    <w:rsid w:val="003E5D6D"/>
    <w:rsid w:val="003F187F"/>
    <w:rsid w:val="00415316"/>
    <w:rsid w:val="00422441"/>
    <w:rsid w:val="00423762"/>
    <w:rsid w:val="004401F5"/>
    <w:rsid w:val="00440243"/>
    <w:rsid w:val="004B4AEC"/>
    <w:rsid w:val="004F6405"/>
    <w:rsid w:val="00515F02"/>
    <w:rsid w:val="00522E19"/>
    <w:rsid w:val="00530261"/>
    <w:rsid w:val="00535244"/>
    <w:rsid w:val="00535784"/>
    <w:rsid w:val="0056279E"/>
    <w:rsid w:val="00567E54"/>
    <w:rsid w:val="005A4F7F"/>
    <w:rsid w:val="005B0938"/>
    <w:rsid w:val="005E1966"/>
    <w:rsid w:val="00624CA2"/>
    <w:rsid w:val="0065186C"/>
    <w:rsid w:val="00654656"/>
    <w:rsid w:val="006A543D"/>
    <w:rsid w:val="006B5A35"/>
    <w:rsid w:val="006C0C61"/>
    <w:rsid w:val="007150F9"/>
    <w:rsid w:val="00723D53"/>
    <w:rsid w:val="00737F64"/>
    <w:rsid w:val="00766A56"/>
    <w:rsid w:val="007752F3"/>
    <w:rsid w:val="007819EC"/>
    <w:rsid w:val="0079778B"/>
    <w:rsid w:val="007B3636"/>
    <w:rsid w:val="007C0D06"/>
    <w:rsid w:val="007D4343"/>
    <w:rsid w:val="007F0AA8"/>
    <w:rsid w:val="007F7C78"/>
    <w:rsid w:val="008137E3"/>
    <w:rsid w:val="008425EE"/>
    <w:rsid w:val="00874588"/>
    <w:rsid w:val="00880D09"/>
    <w:rsid w:val="008B42D6"/>
    <w:rsid w:val="008B6466"/>
    <w:rsid w:val="008E0CEF"/>
    <w:rsid w:val="009019D0"/>
    <w:rsid w:val="00940666"/>
    <w:rsid w:val="009652A1"/>
    <w:rsid w:val="0098210E"/>
    <w:rsid w:val="009A724C"/>
    <w:rsid w:val="009C7126"/>
    <w:rsid w:val="00A13354"/>
    <w:rsid w:val="00A41AFC"/>
    <w:rsid w:val="00AA0A02"/>
    <w:rsid w:val="00AA283A"/>
    <w:rsid w:val="00AA7C90"/>
    <w:rsid w:val="00AB2962"/>
    <w:rsid w:val="00AB6E7E"/>
    <w:rsid w:val="00AC0347"/>
    <w:rsid w:val="00AC787A"/>
    <w:rsid w:val="00AD3885"/>
    <w:rsid w:val="00AD59C8"/>
    <w:rsid w:val="00AF3DEE"/>
    <w:rsid w:val="00B1014E"/>
    <w:rsid w:val="00B23152"/>
    <w:rsid w:val="00B54BE2"/>
    <w:rsid w:val="00B5741C"/>
    <w:rsid w:val="00B6245E"/>
    <w:rsid w:val="00B66ADA"/>
    <w:rsid w:val="00B716CE"/>
    <w:rsid w:val="00B8172D"/>
    <w:rsid w:val="00B9564F"/>
    <w:rsid w:val="00BB3A75"/>
    <w:rsid w:val="00BE1D7F"/>
    <w:rsid w:val="00C24947"/>
    <w:rsid w:val="00C51F82"/>
    <w:rsid w:val="00C61480"/>
    <w:rsid w:val="00C80FB6"/>
    <w:rsid w:val="00C8442C"/>
    <w:rsid w:val="00CD0DB9"/>
    <w:rsid w:val="00CD34C9"/>
    <w:rsid w:val="00D02491"/>
    <w:rsid w:val="00D02FB1"/>
    <w:rsid w:val="00D10CD5"/>
    <w:rsid w:val="00D30D68"/>
    <w:rsid w:val="00D31AC0"/>
    <w:rsid w:val="00DA506A"/>
    <w:rsid w:val="00DC52D5"/>
    <w:rsid w:val="00DD3EBA"/>
    <w:rsid w:val="00DE5A83"/>
    <w:rsid w:val="00E05999"/>
    <w:rsid w:val="00E06CA5"/>
    <w:rsid w:val="00E15CF5"/>
    <w:rsid w:val="00E25EDA"/>
    <w:rsid w:val="00E2639E"/>
    <w:rsid w:val="00E629AB"/>
    <w:rsid w:val="00EB0194"/>
    <w:rsid w:val="00F140C2"/>
    <w:rsid w:val="00F2137A"/>
    <w:rsid w:val="00F53B6C"/>
    <w:rsid w:val="00F53D7D"/>
    <w:rsid w:val="00F53E26"/>
    <w:rsid w:val="00F73830"/>
    <w:rsid w:val="00F97DBC"/>
    <w:rsid w:val="00FA1D1C"/>
    <w:rsid w:val="00FC1EF8"/>
    <w:rsid w:val="2D6A5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E9403"/>
  <w15:docId w15:val="{AEB0526D-784F-4772-84EA-C5263414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4343"/>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 w:type="character" w:styleId="a8">
    <w:name w:val="annotation reference"/>
    <w:basedOn w:val="a0"/>
    <w:uiPriority w:val="99"/>
    <w:semiHidden/>
    <w:unhideWhenUsed/>
    <w:rPr>
      <w:sz w:val="21"/>
      <w:szCs w:val="21"/>
    </w:rPr>
  </w:style>
  <w:style w:type="paragraph" w:styleId="a9">
    <w:name w:val="Balloon Text"/>
    <w:basedOn w:val="a"/>
    <w:link w:val="aa"/>
    <w:uiPriority w:val="99"/>
    <w:semiHidden/>
    <w:unhideWhenUsed/>
    <w:rsid w:val="002665E7"/>
    <w:rPr>
      <w:sz w:val="18"/>
      <w:szCs w:val="18"/>
    </w:rPr>
  </w:style>
  <w:style w:type="character" w:customStyle="1" w:styleId="aa">
    <w:name w:val="批注框文本 字符"/>
    <w:basedOn w:val="a0"/>
    <w:link w:val="a9"/>
    <w:uiPriority w:val="99"/>
    <w:semiHidden/>
    <w:rsid w:val="002665E7"/>
    <w:rPr>
      <w:rFonts w:ascii="Times New Roman" w:eastAsia="宋体" w:hAnsi="Times New Roman" w:cs="Times New Roman"/>
      <w:kern w:val="2"/>
      <w:sz w:val="18"/>
      <w:szCs w:val="18"/>
    </w:rPr>
  </w:style>
  <w:style w:type="character" w:customStyle="1" w:styleId="fontstyle01">
    <w:name w:val="fontstyle01"/>
    <w:basedOn w:val="a0"/>
    <w:rsid w:val="00E05999"/>
    <w:rPr>
      <w:rFonts w:ascii="PalatinoLinotype-Roman" w:hAnsi="PalatinoLinotype-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66134-4D74-45EB-A4D4-44A5EE020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12</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王硕</dc:creator>
  <cp:lastModifiedBy>王硕</cp:lastModifiedBy>
  <cp:revision>54</cp:revision>
  <dcterms:created xsi:type="dcterms:W3CDTF">2024-11-07T13:44:00Z</dcterms:created>
  <dcterms:modified xsi:type="dcterms:W3CDTF">2025-02-24T07:19:00Z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320E7A1F5E92420F8C8FFEDAF7B218C2_13</vt:lpwstr>
  </property>
</Properties>
</file>