
<file path=[Content_Types].xml><?xml version="1.0" encoding="utf-8"?>
<Types xmlns="http://schemas.openxmlformats.org/package/2006/content-types">
  <Default Extension="xml" ContentType="application/xml"/>
  <Default Extension="tiff" ContentType="image/tif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DA3B40">
      <w:pPr>
        <w:spacing w:before="280" w:after="240" w:line="480" w:lineRule="auto"/>
        <w:jc w:val="center"/>
        <w:rPr>
          <w:b/>
          <w:bCs/>
          <w:color w:val="000000" w:themeColor="text1"/>
          <w:sz w:val="36"/>
          <w:szCs w:val="36"/>
          <w:lang w:val="de-DE"/>
          <w14:textFill>
            <w14:solidFill>
              <w14:schemeClr w14:val="tx1"/>
            </w14:solidFill>
          </w14:textFill>
        </w:rPr>
      </w:pPr>
      <w:r>
        <w:rPr>
          <w:rFonts w:asciiTheme="majorBidi" w:hAnsiTheme="majorBidi" w:cstheme="majorBidi"/>
          <w:b/>
          <w:bCs/>
          <w:color w:val="000000" w:themeColor="text1"/>
          <w:sz w:val="28"/>
          <w:szCs w:val="28"/>
          <w14:textFill>
            <w14:solidFill>
              <w14:schemeClr w14:val="tx1"/>
            </w14:solidFill>
          </w14:textFill>
        </w:rPr>
        <w:t>Supplementary Material</w:t>
      </w:r>
    </w:p>
    <w:p w14:paraId="1F1FB90E">
      <w:pPr>
        <w:spacing w:before="156" w:beforeLines="50" w:line="480" w:lineRule="auto"/>
        <w:jc w:val="center"/>
        <w:rPr>
          <w:b/>
          <w:bCs/>
          <w:color w:val="000000" w:themeColor="text1"/>
          <w:lang w:val="de-DE"/>
          <w14:textFill>
            <w14:solidFill>
              <w14:schemeClr w14:val="tx1"/>
            </w14:solidFill>
          </w14:textFill>
        </w:rPr>
      </w:pPr>
      <w:r>
        <w:rPr>
          <w:rFonts w:hint="eastAsia"/>
          <w:b/>
          <w:bCs/>
          <w:color w:val="000000" w:themeColor="text1"/>
          <w:lang w:val="de-DE"/>
          <w14:textFill>
            <w14:solidFill>
              <w14:schemeClr w14:val="tx1"/>
            </w14:solidFill>
          </w14:textFill>
        </w:rPr>
        <w:t>Light-Activatable Manganese Carbonate Nanocubes Elicit Robust Immunotherapy by Amplifying Endoplasmic Reticulum Stress-Meditated Pyroptotic Cell Death</w:t>
      </w:r>
    </w:p>
    <w:p w14:paraId="1F0B0769">
      <w:pPr>
        <w:spacing w:before="156" w:beforeLines="50" w:line="480" w:lineRule="auto"/>
        <w:rPr>
          <w:lang w:val="de-DE"/>
        </w:rPr>
      </w:pPr>
      <w:r>
        <w:rPr>
          <w:lang w:val="de-DE"/>
        </w:rPr>
        <w:t>Chuan Wu</w:t>
      </w:r>
      <w:r>
        <w:rPr>
          <w:rFonts w:hint="eastAsia"/>
          <w:vertAlign w:val="superscript"/>
          <w:lang w:val="de-DE"/>
        </w:rPr>
        <w:t>1</w:t>
      </w:r>
      <w:r>
        <w:rPr>
          <w:rStyle w:val="14"/>
          <w:rFonts w:ascii="Times New Roman" w:hAnsi="Times New Roman"/>
          <w:color w:val="auto"/>
          <w:sz w:val="24"/>
          <w:szCs w:val="24"/>
          <w:vertAlign w:val="superscript"/>
          <w:lang w:val="de-DE"/>
        </w:rPr>
        <w:t>,</w:t>
      </w:r>
      <w:r>
        <w:rPr>
          <w:rStyle w:val="14"/>
          <w:rFonts w:hint="eastAsia" w:ascii="Times New Roman" w:hAnsi="Times New Roman"/>
          <w:color w:val="auto"/>
          <w:sz w:val="24"/>
          <w:szCs w:val="24"/>
          <w:vertAlign w:val="superscript"/>
          <w:lang w:val="de-DE"/>
        </w:rPr>
        <w:t>#</w:t>
      </w:r>
      <w:r>
        <w:rPr>
          <w:lang w:val="de-DE"/>
        </w:rPr>
        <w:t>, Mingquan Gao</w:t>
      </w:r>
      <w:r>
        <w:rPr>
          <w:rStyle w:val="14"/>
          <w:rFonts w:hint="eastAsia" w:ascii="Times New Roman" w:hAnsi="Times New Roman"/>
          <w:color w:val="auto"/>
          <w:sz w:val="24"/>
          <w:szCs w:val="24"/>
          <w:vertAlign w:val="superscript"/>
          <w:lang w:val="de-DE"/>
        </w:rPr>
        <w:t>2</w:t>
      </w:r>
      <w:r>
        <w:rPr>
          <w:rStyle w:val="14"/>
          <w:rFonts w:ascii="Times New Roman" w:hAnsi="Times New Roman"/>
          <w:color w:val="auto"/>
          <w:sz w:val="24"/>
          <w:szCs w:val="24"/>
          <w:vertAlign w:val="superscript"/>
          <w:lang w:val="de-DE"/>
        </w:rPr>
        <w:t>,</w:t>
      </w:r>
      <w:r>
        <w:rPr>
          <w:rStyle w:val="14"/>
          <w:rFonts w:hint="eastAsia" w:ascii="Times New Roman" w:hAnsi="Times New Roman"/>
          <w:color w:val="auto"/>
          <w:sz w:val="24"/>
          <w:szCs w:val="24"/>
          <w:vertAlign w:val="superscript"/>
          <w:lang w:val="de-DE"/>
        </w:rPr>
        <w:t>#</w:t>
      </w:r>
      <w:r>
        <w:rPr>
          <w:lang w:val="de-DE"/>
        </w:rPr>
        <w:t>, Weidong Xiao</w:t>
      </w:r>
      <w:r>
        <w:rPr>
          <w:rStyle w:val="14"/>
          <w:rFonts w:hint="eastAsia" w:ascii="Times New Roman" w:hAnsi="Times New Roman"/>
          <w:color w:val="auto"/>
          <w:sz w:val="24"/>
          <w:szCs w:val="24"/>
          <w:vertAlign w:val="superscript"/>
          <w:lang w:val="de-DE"/>
        </w:rPr>
        <w:t>3</w:t>
      </w:r>
      <w:r>
        <w:rPr>
          <w:rStyle w:val="14"/>
          <w:rFonts w:ascii="Times New Roman" w:hAnsi="Times New Roman"/>
          <w:color w:val="auto"/>
          <w:sz w:val="24"/>
          <w:szCs w:val="24"/>
          <w:vertAlign w:val="superscript"/>
          <w:lang w:val="de-DE"/>
        </w:rPr>
        <w:t>,</w:t>
      </w:r>
      <w:r>
        <w:rPr>
          <w:rStyle w:val="14"/>
          <w:rFonts w:hint="eastAsia" w:ascii="Times New Roman" w:hAnsi="Times New Roman"/>
          <w:color w:val="auto"/>
          <w:sz w:val="24"/>
          <w:szCs w:val="24"/>
          <w:vertAlign w:val="superscript"/>
          <w:lang w:val="de-DE"/>
        </w:rPr>
        <w:t>#</w:t>
      </w:r>
      <w:r>
        <w:rPr>
          <w:lang w:val="de-DE"/>
        </w:rPr>
        <w:t>, Xie Huang</w:t>
      </w:r>
      <w:r>
        <w:rPr>
          <w:rStyle w:val="14"/>
          <w:rFonts w:hint="eastAsia" w:ascii="Times New Roman" w:hAnsi="Times New Roman"/>
          <w:color w:val="auto"/>
          <w:sz w:val="24"/>
          <w:szCs w:val="24"/>
          <w:vertAlign w:val="superscript"/>
          <w:lang w:val="de-DE"/>
        </w:rPr>
        <w:t>2</w:t>
      </w:r>
      <w:r>
        <w:rPr>
          <w:lang w:val="de-DE"/>
        </w:rPr>
        <w:t>, Xinrui Yang</w:t>
      </w:r>
      <w:r>
        <w:rPr>
          <w:rStyle w:val="14"/>
          <w:rFonts w:hint="eastAsia" w:ascii="Times New Roman" w:hAnsi="Times New Roman"/>
          <w:color w:val="auto"/>
          <w:sz w:val="24"/>
          <w:szCs w:val="24"/>
          <w:vertAlign w:val="superscript"/>
          <w:lang w:val="de-DE"/>
        </w:rPr>
        <w:t>2</w:t>
      </w:r>
      <w:r>
        <w:rPr>
          <w:lang w:val="de-DE"/>
        </w:rPr>
        <w:t>, Zifei Wu</w:t>
      </w:r>
      <w:r>
        <w:rPr>
          <w:rStyle w:val="14"/>
          <w:rFonts w:hint="eastAsia" w:ascii="Times New Roman" w:hAnsi="Times New Roman"/>
          <w:color w:val="auto"/>
          <w:sz w:val="24"/>
          <w:szCs w:val="24"/>
          <w:vertAlign w:val="superscript"/>
          <w:lang w:val="de-DE"/>
        </w:rPr>
        <w:t>2</w:t>
      </w:r>
      <w:r>
        <w:rPr>
          <w:lang w:val="de-DE"/>
        </w:rPr>
        <w:t>, Xudong Yu</w:t>
      </w:r>
      <w:r>
        <w:rPr>
          <w:rStyle w:val="14"/>
          <w:rFonts w:hint="eastAsia" w:ascii="Times New Roman" w:hAnsi="Times New Roman"/>
          <w:color w:val="auto"/>
          <w:sz w:val="24"/>
          <w:szCs w:val="24"/>
          <w:vertAlign w:val="superscript"/>
          <w:lang w:val="de-DE"/>
        </w:rPr>
        <w:t>2</w:t>
      </w:r>
      <w:r>
        <w:rPr>
          <w:lang w:val="de-DE"/>
        </w:rPr>
        <w:t>, Banghui Mo</w:t>
      </w:r>
      <w:r>
        <w:rPr>
          <w:rStyle w:val="14"/>
          <w:rFonts w:hint="eastAsia" w:ascii="Times New Roman" w:hAnsi="Times New Roman"/>
          <w:color w:val="auto"/>
          <w:sz w:val="24"/>
          <w:szCs w:val="24"/>
          <w:vertAlign w:val="superscript"/>
          <w:lang w:val="de-DE"/>
        </w:rPr>
        <w:t>2</w:t>
      </w:r>
      <w:r>
        <w:rPr>
          <w:lang w:val="de-DE"/>
        </w:rPr>
        <w:t>, Zaizhi Du</w:t>
      </w:r>
      <w:r>
        <w:rPr>
          <w:rStyle w:val="14"/>
          <w:rFonts w:hint="eastAsia" w:ascii="Times New Roman" w:hAnsi="Times New Roman"/>
          <w:color w:val="auto"/>
          <w:sz w:val="24"/>
          <w:szCs w:val="24"/>
          <w:vertAlign w:val="superscript"/>
          <w:lang w:val="de-DE"/>
        </w:rPr>
        <w:t>2</w:t>
      </w:r>
      <w:r>
        <w:rPr>
          <w:lang w:val="de-DE"/>
        </w:rPr>
        <w:t>, Ziqian Shang</w:t>
      </w:r>
      <w:r>
        <w:rPr>
          <w:rStyle w:val="14"/>
          <w:rFonts w:hint="eastAsia" w:ascii="Times New Roman" w:hAnsi="Times New Roman"/>
          <w:color w:val="auto"/>
          <w:sz w:val="24"/>
          <w:szCs w:val="24"/>
          <w:vertAlign w:val="superscript"/>
          <w:lang w:val="de-DE"/>
        </w:rPr>
        <w:t>2</w:t>
      </w:r>
      <w:r>
        <w:rPr>
          <w:lang w:val="de-DE"/>
        </w:rPr>
        <w:t>, Jing Liu</w:t>
      </w:r>
      <w:r>
        <w:rPr>
          <w:rStyle w:val="14"/>
          <w:rFonts w:hint="eastAsia" w:ascii="Times New Roman" w:hAnsi="Times New Roman"/>
          <w:color w:val="auto"/>
          <w:sz w:val="24"/>
          <w:szCs w:val="24"/>
          <w:vertAlign w:val="superscript"/>
          <w:lang w:val="de-DE"/>
        </w:rPr>
        <w:t>2</w:t>
      </w:r>
      <w:r>
        <w:rPr>
          <w:lang w:val="de-DE"/>
        </w:rPr>
        <w:t>, Can Shi</w:t>
      </w:r>
      <w:r>
        <w:rPr>
          <w:rStyle w:val="14"/>
          <w:rFonts w:hint="eastAsia" w:ascii="Times New Roman" w:hAnsi="Times New Roman"/>
          <w:color w:val="auto"/>
          <w:sz w:val="24"/>
          <w:szCs w:val="24"/>
          <w:vertAlign w:val="superscript"/>
          <w:lang w:val="de-DE"/>
        </w:rPr>
        <w:t>2</w:t>
      </w:r>
      <w:r>
        <w:rPr>
          <w:lang w:val="de-DE"/>
        </w:rPr>
        <w:t>, Rong Li</w:t>
      </w:r>
      <w:r>
        <w:rPr>
          <w:rStyle w:val="14"/>
          <w:rFonts w:hint="eastAsia" w:ascii="Times New Roman" w:hAnsi="Times New Roman"/>
          <w:color w:val="auto"/>
          <w:sz w:val="24"/>
          <w:szCs w:val="24"/>
          <w:vertAlign w:val="superscript"/>
          <w:lang w:val="de-DE"/>
        </w:rPr>
        <w:t>2</w:t>
      </w:r>
      <w:r>
        <w:rPr>
          <w:rStyle w:val="14"/>
          <w:rFonts w:ascii="Times New Roman" w:hAnsi="Times New Roman"/>
          <w:color w:val="auto"/>
          <w:sz w:val="24"/>
          <w:szCs w:val="24"/>
          <w:vertAlign w:val="superscript"/>
          <w:lang w:val="de-DE"/>
        </w:rPr>
        <w:t>,</w:t>
      </w:r>
      <w:r>
        <w:rPr>
          <w:rStyle w:val="14"/>
          <w:rFonts w:ascii="Times New Roman" w:hAnsi="Times New Roman"/>
          <w:color w:val="auto"/>
          <w:sz w:val="24"/>
          <w:szCs w:val="24"/>
          <w:lang w:val="de-DE"/>
        </w:rPr>
        <w:t>*</w:t>
      </w:r>
      <w:r>
        <w:rPr>
          <w:lang w:val="de-DE"/>
        </w:rPr>
        <w:t>, Shenglin Luo</w:t>
      </w:r>
      <w:r>
        <w:rPr>
          <w:rStyle w:val="14"/>
          <w:rFonts w:hint="eastAsia" w:ascii="Times New Roman" w:hAnsi="Times New Roman"/>
          <w:color w:val="auto"/>
          <w:sz w:val="24"/>
          <w:szCs w:val="24"/>
          <w:vertAlign w:val="superscript"/>
          <w:lang w:val="de-DE"/>
        </w:rPr>
        <w:t>2</w:t>
      </w:r>
      <w:r>
        <w:rPr>
          <w:rStyle w:val="14"/>
          <w:rFonts w:ascii="Times New Roman" w:hAnsi="Times New Roman"/>
          <w:color w:val="auto"/>
          <w:sz w:val="24"/>
          <w:szCs w:val="24"/>
          <w:vertAlign w:val="superscript"/>
          <w:lang w:val="de-DE"/>
        </w:rPr>
        <w:t>,</w:t>
      </w:r>
      <w:r>
        <w:rPr>
          <w:rStyle w:val="14"/>
          <w:rFonts w:ascii="Times New Roman" w:hAnsi="Times New Roman"/>
          <w:color w:val="auto"/>
          <w:sz w:val="24"/>
          <w:szCs w:val="24"/>
          <w:lang w:val="de-DE"/>
        </w:rPr>
        <w:t>*</w:t>
      </w:r>
      <w:r>
        <w:rPr>
          <w:lang w:val="de-DE"/>
        </w:rPr>
        <w:t>, Weidong Wang</w:t>
      </w:r>
      <w:r>
        <w:rPr>
          <w:rStyle w:val="14"/>
          <w:rFonts w:hint="eastAsia" w:ascii="Times New Roman" w:hAnsi="Times New Roman"/>
          <w:color w:val="auto"/>
          <w:sz w:val="24"/>
          <w:szCs w:val="24"/>
          <w:vertAlign w:val="superscript"/>
          <w:lang w:val="de-DE"/>
        </w:rPr>
        <w:t>1</w:t>
      </w:r>
      <w:r>
        <w:rPr>
          <w:rStyle w:val="14"/>
          <w:rFonts w:ascii="Times New Roman" w:hAnsi="Times New Roman"/>
          <w:color w:val="auto"/>
          <w:sz w:val="24"/>
          <w:szCs w:val="24"/>
          <w:vertAlign w:val="superscript"/>
          <w:lang w:val="de-DE"/>
        </w:rPr>
        <w:t>,</w:t>
      </w:r>
      <w:r>
        <w:rPr>
          <w:rStyle w:val="14"/>
          <w:rFonts w:hint="eastAsia"/>
          <w:color w:val="auto"/>
          <w:sz w:val="24"/>
          <w:szCs w:val="24"/>
          <w:vertAlign w:val="superscript"/>
          <w:lang w:val="en-US" w:eastAsia="zh-CN"/>
        </w:rPr>
        <w:t>3,</w:t>
      </w:r>
      <w:bookmarkStart w:id="4" w:name="_GoBack"/>
      <w:bookmarkEnd w:id="4"/>
      <w:r>
        <w:rPr>
          <w:rStyle w:val="14"/>
          <w:rFonts w:ascii="Times New Roman" w:hAnsi="Times New Roman"/>
          <w:color w:val="auto"/>
          <w:sz w:val="24"/>
          <w:szCs w:val="24"/>
          <w:lang w:val="de-DE"/>
        </w:rPr>
        <w:t>*</w:t>
      </w:r>
    </w:p>
    <w:p w14:paraId="0527F8E7">
      <w:pPr>
        <w:spacing w:before="156" w:beforeLines="50" w:line="480" w:lineRule="auto"/>
      </w:pPr>
      <w:r>
        <w:rPr>
          <w:rFonts w:hint="eastAsia"/>
          <w:vertAlign w:val="superscript"/>
        </w:rPr>
        <w:t>1</w:t>
      </w:r>
      <w:r>
        <w:rPr>
          <w:rFonts w:hint="eastAsia"/>
        </w:rPr>
        <w:t xml:space="preserve"> </w:t>
      </w:r>
      <w:r>
        <w:t xml:space="preserve">Department of Radiation Oncology, </w:t>
      </w:r>
      <w:r>
        <w:rPr>
          <w:rFonts w:hint="eastAsia"/>
        </w:rPr>
        <w:t>Sichuan Clinical Research Center for Cancer, Sichuan Cancer Hospital &amp; Institute, Sichuan Cancer Center, School of Medicine, University of Electronic Science and Technology of China</w:t>
      </w:r>
      <w:r>
        <w:t>, Chengdu 610054, China</w:t>
      </w:r>
      <w:r>
        <w:rPr>
          <w:rFonts w:hint="eastAsia"/>
        </w:rPr>
        <w:t>.</w:t>
      </w:r>
    </w:p>
    <w:p w14:paraId="69845A68">
      <w:pPr>
        <w:spacing w:before="156" w:beforeLines="50" w:line="480" w:lineRule="auto"/>
        <w:rPr>
          <w:rStyle w:val="12"/>
          <w:color w:val="auto"/>
        </w:rPr>
      </w:pPr>
      <w:r>
        <w:rPr>
          <w:rFonts w:hint="eastAsia"/>
          <w:vertAlign w:val="superscript"/>
        </w:rPr>
        <w:t>2</w:t>
      </w:r>
      <w:r>
        <w:rPr>
          <w:rFonts w:hint="eastAsia"/>
        </w:rPr>
        <w:t xml:space="preserve"> </w:t>
      </w:r>
      <w:r>
        <w:rPr>
          <w:lang w:val="de-DE"/>
        </w:rPr>
        <w:t>Institute of Combined Injury, State Key Laboratory of Trauma and Chemical Poisoning, Chongqing Engineering Research Center for Nanomedicine, College of Preventive Medicine, Third Military Medical University (Army Medical University), Chongqing 400038, China.</w:t>
      </w:r>
    </w:p>
    <w:p w14:paraId="56998C0E">
      <w:pPr>
        <w:spacing w:before="156" w:beforeLines="50" w:line="480" w:lineRule="auto"/>
        <w:rPr>
          <w:rFonts w:hint="default" w:eastAsia="宋体"/>
          <w:color w:val="FF0000"/>
          <w:lang w:val="en-US" w:eastAsia="zh-CN"/>
        </w:rPr>
      </w:pPr>
      <w:r>
        <w:rPr>
          <w:rFonts w:hint="eastAsia"/>
          <w:color w:val="FF0000"/>
          <w:vertAlign w:val="superscript"/>
        </w:rPr>
        <w:t>3</w:t>
      </w:r>
      <w:r>
        <w:rPr>
          <w:rFonts w:hint="eastAsia"/>
          <w:color w:val="FF0000"/>
        </w:rPr>
        <w:t xml:space="preserve"> Department of Radiation Oncology, Radiation Oncology Key Laboratory ofSichuan Province, Sichuan Clinical Research Center for Cancer, SichuanCancer Hospital &amp; Institute, Sichuan Cancer Center, School of MedicineUniversity of Electronic Science and Technology of China</w:t>
      </w:r>
      <w:r>
        <w:rPr>
          <w:rFonts w:hint="eastAsia"/>
          <w:color w:val="FF0000"/>
          <w:lang w:val="en-US" w:eastAsia="zh-CN"/>
        </w:rPr>
        <w:t xml:space="preserve">, </w:t>
      </w:r>
      <w:r>
        <w:rPr>
          <w:color w:val="FF0000"/>
        </w:rPr>
        <w:t>Chengdu 6100</w:t>
      </w:r>
      <w:r>
        <w:rPr>
          <w:rFonts w:hint="eastAsia"/>
          <w:color w:val="FF0000"/>
          <w:lang w:val="en-US" w:eastAsia="zh-CN"/>
        </w:rPr>
        <w:t>41</w:t>
      </w:r>
      <w:r>
        <w:rPr>
          <w:color w:val="FF0000"/>
        </w:rPr>
        <w:t>, China</w:t>
      </w:r>
      <w:r>
        <w:rPr>
          <w:rFonts w:hint="eastAsia"/>
          <w:color w:val="FF0000"/>
        </w:rPr>
        <w:t>.</w:t>
      </w:r>
    </w:p>
    <w:p w14:paraId="158D333B">
      <w:pPr>
        <w:spacing w:before="156" w:beforeLines="50" w:line="480" w:lineRule="auto"/>
        <w:rPr>
          <w:lang w:val="de-DE"/>
        </w:rPr>
      </w:pPr>
      <w:r>
        <w:rPr>
          <w:rFonts w:hint="eastAsia"/>
          <w:vertAlign w:val="superscript"/>
          <w:lang w:val="en-US" w:eastAsia="zh-CN"/>
        </w:rPr>
        <w:t>4</w:t>
      </w:r>
      <w:r>
        <w:rPr>
          <w:rFonts w:hint="eastAsia"/>
          <w:lang w:val="en-US" w:eastAsia="zh-CN"/>
        </w:rPr>
        <w:t xml:space="preserve"> </w:t>
      </w:r>
      <w:r>
        <w:rPr>
          <w:lang w:val="de-DE"/>
        </w:rPr>
        <w:t>Department of Pharmacy, Daping Hospital, Third Military Medical University (Army Medical University), Chongqing 400042, China.</w:t>
      </w:r>
    </w:p>
    <w:p w14:paraId="64F3240A">
      <w:pPr>
        <w:spacing w:before="156" w:beforeLines="50" w:line="480" w:lineRule="auto"/>
        <w:rPr>
          <w:lang w:val="de-DE"/>
        </w:rPr>
      </w:pPr>
      <w:r>
        <w:rPr>
          <w:rFonts w:hint="eastAsia"/>
          <w:vertAlign w:val="superscript"/>
        </w:rPr>
        <w:t>#</w:t>
      </w:r>
      <w:r>
        <w:t xml:space="preserve"> </w:t>
      </w:r>
      <w:r>
        <w:rPr>
          <w:rFonts w:hint="eastAsia"/>
        </w:rPr>
        <w:t>These authors</w:t>
      </w:r>
      <w:r>
        <w:t xml:space="preserve"> contributed equally to this work.</w:t>
      </w:r>
    </w:p>
    <w:p w14:paraId="5EBA8A05">
      <w:pPr>
        <w:spacing w:before="156" w:beforeLines="50" w:line="480" w:lineRule="auto"/>
        <w:rPr>
          <w:b/>
          <w:bCs/>
          <w:lang w:val="de-DE"/>
        </w:rPr>
      </w:pPr>
      <w:r>
        <w:rPr>
          <w:rFonts w:hint="eastAsia"/>
          <w:b/>
          <w:bCs/>
          <w:lang w:val="de-DE"/>
        </w:rPr>
        <w:t>*</w:t>
      </w:r>
      <w:r>
        <w:rPr>
          <w:rFonts w:hint="eastAsia"/>
          <w:b/>
          <w:bCs/>
        </w:rPr>
        <w:t xml:space="preserve"> </w:t>
      </w:r>
      <w:r>
        <w:rPr>
          <w:rFonts w:hint="eastAsia"/>
          <w:b/>
          <w:bCs/>
          <w:lang w:val="de-DE"/>
        </w:rPr>
        <w:t>Corresponding authors.</w:t>
      </w:r>
    </w:p>
    <w:p w14:paraId="354DBB5B">
      <w:pPr>
        <w:spacing w:line="480" w:lineRule="auto"/>
      </w:pPr>
      <w:r>
        <w:rPr>
          <w:rFonts w:hint="eastAsia"/>
          <w:lang w:val="de-DE"/>
        </w:rPr>
        <w:t>Email address</w:t>
      </w:r>
      <w:r>
        <w:rPr>
          <w:rFonts w:hint="eastAsia"/>
        </w:rPr>
        <w:t>es</w:t>
      </w:r>
      <w:r>
        <w:rPr>
          <w:rFonts w:hint="eastAsia"/>
          <w:lang w:val="de-DE"/>
        </w:rPr>
        <w:t>: lrong361@126.com (R. Li)</w:t>
      </w:r>
      <w:r>
        <w:rPr>
          <w:rFonts w:hint="eastAsia"/>
        </w:rPr>
        <w:t>;</w:t>
      </w:r>
      <w:r>
        <w:rPr>
          <w:rFonts w:hint="eastAsia"/>
          <w:lang w:val="de-DE"/>
        </w:rPr>
        <w:t xml:space="preserve"> luosl@tmmu.edu.cn (S. Luo)</w:t>
      </w:r>
      <w:r>
        <w:rPr>
          <w:rFonts w:hint="eastAsia"/>
        </w:rPr>
        <w:t xml:space="preserve">; </w:t>
      </w:r>
      <w:r>
        <w:rPr>
          <w:rFonts w:hint="eastAsia"/>
          <w:lang w:val="de-DE"/>
        </w:rPr>
        <w:t>wwdwyl@uestc.edu.cn (W. Wang)</w:t>
      </w:r>
      <w:r>
        <w:rPr>
          <w:rFonts w:hint="eastAsia"/>
        </w:rPr>
        <w:t>.</w:t>
      </w:r>
    </w:p>
    <w:p w14:paraId="24A64438">
      <w:pPr>
        <w:spacing w:line="480" w:lineRule="auto"/>
      </w:pPr>
    </w:p>
    <w:p w14:paraId="1993E513">
      <w:pPr>
        <w:spacing w:line="480" w:lineRule="auto"/>
        <w:rPr>
          <w:b/>
          <w:bCs/>
          <w:color w:val="000000" w:themeColor="text1"/>
          <w:lang w:bidi="ar"/>
          <w14:textFill>
            <w14:solidFill>
              <w14:schemeClr w14:val="tx1"/>
            </w14:solidFill>
          </w14:textFill>
        </w:rPr>
      </w:pPr>
      <w:r>
        <w:rPr>
          <w:b/>
          <w:bCs/>
          <w:color w:val="000000" w:themeColor="text1"/>
          <w:lang w:bidi="ar"/>
          <w14:textFill>
            <w14:solidFill>
              <w14:schemeClr w14:val="tx1"/>
            </w14:solidFill>
          </w14:textFill>
        </w:rPr>
        <w:t>Supplementary</w:t>
      </w:r>
      <w:r>
        <w:rPr>
          <w:rFonts w:hint="eastAsia"/>
          <w:b/>
          <w:bCs/>
          <w:color w:val="000000" w:themeColor="text1"/>
          <w:lang w:bidi="ar"/>
          <w14:textFill>
            <w14:solidFill>
              <w14:schemeClr w14:val="tx1"/>
            </w14:solidFill>
          </w14:textFill>
        </w:rPr>
        <w:t xml:space="preserve"> Figure</w:t>
      </w:r>
      <w:r>
        <w:rPr>
          <w:b/>
          <w:bCs/>
          <w:color w:val="000000" w:themeColor="text1"/>
          <w:lang w:bidi="ar"/>
          <w14:textFill>
            <w14:solidFill>
              <w14:schemeClr w14:val="tx1"/>
            </w14:solidFill>
          </w14:textFill>
        </w:rPr>
        <w:t>s</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22B7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nil"/>
              <w:left w:val="nil"/>
              <w:bottom w:val="nil"/>
              <w:right w:val="nil"/>
            </w:tcBorders>
          </w:tcPr>
          <w:p w14:paraId="59C7D461">
            <w:pPr>
              <w:spacing w:line="480" w:lineRule="auto"/>
              <w:rPr>
                <w:color w:val="000000" w:themeColor="text1"/>
                <w:kern w:val="0"/>
                <w:lang w:bidi="ar"/>
                <w14:textFill>
                  <w14:solidFill>
                    <w14:schemeClr w14:val="tx1"/>
                  </w14:solidFill>
                </w14:textFill>
              </w:rPr>
            </w:pPr>
            <w:r>
              <w:rPr>
                <w:color w:val="000000" w:themeColor="text1"/>
                <w14:textFill>
                  <w14:solidFill>
                    <w14:schemeClr w14:val="tx1"/>
                  </w14:solidFill>
                </w14:textFill>
              </w:rPr>
              <w:drawing>
                <wp:inline distT="0" distB="0" distL="0" distR="0">
                  <wp:extent cx="5098415" cy="2484755"/>
                  <wp:effectExtent l="0" t="0" r="6985" b="14605"/>
                  <wp:docPr id="20049000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900033" name="图片 1"/>
                          <pic:cNvPicPr>
                            <a:picLocks noChangeAspect="1" noChangeArrowheads="1"/>
                          </pic:cNvPicPr>
                        </pic:nvPicPr>
                        <pic:blipFill>
                          <a:blip r:embed="rId8" cstate="print">
                            <a:extLst>
                              <a:ext uri="{28A0092B-C50C-407E-A947-70E740481C1C}">
                                <a14:useLocalDpi xmlns:a14="http://schemas.microsoft.com/office/drawing/2010/main" val="0"/>
                              </a:ext>
                            </a:extLst>
                          </a:blip>
                          <a:srcRect t="33810"/>
                          <a:stretch>
                            <a:fillRect/>
                          </a:stretch>
                        </pic:blipFill>
                        <pic:spPr>
                          <a:xfrm>
                            <a:off x="0" y="0"/>
                            <a:ext cx="5098415" cy="2484755"/>
                          </a:xfrm>
                          <a:prstGeom prst="rect">
                            <a:avLst/>
                          </a:prstGeom>
                          <a:noFill/>
                          <a:ln>
                            <a:noFill/>
                          </a:ln>
                        </pic:spPr>
                      </pic:pic>
                    </a:graphicData>
                  </a:graphic>
                </wp:inline>
              </w:drawing>
            </w:r>
          </w:p>
        </w:tc>
      </w:tr>
      <w:tr w14:paraId="3A7EE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nil"/>
              <w:left w:val="nil"/>
              <w:bottom w:val="nil"/>
              <w:right w:val="nil"/>
            </w:tcBorders>
          </w:tcPr>
          <w:p w14:paraId="3948D778">
            <w:pPr>
              <w:spacing w:line="480" w:lineRule="auto"/>
              <w:rPr>
                <w:color w:val="000000" w:themeColor="text1"/>
                <w:kern w:val="0"/>
                <w:lang w:bidi="ar"/>
                <w14:textFill>
                  <w14:solidFill>
                    <w14:schemeClr w14:val="tx1"/>
                  </w14:solidFill>
                </w14:textFill>
              </w:rPr>
            </w:pPr>
            <w:r>
              <w:rPr>
                <w:rFonts w:hint="eastAsia"/>
                <w:b/>
                <w:bCs/>
                <w:color w:val="000000" w:themeColor="text1"/>
                <w:lang w:bidi="ar"/>
                <w14:textFill>
                  <w14:solidFill>
                    <w14:schemeClr w14:val="tx1"/>
                  </w14:solidFill>
                </w14:textFill>
              </w:rPr>
              <w:t>Fig. S1</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w:t>
            </w:r>
            <w:r>
              <w:rPr>
                <w:rFonts w:hint="eastAsia"/>
                <w:b/>
                <w:bCs/>
                <w:color w:val="000000" w:themeColor="text1"/>
                <w14:textFill>
                  <w14:solidFill>
                    <w14:schemeClr w14:val="tx1"/>
                  </w14:solidFill>
                </w14:textFill>
              </w:rPr>
              <w:t>a</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 xml:space="preserve"> Hydrodynamic particle size distribution of both MnCO</w:t>
            </w:r>
            <w:r>
              <w:rPr>
                <w:color w:val="000000" w:themeColor="text1"/>
                <w:vertAlign w:val="subscript"/>
                <w14:textFill>
                  <w14:solidFill>
                    <w14:schemeClr w14:val="tx1"/>
                  </w14:solidFill>
                </w14:textFill>
              </w:rPr>
              <w:t>3</w:t>
            </w:r>
            <w:r>
              <w:rPr>
                <w:color w:val="000000" w:themeColor="text1"/>
                <w14:textFill>
                  <w14:solidFill>
                    <w14:schemeClr w14:val="tx1"/>
                  </w14:solidFill>
                </w14:textFill>
              </w:rPr>
              <w:t xml:space="preserve"> and Mn-ER-Cy. </w:t>
            </w:r>
            <w:r>
              <w:rPr>
                <w:rFonts w:hint="eastAsia"/>
                <w:color w:val="000000" w:themeColor="text1"/>
                <w14:textFill>
                  <w14:solidFill>
                    <w14:schemeClr w14:val="tx1"/>
                  </w14:solidFill>
                </w14:textFill>
              </w:rPr>
              <w:t>(</w:t>
            </w:r>
            <w:r>
              <w:rPr>
                <w:rFonts w:hint="eastAsia"/>
                <w:b/>
                <w:bCs/>
                <w:color w:val="000000" w:themeColor="text1"/>
                <w14:textFill>
                  <w14:solidFill>
                    <w14:schemeClr w14:val="tx1"/>
                  </w14:solidFill>
                </w14:textFill>
              </w:rPr>
              <w:t>b</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 xml:space="preserve"> Zeta potential measurements for MnCO</w:t>
            </w:r>
            <w:r>
              <w:rPr>
                <w:color w:val="000000" w:themeColor="text1"/>
                <w:vertAlign w:val="subscript"/>
                <w14:textFill>
                  <w14:solidFill>
                    <w14:schemeClr w14:val="tx1"/>
                  </w14:solidFill>
                </w14:textFill>
              </w:rPr>
              <w:t>3</w:t>
            </w:r>
            <w:r>
              <w:rPr>
                <w:color w:val="000000" w:themeColor="text1"/>
                <w14:textFill>
                  <w14:solidFill>
                    <w14:schemeClr w14:val="tx1"/>
                  </w14:solidFill>
                </w14:textFill>
              </w:rPr>
              <w:t>, ER-Cy, and Mn-ER-Cy</w:t>
            </w:r>
            <w:r>
              <w:rPr>
                <w:rFonts w:hint="eastAsia"/>
                <w:color w:val="000000" w:themeColor="text1"/>
                <w14:textFill>
                  <w14:solidFill>
                    <w14:schemeClr w14:val="tx1"/>
                  </w14:solidFill>
                </w14:textFill>
              </w:rPr>
              <w:t xml:space="preserve"> (n=3, </w:t>
            </w:r>
            <w:r>
              <w:rPr>
                <w:color w:val="000000" w:themeColor="text1"/>
                <w14:textFill>
                  <w14:solidFill>
                    <w14:schemeClr w14:val="tx1"/>
                  </w14:solidFill>
                </w14:textFill>
              </w:rPr>
              <w:t>mean ± s.d.</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p>
        </w:tc>
      </w:tr>
    </w:tbl>
    <w:p w14:paraId="311A382C">
      <w:pPr>
        <w:spacing w:line="480" w:lineRule="auto"/>
        <w:rPr>
          <w:color w:val="000000" w:themeColor="text1"/>
          <w:lang w:bidi="ar"/>
          <w14:textFill>
            <w14:solidFill>
              <w14:schemeClr w14:val="tx1"/>
            </w14:solidFill>
          </w14:textFill>
        </w:rPr>
      </w:pPr>
      <w:r>
        <w:rPr>
          <w:color w:val="000000" w:themeColor="text1"/>
          <w:lang w:bidi="ar"/>
          <w14:textFill>
            <w14:solidFill>
              <w14:schemeClr w14:val="tx1"/>
            </w14:solidFill>
          </w14:textFill>
        </w:rPr>
        <w:br w:type="page"/>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92"/>
      </w:tblGrid>
      <w:tr w14:paraId="037AC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tcBorders>
              <w:top w:val="nil"/>
              <w:left w:val="nil"/>
              <w:bottom w:val="nil"/>
              <w:right w:val="nil"/>
            </w:tcBorders>
          </w:tcPr>
          <w:p w14:paraId="55E9C015">
            <w:pPr>
              <w:spacing w:line="480" w:lineRule="auto"/>
              <w:rPr>
                <w:color w:val="000000" w:themeColor="text1"/>
                <w:lang w:bidi="ar"/>
                <w14:textFill>
                  <w14:solidFill>
                    <w14:schemeClr w14:val="tx1"/>
                  </w14:solidFill>
                </w14:textFill>
              </w:rPr>
            </w:pPr>
            <w:r>
              <w:rPr>
                <w:color w:val="000000" w:themeColor="text1"/>
                <w14:textFill>
                  <w14:solidFill>
                    <w14:schemeClr w14:val="tx1"/>
                  </w14:solidFill>
                </w14:textFill>
              </w:rPr>
              <w:drawing>
                <wp:inline distT="0" distB="0" distL="114300" distR="114300">
                  <wp:extent cx="5690870" cy="2465705"/>
                  <wp:effectExtent l="0" t="0" r="8890" b="3175"/>
                  <wp:docPr id="7" name="图片 7"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3"/>
                          <pic:cNvPicPr>
                            <a:picLocks noChangeAspect="1"/>
                          </pic:cNvPicPr>
                        </pic:nvPicPr>
                        <pic:blipFill>
                          <a:blip r:embed="rId9">
                            <a:lum bright="12000"/>
                          </a:blip>
                          <a:srcRect r="278"/>
                          <a:stretch>
                            <a:fillRect/>
                          </a:stretch>
                        </pic:blipFill>
                        <pic:spPr>
                          <a:xfrm>
                            <a:off x="0" y="0"/>
                            <a:ext cx="5690870" cy="2465705"/>
                          </a:xfrm>
                          <a:prstGeom prst="rect">
                            <a:avLst/>
                          </a:prstGeom>
                        </pic:spPr>
                      </pic:pic>
                    </a:graphicData>
                  </a:graphic>
                </wp:inline>
              </w:drawing>
            </w:r>
          </w:p>
        </w:tc>
      </w:tr>
      <w:tr w14:paraId="39934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nil"/>
              <w:left w:val="nil"/>
              <w:bottom w:val="nil"/>
              <w:right w:val="nil"/>
            </w:tcBorders>
          </w:tcPr>
          <w:p w14:paraId="181004C2">
            <w:pPr>
              <w:spacing w:line="480" w:lineRule="auto"/>
              <w:rPr>
                <w:color w:val="000000" w:themeColor="text1"/>
                <w:kern w:val="0"/>
                <w:lang w:bidi="ar"/>
                <w14:textFill>
                  <w14:solidFill>
                    <w14:schemeClr w14:val="tx1"/>
                  </w14:solidFill>
                </w14:textFill>
              </w:rPr>
            </w:pPr>
            <w:r>
              <w:rPr>
                <w:rFonts w:hint="eastAsia"/>
                <w:b/>
                <w:bCs/>
                <w:color w:val="000000" w:themeColor="text1"/>
                <w:lang w:bidi="ar"/>
                <w14:textFill>
                  <w14:solidFill>
                    <w14:schemeClr w14:val="tx1"/>
                  </w14:solidFill>
                </w14:textFill>
              </w:rPr>
              <w:t>Fig. S</w:t>
            </w:r>
            <w:r>
              <w:rPr>
                <w:b/>
                <w:bCs/>
                <w:color w:val="000000" w:themeColor="text1"/>
                <w14:textFill>
                  <w14:solidFill>
                    <w14:schemeClr w14:val="tx1"/>
                  </w14:solidFill>
                </w14:textFill>
              </w:rPr>
              <w:t>2</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w:t>
            </w:r>
            <w:r>
              <w:rPr>
                <w:rFonts w:hint="eastAsia"/>
                <w:b/>
                <w:bCs/>
                <w:color w:val="000000" w:themeColor="text1"/>
                <w14:textFill>
                  <w14:solidFill>
                    <w14:schemeClr w14:val="tx1"/>
                  </w14:solidFill>
                </w14:textFill>
              </w:rPr>
              <w:t>a</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 xml:space="preserve"> Fluorescence emission spectrum of ER-Cy and Mn-ER-Cy </w:t>
            </w:r>
            <w:bookmarkStart w:id="0" w:name="OLE_LINK4"/>
            <w:r>
              <w:rPr>
                <w:color w:val="000000" w:themeColor="text1"/>
                <w14:textFill>
                  <w14:solidFill>
                    <w14:schemeClr w14:val="tx1"/>
                  </w14:solidFill>
                </w14:textFill>
              </w:rPr>
              <w:t>in aqueous solution</w:t>
            </w:r>
            <w:bookmarkEnd w:id="0"/>
            <w:r>
              <w:rPr>
                <w:color w:val="000000" w:themeColor="text1"/>
                <w14:textFill>
                  <w14:solidFill>
                    <w14:schemeClr w14:val="tx1"/>
                  </w14:solidFill>
                </w14:textFill>
              </w:rPr>
              <w:t xml:space="preserve">, with excitation at 805 nm. </w:t>
            </w:r>
            <w:r>
              <w:rPr>
                <w:rFonts w:hint="eastAsia"/>
                <w:color w:val="000000" w:themeColor="text1"/>
                <w14:textFill>
                  <w14:solidFill>
                    <w14:schemeClr w14:val="tx1"/>
                  </w14:solidFill>
                </w14:textFill>
              </w:rPr>
              <w:t>(</w:t>
            </w:r>
            <w:r>
              <w:rPr>
                <w:rFonts w:hint="eastAsia"/>
                <w:b/>
                <w:bCs/>
                <w:color w:val="000000" w:themeColor="text1"/>
                <w14:textFill>
                  <w14:solidFill>
                    <w14:schemeClr w14:val="tx1"/>
                  </w14:solidFill>
                </w14:textFill>
              </w:rPr>
              <w:t>b</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 xml:space="preserve"> Fluorescence emission spectrum of Mn-ER-Cy in different solvents, with excitation at 805 nm.</w:t>
            </w:r>
            <w:r>
              <w:rPr>
                <w:rFonts w:hint="eastAsia"/>
                <w:color w:val="000000" w:themeColor="text1"/>
                <w14:textFill>
                  <w14:solidFill>
                    <w14:schemeClr w14:val="tx1"/>
                  </w14:solidFill>
                </w14:textFill>
              </w:rPr>
              <w:t xml:space="preserve"> A significant increase of f</w:t>
            </w:r>
            <w:r>
              <w:rPr>
                <w:color w:val="000000" w:themeColor="text1"/>
                <w14:textFill>
                  <w14:solidFill>
                    <w14:schemeClr w14:val="tx1"/>
                  </w14:solidFill>
                </w14:textFill>
              </w:rPr>
              <w:t>luorescen</w:t>
            </w:r>
            <w:r>
              <w:rPr>
                <w:rFonts w:hint="eastAsia"/>
                <w:color w:val="000000" w:themeColor="text1"/>
                <w14:textFill>
                  <w14:solidFill>
                    <w14:schemeClr w14:val="tx1"/>
                  </w14:solidFill>
                </w14:textFill>
              </w:rPr>
              <w:t xml:space="preserve">t intensity was found for Mn-ER-Cy in </w:t>
            </w:r>
            <w:r>
              <w:rPr>
                <w:color w:val="000000" w:themeColor="text1"/>
                <w14:textFill>
                  <w14:solidFill>
                    <w14:schemeClr w14:val="tx1"/>
                  </w14:solidFill>
                </w14:textFill>
              </w:rPr>
              <w:t>aqueous solution</w:t>
            </w:r>
            <w:r>
              <w:rPr>
                <w:rFonts w:hint="eastAsia"/>
                <w:color w:val="000000" w:themeColor="text1"/>
                <w14:textFill>
                  <w14:solidFill>
                    <w14:schemeClr w14:val="tx1"/>
                  </w14:solidFill>
                </w14:textFill>
              </w:rPr>
              <w:t xml:space="preserve"> after ER-Cy was modified on MnCO</w:t>
            </w:r>
            <w:r>
              <w:rPr>
                <w:rFonts w:hint="eastAsia"/>
                <w:color w:val="000000" w:themeColor="text1"/>
                <w:vertAlign w:val="subscript"/>
                <w14:textFill>
                  <w14:solidFill>
                    <w14:schemeClr w14:val="tx1"/>
                  </w14:solidFill>
                </w14:textFill>
              </w:rPr>
              <w:t>3</w:t>
            </w:r>
            <w:r>
              <w:rPr>
                <w:rFonts w:hint="eastAsia"/>
                <w:color w:val="000000" w:themeColor="text1"/>
                <w14:textFill>
                  <w14:solidFill>
                    <w14:schemeClr w14:val="tx1"/>
                  </w14:solidFill>
                </w14:textFill>
              </w:rPr>
              <w:t>-PAA nanocube,  indicating a great improvement for the water-soluble ability of ER-Cy.</w:t>
            </w:r>
          </w:p>
        </w:tc>
      </w:tr>
    </w:tbl>
    <w:p w14:paraId="62989AFD">
      <w:pPr>
        <w:spacing w:line="480" w:lineRule="auto"/>
        <w:rPr>
          <w:color w:val="000000" w:themeColor="text1"/>
          <w:lang w:bidi="ar"/>
          <w14:textFill>
            <w14:solidFill>
              <w14:schemeClr w14:val="tx1"/>
            </w14:solidFill>
          </w14:textFill>
        </w:rPr>
      </w:pPr>
      <w:r>
        <w:rPr>
          <w:color w:val="000000" w:themeColor="text1"/>
          <w:lang w:bidi="ar"/>
          <w14:textFill>
            <w14:solidFill>
              <w14:schemeClr w14:val="tx1"/>
            </w14:solidFill>
          </w14:textFill>
        </w:rPr>
        <w:br w:type="page"/>
      </w:r>
    </w:p>
    <w:tbl>
      <w:tblPr>
        <w:tblStyle w:val="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13"/>
      </w:tblGrid>
      <w:tr w14:paraId="01B89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Pr>
          <w:p w14:paraId="137EC783">
            <w:pPr>
              <w:spacing w:line="480" w:lineRule="auto"/>
              <w:rPr>
                <w:color w:val="000000" w:themeColor="text1"/>
                <w:lang w:bidi="ar"/>
                <w14:textFill>
                  <w14:solidFill>
                    <w14:schemeClr w14:val="tx1"/>
                  </w14:solidFill>
                </w14:textFill>
              </w:rPr>
            </w:pPr>
            <w:r>
              <w:rPr>
                <w:color w:val="000000" w:themeColor="text1"/>
                <w14:textFill>
                  <w14:solidFill>
                    <w14:schemeClr w14:val="tx1"/>
                  </w14:solidFill>
                </w14:textFill>
              </w:rPr>
              <w:drawing>
                <wp:inline distT="0" distB="0" distL="0" distR="0">
                  <wp:extent cx="5586095" cy="3328670"/>
                  <wp:effectExtent l="0" t="0" r="0" b="5080"/>
                  <wp:docPr id="28" name="图片 28" descr="C:\Users\Administrator\Desktop\吴川返修\Figure S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C:\Users\Administrator\Desktop\吴川返修\Figure S7.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600286" cy="3337645"/>
                          </a:xfrm>
                          <a:prstGeom prst="rect">
                            <a:avLst/>
                          </a:prstGeom>
                          <a:noFill/>
                          <a:ln>
                            <a:noFill/>
                          </a:ln>
                        </pic:spPr>
                      </pic:pic>
                    </a:graphicData>
                  </a:graphic>
                </wp:inline>
              </w:drawing>
            </w:r>
          </w:p>
        </w:tc>
      </w:tr>
      <w:tr w14:paraId="108B0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Pr>
          <w:p w14:paraId="21F008B7">
            <w:pPr>
              <w:spacing w:line="480" w:lineRule="auto"/>
              <w:rPr>
                <w:color w:val="000000" w:themeColor="text1"/>
                <w:shd w:val="clear" w:color="auto" w:fill="FFFFFF"/>
                <w14:textFill>
                  <w14:solidFill>
                    <w14:schemeClr w14:val="tx1"/>
                  </w14:solidFill>
                </w14:textFill>
              </w:rPr>
            </w:pPr>
            <w:r>
              <w:rPr>
                <w:rFonts w:hint="eastAsia"/>
                <w:b/>
                <w:bCs/>
                <w:color w:val="FF0000"/>
                <w:lang w:bidi="ar"/>
              </w:rPr>
              <w:t>Fig. S</w:t>
            </w:r>
            <w:r>
              <w:rPr>
                <w:b/>
                <w:bCs/>
                <w:color w:val="FF0000"/>
                <w:shd w:val="clear" w:color="auto" w:fill="FFFFFF"/>
              </w:rPr>
              <w:t>3</w:t>
            </w:r>
            <w:r>
              <w:rPr>
                <w:color w:val="FF0000"/>
                <w:shd w:val="clear" w:color="auto" w:fill="FFFFFF"/>
              </w:rPr>
              <w:t xml:space="preserve"> </w:t>
            </w:r>
            <w:r>
              <w:rPr>
                <w:bCs/>
                <w:color w:val="FF0000"/>
                <w:shd w:val="clear" w:color="auto" w:fill="FFFFFF"/>
              </w:rPr>
              <w:t>(</w:t>
            </w:r>
            <w:r>
              <w:rPr>
                <w:b/>
                <w:color w:val="FF0000"/>
                <w:shd w:val="clear" w:color="auto" w:fill="FFFFFF"/>
              </w:rPr>
              <w:t>a</w:t>
            </w:r>
            <w:r>
              <w:rPr>
                <w:bCs/>
                <w:color w:val="FF0000"/>
                <w:shd w:val="clear" w:color="auto" w:fill="FFFFFF"/>
              </w:rPr>
              <w:t>) TEM characterization of the morphological changes of Mn-ER-Cy after prolonged storage. (</w:t>
            </w:r>
            <w:r>
              <w:rPr>
                <w:b/>
                <w:color w:val="FF0000"/>
                <w:shd w:val="clear" w:color="auto" w:fill="FFFFFF"/>
              </w:rPr>
              <w:t>b</w:t>
            </w:r>
            <w:r>
              <w:rPr>
                <w:bCs/>
                <w:color w:val="FF0000"/>
                <w:shd w:val="clear" w:color="auto" w:fill="FFFFFF"/>
              </w:rPr>
              <w:t>-</w:t>
            </w:r>
            <w:r>
              <w:rPr>
                <w:b/>
                <w:color w:val="FF0000"/>
                <w:shd w:val="clear" w:color="auto" w:fill="FFFFFF"/>
              </w:rPr>
              <w:t>c</w:t>
            </w:r>
            <w:r>
              <w:rPr>
                <w:bCs/>
                <w:color w:val="FF0000"/>
                <w:shd w:val="clear" w:color="auto" w:fill="FFFFFF"/>
              </w:rPr>
              <w:t xml:space="preserve">) </w:t>
            </w:r>
            <w:r>
              <w:rPr>
                <w:color w:val="FF0000"/>
                <w:shd w:val="clear" w:color="auto" w:fill="FFFFFF"/>
              </w:rPr>
              <w:t xml:space="preserve">DLS analysis of the variations in hydrodynamic size and </w:t>
            </w:r>
            <w:r>
              <w:rPr>
                <w:rFonts w:hint="eastAsia"/>
                <w:color w:val="FF0000"/>
                <w:shd w:val="clear" w:color="auto" w:fill="FFFFFF"/>
              </w:rPr>
              <w:t>polydispersity index (</w:t>
            </w:r>
            <w:r>
              <w:rPr>
                <w:color w:val="FF0000"/>
                <w:shd w:val="clear" w:color="auto" w:fill="FFFFFF"/>
              </w:rPr>
              <w:t>PDI</w:t>
            </w:r>
            <w:r>
              <w:rPr>
                <w:rFonts w:hint="eastAsia"/>
                <w:color w:val="FF0000"/>
                <w:shd w:val="clear" w:color="auto" w:fill="FFFFFF"/>
              </w:rPr>
              <w:t>)</w:t>
            </w:r>
            <w:r>
              <w:rPr>
                <w:color w:val="FF0000"/>
                <w:shd w:val="clear" w:color="auto" w:fill="FFFFFF"/>
              </w:rPr>
              <w:t xml:space="preserve"> of Mn-ER-Cy during 21 days of storage in PBS. </w:t>
            </w:r>
            <w:r>
              <w:rPr>
                <w:bCs/>
                <w:color w:val="FF0000"/>
                <w:shd w:val="clear" w:color="auto" w:fill="FFFFFF"/>
              </w:rPr>
              <w:t>(</w:t>
            </w:r>
            <w:r>
              <w:rPr>
                <w:b/>
                <w:color w:val="FF0000"/>
                <w:shd w:val="clear" w:color="auto" w:fill="FFFFFF"/>
              </w:rPr>
              <w:t>d</w:t>
            </w:r>
            <w:r>
              <w:rPr>
                <w:bCs/>
                <w:color w:val="FF0000"/>
                <w:shd w:val="clear" w:color="auto" w:fill="FFFFFF"/>
              </w:rPr>
              <w:t xml:space="preserve">) </w:t>
            </w:r>
            <w:r>
              <w:rPr>
                <w:color w:val="FF0000"/>
                <w:shd w:val="clear" w:color="auto" w:fill="FFFFFF"/>
              </w:rPr>
              <w:t>UV/Vis/NIR absorption spectra of Mn-ER-Cy in PBS solution</w:t>
            </w:r>
            <w:r>
              <w:rPr>
                <w:color w:val="FF0000"/>
              </w:rPr>
              <w:t xml:space="preserve">. </w:t>
            </w:r>
            <w:r>
              <w:rPr>
                <w:rFonts w:hint="eastAsia"/>
                <w:color w:val="FF0000"/>
              </w:rPr>
              <w:t>(</w:t>
            </w:r>
            <w:r>
              <w:rPr>
                <w:b/>
                <w:color w:val="FF0000"/>
              </w:rPr>
              <w:t>e</w:t>
            </w:r>
            <w:r>
              <w:rPr>
                <w:rFonts w:hint="eastAsia"/>
                <w:color w:val="FF0000"/>
              </w:rPr>
              <w:t>)</w:t>
            </w:r>
            <w:r>
              <w:rPr>
                <w:color w:val="FF0000"/>
              </w:rPr>
              <w:t xml:space="preserve"> The cumulative release profile of Mn²⁺ from Mn-ER-Cy in PBS solution at different pH values.</w:t>
            </w:r>
          </w:p>
        </w:tc>
      </w:tr>
    </w:tbl>
    <w:p w14:paraId="40CE69E7">
      <w:pPr>
        <w:spacing w:line="480" w:lineRule="auto"/>
        <w:rPr>
          <w:color w:val="000000" w:themeColor="text1"/>
          <w:lang w:bidi="ar"/>
          <w14:textFill>
            <w14:solidFill>
              <w14:schemeClr w14:val="tx1"/>
            </w14:solidFill>
          </w14:textFill>
        </w:rPr>
      </w:pPr>
      <w:r>
        <w:rPr>
          <w:color w:val="000000" w:themeColor="text1"/>
          <w:lang w:bidi="ar"/>
          <w14:textFill>
            <w14:solidFill>
              <w14:schemeClr w14:val="tx1"/>
            </w14:solidFill>
          </w14:textFill>
        </w:rPr>
        <w:br w:type="page"/>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2445A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nil"/>
              <w:left w:val="nil"/>
              <w:bottom w:val="nil"/>
              <w:right w:val="nil"/>
            </w:tcBorders>
          </w:tcPr>
          <w:p w14:paraId="49C1A0E1">
            <w:pPr>
              <w:spacing w:line="480" w:lineRule="auto"/>
              <w:rPr>
                <w:color w:val="000000" w:themeColor="text1"/>
                <w:lang w:bidi="ar"/>
                <w14:textFill>
                  <w14:solidFill>
                    <w14:schemeClr w14:val="tx1"/>
                  </w14:solidFill>
                </w14:textFill>
              </w:rPr>
            </w:pPr>
            <w:r>
              <w:rPr>
                <w:color w:val="000000" w:themeColor="text1"/>
                <w14:textFill>
                  <w14:solidFill>
                    <w14:schemeClr w14:val="tx1"/>
                  </w14:solidFill>
                </w14:textFill>
              </w:rPr>
              <w:drawing>
                <wp:inline distT="0" distB="0" distL="114300" distR="114300">
                  <wp:extent cx="5752465" cy="2270125"/>
                  <wp:effectExtent l="0" t="0" r="8255" b="635"/>
                  <wp:docPr id="3" name="图片 3" descr="幻灯片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幻灯片4-4"/>
                          <pic:cNvPicPr>
                            <a:picLocks noChangeAspect="1"/>
                          </pic:cNvPicPr>
                        </pic:nvPicPr>
                        <pic:blipFill>
                          <a:blip r:embed="rId11"/>
                          <a:srcRect t="46747"/>
                          <a:stretch>
                            <a:fillRect/>
                          </a:stretch>
                        </pic:blipFill>
                        <pic:spPr>
                          <a:xfrm>
                            <a:off x="0" y="0"/>
                            <a:ext cx="5752465" cy="2270125"/>
                          </a:xfrm>
                          <a:prstGeom prst="rect">
                            <a:avLst/>
                          </a:prstGeom>
                        </pic:spPr>
                      </pic:pic>
                    </a:graphicData>
                  </a:graphic>
                </wp:inline>
              </w:drawing>
            </w:r>
          </w:p>
        </w:tc>
      </w:tr>
      <w:tr w14:paraId="0AB81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nil"/>
              <w:left w:val="nil"/>
              <w:bottom w:val="nil"/>
              <w:right w:val="nil"/>
            </w:tcBorders>
          </w:tcPr>
          <w:p w14:paraId="1F729B2F">
            <w:pPr>
              <w:spacing w:line="480" w:lineRule="auto"/>
              <w:rPr>
                <w:color w:val="000000" w:themeColor="text1"/>
                <w:kern w:val="0"/>
                <w:lang w:bidi="ar"/>
                <w14:textFill>
                  <w14:solidFill>
                    <w14:schemeClr w14:val="tx1"/>
                  </w14:solidFill>
                </w14:textFill>
              </w:rPr>
            </w:pPr>
            <w:r>
              <w:rPr>
                <w:rFonts w:hint="eastAsia"/>
                <w:b/>
                <w:bCs/>
                <w:color w:val="000000" w:themeColor="text1"/>
                <w:lang w:bidi="ar"/>
                <w14:textFill>
                  <w14:solidFill>
                    <w14:schemeClr w14:val="tx1"/>
                  </w14:solidFill>
                </w14:textFill>
              </w:rPr>
              <w:t>Fig. S</w:t>
            </w:r>
            <w:r>
              <w:rPr>
                <w:b/>
                <w:bCs/>
                <w:color w:val="000000" w:themeColor="text1"/>
                <w14:textFill>
                  <w14:solidFill>
                    <w14:schemeClr w14:val="tx1"/>
                  </w14:solidFill>
                </w14:textFill>
              </w:rPr>
              <w:t>4</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w:t>
            </w:r>
            <w:r>
              <w:rPr>
                <w:rFonts w:hint="eastAsia"/>
                <w:b/>
                <w:bCs/>
                <w:color w:val="000000" w:themeColor="text1"/>
                <w14:textFill>
                  <w14:solidFill>
                    <w14:schemeClr w14:val="tx1"/>
                  </w14:solidFill>
                </w14:textFill>
              </w:rPr>
              <w:t>a</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 xml:space="preserve"> CLSM images illustrating the intracellular uptake of Mn-ER-Cy in 4T-1 cells at various time points</w:t>
            </w:r>
            <w:r>
              <w:rPr>
                <w:color w:val="000000" w:themeColor="text1"/>
                <w:shd w:val="clear" w:color="auto" w:fill="FFFFFF"/>
                <w14:textFill>
                  <w14:solidFill>
                    <w14:schemeClr w14:val="tx1"/>
                  </w14:solidFill>
                </w14:textFill>
              </w:rPr>
              <w:t xml:space="preserve">. Scale bar = 10 µm. </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b</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 xml:space="preserve"> Semi-quantitative analysis of fluorescence intensity shown in </w:t>
            </w:r>
            <w:r>
              <w:rPr>
                <w:rFonts w:hint="eastAsia"/>
                <w:color w:val="000000" w:themeColor="text1"/>
                <w:shd w:val="clear" w:color="auto" w:fill="FFFFFF"/>
                <w14:textFill>
                  <w14:solidFill>
                    <w14:schemeClr w14:val="tx1"/>
                  </w14:solidFill>
                </w14:textFill>
              </w:rPr>
              <w:t>Fig.</w:t>
            </w:r>
            <w:r>
              <w:rPr>
                <w:color w:val="000000" w:themeColor="text1"/>
                <w:shd w:val="clear" w:color="auto" w:fill="FFFFFF"/>
                <w14:textFill>
                  <w14:solidFill>
                    <w14:schemeClr w14:val="tx1"/>
                  </w14:solidFill>
                </w14:textFill>
              </w:rPr>
              <w:t xml:space="preserve"> a</w:t>
            </w:r>
            <w:r>
              <w:rPr>
                <w:rFonts w:hint="eastAsia"/>
                <w:color w:val="000000" w:themeColor="text1"/>
                <w:shd w:val="clear" w:color="auto" w:fill="FFFFFF"/>
                <w14:textFill>
                  <w14:solidFill>
                    <w14:schemeClr w14:val="tx1"/>
                  </w14:solidFill>
                </w14:textFill>
              </w:rPr>
              <w:t xml:space="preserve"> </w:t>
            </w:r>
            <w:r>
              <w:rPr>
                <w:rFonts w:hint="eastAsia"/>
                <w:color w:val="000000" w:themeColor="text1"/>
                <w14:textFill>
                  <w14:solidFill>
                    <w14:schemeClr w14:val="tx1"/>
                  </w14:solidFill>
                </w14:textFill>
              </w:rPr>
              <w:t xml:space="preserve">(n=5, </w:t>
            </w:r>
            <w:r>
              <w:rPr>
                <w:color w:val="000000" w:themeColor="text1"/>
                <w14:textFill>
                  <w14:solidFill>
                    <w14:schemeClr w14:val="tx1"/>
                  </w14:solidFill>
                </w14:textFill>
              </w:rPr>
              <w:t>mean ± s.d.</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p>
        </w:tc>
      </w:tr>
    </w:tbl>
    <w:p w14:paraId="53459C60">
      <w:pPr>
        <w:spacing w:line="480" w:lineRule="auto"/>
        <w:rPr>
          <w:color w:val="000000" w:themeColor="text1"/>
          <w:lang w:bidi="ar"/>
          <w14:textFill>
            <w14:solidFill>
              <w14:schemeClr w14:val="tx1"/>
            </w14:solidFill>
          </w14:textFill>
        </w:rPr>
      </w:pPr>
      <w:r>
        <w:rPr>
          <w:color w:val="000000" w:themeColor="text1"/>
          <w:lang w:bidi="ar"/>
          <w14:textFill>
            <w14:solidFill>
              <w14:schemeClr w14:val="tx1"/>
            </w14:solidFill>
          </w14:textFill>
        </w:rPr>
        <w:br w:type="page"/>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96"/>
      </w:tblGrid>
      <w:tr w14:paraId="29583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tcBorders>
              <w:top w:val="nil"/>
              <w:left w:val="nil"/>
              <w:bottom w:val="nil"/>
              <w:right w:val="nil"/>
            </w:tcBorders>
          </w:tcPr>
          <w:p w14:paraId="308CEC76">
            <w:pPr>
              <w:spacing w:line="480" w:lineRule="auto"/>
              <w:rPr>
                <w:color w:val="000000" w:themeColor="text1"/>
                <w:lang w:bidi="ar"/>
                <w14:textFill>
                  <w14:solidFill>
                    <w14:schemeClr w14:val="tx1"/>
                  </w14:solidFill>
                </w14:textFill>
              </w:rPr>
            </w:pPr>
            <w:r>
              <w:rPr>
                <w:color w:val="000000" w:themeColor="text1"/>
                <w14:textFill>
                  <w14:solidFill>
                    <w14:schemeClr w14:val="tx1"/>
                  </w14:solidFill>
                </w14:textFill>
              </w:rPr>
              <w:drawing>
                <wp:inline distT="0" distB="0" distL="114300" distR="114300">
                  <wp:extent cx="5634355" cy="5501005"/>
                  <wp:effectExtent l="0" t="0" r="4445" b="63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2"/>
                          <a:stretch>
                            <a:fillRect/>
                          </a:stretch>
                        </pic:blipFill>
                        <pic:spPr>
                          <a:xfrm>
                            <a:off x="0" y="0"/>
                            <a:ext cx="5634355" cy="5501005"/>
                          </a:xfrm>
                          <a:prstGeom prst="rect">
                            <a:avLst/>
                          </a:prstGeom>
                          <a:noFill/>
                          <a:ln>
                            <a:noFill/>
                          </a:ln>
                        </pic:spPr>
                      </pic:pic>
                    </a:graphicData>
                  </a:graphic>
                </wp:inline>
              </w:drawing>
            </w:r>
            <w:r>
              <w:rPr>
                <w:color w:val="000000" w:themeColor="text1"/>
                <w:lang w:bidi="ar"/>
                <w14:textFill>
                  <w14:solidFill>
                    <w14:schemeClr w14:val="tx1"/>
                  </w14:solidFill>
                </w14:textFill>
              </w:rPr>
              <w:t xml:space="preserve">           </w:t>
            </w:r>
          </w:p>
        </w:tc>
      </w:tr>
      <w:tr w14:paraId="66796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nil"/>
              <w:left w:val="nil"/>
              <w:bottom w:val="nil"/>
              <w:right w:val="nil"/>
            </w:tcBorders>
          </w:tcPr>
          <w:p w14:paraId="39900E17">
            <w:pPr>
              <w:spacing w:line="480" w:lineRule="auto"/>
              <w:rPr>
                <w:color w:val="000000" w:themeColor="text1"/>
                <w:kern w:val="0"/>
                <w:lang w:bidi="ar"/>
                <w14:textFill>
                  <w14:solidFill>
                    <w14:schemeClr w14:val="tx1"/>
                  </w14:solidFill>
                </w14:textFill>
              </w:rPr>
            </w:pPr>
            <w:r>
              <w:rPr>
                <w:rFonts w:hint="eastAsia"/>
                <w:b/>
                <w:bCs/>
                <w:color w:val="000000" w:themeColor="text1"/>
                <w:lang w:bidi="ar"/>
                <w14:textFill>
                  <w14:solidFill>
                    <w14:schemeClr w14:val="tx1"/>
                  </w14:solidFill>
                </w14:textFill>
              </w:rPr>
              <w:t>Fig. S</w:t>
            </w:r>
            <w:r>
              <w:rPr>
                <w:b/>
                <w:bCs/>
                <w:color w:val="000000" w:themeColor="text1"/>
                <w:shd w:val="clear" w:color="auto" w:fill="FFFFFF"/>
                <w14:textFill>
                  <w14:solidFill>
                    <w14:schemeClr w14:val="tx1"/>
                  </w14:solidFill>
                </w14:textFill>
              </w:rPr>
              <w:t>5</w:t>
            </w:r>
            <w:r>
              <w:rPr>
                <w:color w:val="000000" w:themeColor="text1"/>
                <w:shd w:val="clear" w:color="auto" w:fill="FFFFFF"/>
                <w14:textFill>
                  <w14:solidFill>
                    <w14:schemeClr w14:val="tx1"/>
                  </w14:solidFill>
                </w14:textFill>
              </w:rPr>
              <w:t xml:space="preserve"> </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a</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 xml:space="preserve"> CLSM images illustrating the subcellular co-localization of Mn-ER-Cy with Lysosome-Tracker Green in 4T-1 cells at various incubation time points. Scale bar = 10 µm. </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b</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 xml:space="preserve"> </w:t>
            </w:r>
            <w:r>
              <w:rPr>
                <w:color w:val="000000" w:themeColor="text1"/>
                <w14:textFill>
                  <w14:solidFill>
                    <w14:schemeClr w14:val="tx1"/>
                  </w14:solidFill>
                </w14:textFill>
              </w:rPr>
              <w:t xml:space="preserve">Fluorescence topographic profiles of the co-localization of </w:t>
            </w:r>
            <w:r>
              <w:rPr>
                <w:color w:val="000000" w:themeColor="text1"/>
                <w:shd w:val="clear" w:color="auto" w:fill="FFFFFF"/>
                <w14:textFill>
                  <w14:solidFill>
                    <w14:schemeClr w14:val="tx1"/>
                  </w14:solidFill>
                </w14:textFill>
              </w:rPr>
              <w:t>Mn-ER-Cy and Lysosome-Tracker Green</w:t>
            </w:r>
            <w:r>
              <w:rPr>
                <w:rFonts w:hint="eastAsia"/>
                <w:color w:val="000000" w:themeColor="text1"/>
                <w:shd w:val="clear" w:color="auto" w:fill="FFFFFF"/>
                <w14:textFill>
                  <w14:solidFill>
                    <w14:schemeClr w14:val="tx1"/>
                  </w14:solidFill>
                </w14:textFill>
              </w:rPr>
              <w:t xml:space="preserve"> at different </w:t>
            </w:r>
            <w:r>
              <w:rPr>
                <w:color w:val="000000" w:themeColor="text1"/>
                <w:shd w:val="clear" w:color="auto" w:fill="FFFFFF"/>
                <w14:textFill>
                  <w14:solidFill>
                    <w14:schemeClr w14:val="tx1"/>
                  </w14:solidFill>
                </w14:textFill>
              </w:rPr>
              <w:t>time points</w:t>
            </w:r>
            <w:r>
              <w:rPr>
                <w:rFonts w:hint="eastAsia"/>
                <w:color w:val="000000" w:themeColor="text1"/>
                <w:shd w:val="clear" w:color="auto" w:fill="FFFFFF"/>
                <w14:textFill>
                  <w14:solidFill>
                    <w14:schemeClr w14:val="tx1"/>
                  </w14:solidFill>
                </w14:textFill>
              </w:rPr>
              <w:t>.</w:t>
            </w:r>
          </w:p>
        </w:tc>
      </w:tr>
    </w:tbl>
    <w:p w14:paraId="5AC9FD8C">
      <w:pPr>
        <w:spacing w:line="480" w:lineRule="auto"/>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br w:type="page"/>
      </w:r>
    </w:p>
    <w:tbl>
      <w:tblPr>
        <w:tblStyle w:val="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286"/>
      </w:tblGrid>
      <w:tr w14:paraId="2BCAF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286" w:type="dxa"/>
          </w:tcPr>
          <w:p w14:paraId="1210DBBF">
            <w:pPr>
              <w:spacing w:line="480" w:lineRule="auto"/>
              <w:rPr>
                <w:color w:val="000000" w:themeColor="text1"/>
                <w:lang w:bidi="ar"/>
                <w14:textFill>
                  <w14:solidFill>
                    <w14:schemeClr w14:val="tx1"/>
                  </w14:solidFill>
                </w14:textFill>
              </w:rPr>
            </w:pPr>
            <w:r>
              <w:rPr>
                <w:color w:val="000000" w:themeColor="text1"/>
                <w14:textFill>
                  <w14:solidFill>
                    <w14:schemeClr w14:val="tx1"/>
                  </w14:solidFill>
                </w14:textFill>
              </w:rPr>
              <w:drawing>
                <wp:inline distT="0" distB="0" distL="114300" distR="114300">
                  <wp:extent cx="5634355" cy="5548630"/>
                  <wp:effectExtent l="0" t="0" r="4445" b="1397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3"/>
                          <a:stretch>
                            <a:fillRect/>
                          </a:stretch>
                        </pic:blipFill>
                        <pic:spPr>
                          <a:xfrm>
                            <a:off x="0" y="0"/>
                            <a:ext cx="5634355" cy="5548630"/>
                          </a:xfrm>
                          <a:prstGeom prst="rect">
                            <a:avLst/>
                          </a:prstGeom>
                          <a:noFill/>
                          <a:ln>
                            <a:noFill/>
                          </a:ln>
                        </pic:spPr>
                      </pic:pic>
                    </a:graphicData>
                  </a:graphic>
                </wp:inline>
              </w:drawing>
            </w:r>
          </w:p>
        </w:tc>
      </w:tr>
      <w:tr w14:paraId="2DC76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286" w:type="dxa"/>
          </w:tcPr>
          <w:p w14:paraId="24DF8393">
            <w:pPr>
              <w:spacing w:line="480" w:lineRule="auto"/>
              <w:rPr>
                <w:color w:val="000000" w:themeColor="text1"/>
                <w:kern w:val="0"/>
                <w:lang w:bidi="ar"/>
                <w14:textFill>
                  <w14:solidFill>
                    <w14:schemeClr w14:val="tx1"/>
                  </w14:solidFill>
                </w14:textFill>
              </w:rPr>
            </w:pPr>
            <w:r>
              <w:rPr>
                <w:rFonts w:hint="eastAsia"/>
                <w:b/>
                <w:bCs/>
                <w:color w:val="000000" w:themeColor="text1"/>
                <w:lang w:bidi="ar"/>
                <w14:textFill>
                  <w14:solidFill>
                    <w14:schemeClr w14:val="tx1"/>
                  </w14:solidFill>
                </w14:textFill>
              </w:rPr>
              <w:t>Fig. S</w:t>
            </w:r>
            <w:r>
              <w:rPr>
                <w:b/>
                <w:bCs/>
                <w:color w:val="000000" w:themeColor="text1"/>
                <w:shd w:val="clear" w:color="auto" w:fill="FFFFFF"/>
                <w14:textFill>
                  <w14:solidFill>
                    <w14:schemeClr w14:val="tx1"/>
                  </w14:solidFill>
                </w14:textFill>
              </w:rPr>
              <w:t>6</w:t>
            </w:r>
            <w:r>
              <w:rPr>
                <w:color w:val="000000" w:themeColor="text1"/>
                <w:shd w:val="clear" w:color="auto" w:fill="FFFFFF"/>
                <w14:textFill>
                  <w14:solidFill>
                    <w14:schemeClr w14:val="tx1"/>
                  </w14:solidFill>
                </w14:textFill>
              </w:rPr>
              <w:t xml:space="preserve"> </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a</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 xml:space="preserve"> CLSM images illustrating the subcellular co-localization of Mn-ER-Cy with ER-Tracker Green in 4T1 cells at various incubation time points. Scale bar = </w:t>
            </w:r>
            <w:r>
              <w:rPr>
                <w:rFonts w:hint="eastAsia"/>
                <w:color w:val="000000" w:themeColor="text1"/>
                <w:shd w:val="clear" w:color="auto" w:fill="FFFFFF"/>
                <w14:textFill>
                  <w14:solidFill>
                    <w14:schemeClr w14:val="tx1"/>
                  </w14:solidFill>
                </w14:textFill>
              </w:rPr>
              <w:t>10</w:t>
            </w:r>
            <w:r>
              <w:rPr>
                <w:color w:val="000000" w:themeColor="text1"/>
                <w:shd w:val="clear" w:color="auto" w:fill="FFFFFF"/>
                <w14:textFill>
                  <w14:solidFill>
                    <w14:schemeClr w14:val="tx1"/>
                  </w14:solidFill>
                </w14:textFill>
              </w:rPr>
              <w:t xml:space="preserve"> µm. </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b</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 xml:space="preserve"> </w:t>
            </w:r>
            <w:r>
              <w:rPr>
                <w:color w:val="000000" w:themeColor="text1"/>
                <w14:textFill>
                  <w14:solidFill>
                    <w14:schemeClr w14:val="tx1"/>
                  </w14:solidFill>
                </w14:textFill>
              </w:rPr>
              <w:t xml:space="preserve">Fluorescence topographic profiles of the co-localization of </w:t>
            </w:r>
            <w:r>
              <w:rPr>
                <w:color w:val="000000" w:themeColor="text1"/>
                <w:shd w:val="clear" w:color="auto" w:fill="FFFFFF"/>
                <w14:textFill>
                  <w14:solidFill>
                    <w14:schemeClr w14:val="tx1"/>
                  </w14:solidFill>
                </w14:textFill>
              </w:rPr>
              <w:t>Mn-ER-Cy and ER-Tracker Green</w:t>
            </w:r>
            <w:r>
              <w:rPr>
                <w:rFonts w:hint="eastAsia"/>
                <w:color w:val="000000" w:themeColor="text1"/>
                <w:shd w:val="clear" w:color="auto" w:fill="FFFFFF"/>
                <w14:textFill>
                  <w14:solidFill>
                    <w14:schemeClr w14:val="tx1"/>
                  </w14:solidFill>
                </w14:textFill>
              </w:rPr>
              <w:t xml:space="preserve"> at different </w:t>
            </w:r>
            <w:r>
              <w:rPr>
                <w:color w:val="000000" w:themeColor="text1"/>
                <w:shd w:val="clear" w:color="auto" w:fill="FFFFFF"/>
                <w14:textFill>
                  <w14:solidFill>
                    <w14:schemeClr w14:val="tx1"/>
                  </w14:solidFill>
                </w14:textFill>
              </w:rPr>
              <w:t>time points</w:t>
            </w:r>
            <w:r>
              <w:rPr>
                <w:rFonts w:hint="eastAsia"/>
                <w:color w:val="000000" w:themeColor="text1"/>
                <w:shd w:val="clear" w:color="auto" w:fill="FFFFFF"/>
                <w14:textFill>
                  <w14:solidFill>
                    <w14:schemeClr w14:val="tx1"/>
                  </w14:solidFill>
                </w14:textFill>
              </w:rPr>
              <w:t>.</w:t>
            </w:r>
          </w:p>
        </w:tc>
      </w:tr>
    </w:tbl>
    <w:p w14:paraId="56238DCD">
      <w:pPr>
        <w:spacing w:line="480" w:lineRule="auto"/>
        <w:rPr>
          <w:color w:val="000000" w:themeColor="text1"/>
          <w:lang w:bidi="ar"/>
          <w14:textFill>
            <w14:solidFill>
              <w14:schemeClr w14:val="tx1"/>
            </w14:solidFill>
          </w14:textFill>
        </w:rPr>
      </w:pPr>
      <w:r>
        <w:rPr>
          <w:color w:val="000000" w:themeColor="text1"/>
          <w:lang w:bidi="ar"/>
          <w14:textFill>
            <w14:solidFill>
              <w14:schemeClr w14:val="tx1"/>
            </w14:solidFill>
          </w14:textFill>
        </w:rPr>
        <w:br w:type="page"/>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5D11A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Borders>
              <w:top w:val="nil"/>
              <w:left w:val="nil"/>
              <w:bottom w:val="nil"/>
              <w:right w:val="nil"/>
            </w:tcBorders>
          </w:tcPr>
          <w:p w14:paraId="10BA7B1C">
            <w:pPr>
              <w:spacing w:line="480" w:lineRule="auto"/>
              <w:rPr>
                <w:color w:val="000000" w:themeColor="text1"/>
                <w:lang w:bidi="ar"/>
                <w14:textFill>
                  <w14:solidFill>
                    <w14:schemeClr w14:val="tx1"/>
                  </w14:solidFill>
                </w14:textFill>
              </w:rPr>
            </w:pPr>
            <w:r>
              <w:rPr>
                <w:rFonts w:hint="eastAsia"/>
                <w:color w:val="000000" w:themeColor="text1"/>
                <w14:textFill>
                  <w14:solidFill>
                    <w14:schemeClr w14:val="tx1"/>
                  </w14:solidFill>
                </w14:textFill>
              </w:rPr>
              <w:drawing>
                <wp:anchor distT="0" distB="0" distL="114300" distR="114300" simplePos="0" relativeHeight="251672576" behindDoc="0" locked="0" layoutInCell="1" allowOverlap="1">
                  <wp:simplePos x="0" y="0"/>
                  <wp:positionH relativeFrom="column">
                    <wp:posOffset>579120</wp:posOffset>
                  </wp:positionH>
                  <wp:positionV relativeFrom="paragraph">
                    <wp:posOffset>53340</wp:posOffset>
                  </wp:positionV>
                  <wp:extent cx="4611370" cy="4060190"/>
                  <wp:effectExtent l="0" t="0" r="6350" b="8890"/>
                  <wp:wrapSquare wrapText="bothSides"/>
                  <wp:docPr id="6" name="图片 6" descr="幻灯片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幻灯片7-7"/>
                          <pic:cNvPicPr>
                            <a:picLocks noChangeAspect="1"/>
                          </pic:cNvPicPr>
                        </pic:nvPicPr>
                        <pic:blipFill>
                          <a:blip r:embed="rId14"/>
                          <a:srcRect t="18552"/>
                          <a:stretch>
                            <a:fillRect/>
                          </a:stretch>
                        </pic:blipFill>
                        <pic:spPr>
                          <a:xfrm>
                            <a:off x="0" y="0"/>
                            <a:ext cx="4611370" cy="4060190"/>
                          </a:xfrm>
                          <a:prstGeom prst="rect">
                            <a:avLst/>
                          </a:prstGeom>
                        </pic:spPr>
                      </pic:pic>
                    </a:graphicData>
                  </a:graphic>
                </wp:anchor>
              </w:drawing>
            </w:r>
          </w:p>
        </w:tc>
      </w:tr>
      <w:tr w14:paraId="033F3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Borders>
              <w:top w:val="nil"/>
              <w:left w:val="nil"/>
              <w:bottom w:val="nil"/>
              <w:right w:val="nil"/>
            </w:tcBorders>
          </w:tcPr>
          <w:p w14:paraId="0A3ACB0B">
            <w:pPr>
              <w:spacing w:line="480" w:lineRule="auto"/>
              <w:rPr>
                <w:color w:val="000000" w:themeColor="text1"/>
                <w:shd w:val="clear" w:color="auto" w:fill="FFFFFF"/>
                <w14:textFill>
                  <w14:solidFill>
                    <w14:schemeClr w14:val="tx1"/>
                  </w14:solidFill>
                </w14:textFill>
              </w:rPr>
            </w:pPr>
            <w:r>
              <w:rPr>
                <w:rFonts w:hint="eastAsia"/>
                <w:b/>
                <w:bCs/>
                <w:color w:val="000000" w:themeColor="text1"/>
                <w:lang w:bidi="ar"/>
                <w14:textFill>
                  <w14:solidFill>
                    <w14:schemeClr w14:val="tx1"/>
                  </w14:solidFill>
                </w14:textFill>
              </w:rPr>
              <w:t>Fig. S</w:t>
            </w:r>
            <w:r>
              <w:rPr>
                <w:rFonts w:hint="eastAsia"/>
                <w:b/>
                <w:bCs/>
                <w:color w:val="000000" w:themeColor="text1"/>
                <w:shd w:val="clear" w:color="auto" w:fill="FFFFFF"/>
                <w14:textFill>
                  <w14:solidFill>
                    <w14:schemeClr w14:val="tx1"/>
                  </w14:solidFill>
                </w14:textFill>
              </w:rPr>
              <w:t>7</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a</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b</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 xml:space="preserve"> Heating and cooling curves of H</w:t>
            </w:r>
            <w:r>
              <w:rPr>
                <w:color w:val="000000" w:themeColor="text1"/>
                <w:shd w:val="clear" w:color="auto" w:fill="FFFFFF"/>
                <w:vertAlign w:val="subscript"/>
                <w14:textFill>
                  <w14:solidFill>
                    <w14:schemeClr w14:val="tx1"/>
                  </w14:solidFill>
                </w14:textFill>
              </w:rPr>
              <w:t>2</w:t>
            </w:r>
            <w:r>
              <w:rPr>
                <w:color w:val="000000" w:themeColor="text1"/>
                <w:shd w:val="clear" w:color="auto" w:fill="FFFFFF"/>
                <w14:textFill>
                  <w14:solidFill>
                    <w14:schemeClr w14:val="tx1"/>
                  </w14:solidFill>
                </w14:textFill>
              </w:rPr>
              <w:t>O and Mn-ER-Cy after exposure to 808</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 xml:space="preserve">nm laser irradiation for 5 minutes, respectively. </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c</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d</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 xml:space="preserve"> Plot of time versus -ln(θ) for H</w:t>
            </w:r>
            <w:r>
              <w:rPr>
                <w:color w:val="000000" w:themeColor="text1"/>
                <w:shd w:val="clear" w:color="auto" w:fill="FFFFFF"/>
                <w:vertAlign w:val="subscript"/>
                <w14:textFill>
                  <w14:solidFill>
                    <w14:schemeClr w14:val="tx1"/>
                  </w14:solidFill>
                </w14:textFill>
              </w:rPr>
              <w:t>2</w:t>
            </w:r>
            <w:r>
              <w:rPr>
                <w:color w:val="000000" w:themeColor="text1"/>
                <w:shd w:val="clear" w:color="auto" w:fill="FFFFFF"/>
                <w14:textFill>
                  <w14:solidFill>
                    <w14:schemeClr w14:val="tx1"/>
                  </w14:solidFill>
                </w14:textFill>
              </w:rPr>
              <w:t>O and Mn-ER-Cy (where θ represents the driving force of temperature), based on the linear time data obtained during the cooling period, plotted against the negative natural logarithm of the driving force temperature, respectively.</w:t>
            </w:r>
          </w:p>
          <w:p w14:paraId="3ED4C2BA">
            <w:pPr>
              <w:spacing w:line="480" w:lineRule="auto"/>
              <w:rPr>
                <w:color w:val="000000" w:themeColor="text1"/>
                <w:kern w:val="0"/>
                <w:lang w:bidi="ar"/>
                <w14:textFill>
                  <w14:solidFill>
                    <w14:schemeClr w14:val="tx1"/>
                  </w14:solidFill>
                </w14:textFill>
              </w:rPr>
            </w:pPr>
          </w:p>
        </w:tc>
      </w:tr>
    </w:tbl>
    <w:p w14:paraId="5A55CA1E">
      <w:pPr>
        <w:spacing w:line="240" w:lineRule="auto"/>
        <w:jc w:val="left"/>
        <w:rPr>
          <w:color w:val="000000" w:themeColor="text1"/>
          <w:lang w:bidi="ar"/>
          <w14:textFill>
            <w14:solidFill>
              <w14:schemeClr w14:val="tx1"/>
            </w14:solidFill>
          </w14:textFill>
        </w:rPr>
      </w:pPr>
    </w:p>
    <w:p w14:paraId="70B9A856">
      <w:pPr>
        <w:spacing w:line="240" w:lineRule="auto"/>
        <w:jc w:val="left"/>
        <w:rPr>
          <w:color w:val="000000" w:themeColor="text1"/>
          <w:lang w:bidi="ar"/>
          <w14:textFill>
            <w14:solidFill>
              <w14:schemeClr w14:val="tx1"/>
            </w14:solidFill>
          </w14:textFill>
        </w:rPr>
      </w:pPr>
      <w:r>
        <w:rPr>
          <w:color w:val="000000" w:themeColor="text1"/>
          <w:lang w:bidi="ar"/>
          <w14:textFill>
            <w14:solidFill>
              <w14:schemeClr w14:val="tx1"/>
            </w14:solidFill>
          </w14:textFill>
        </w:rPr>
        <w:br w:type="page"/>
      </w:r>
    </w:p>
    <w:tbl>
      <w:tblPr>
        <w:tblStyle w:val="9"/>
        <w:tblW w:w="9070" w:type="dxa"/>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98"/>
      </w:tblGrid>
      <w:tr w14:paraId="6DE5E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70" w:type="dxa"/>
          </w:tcPr>
          <w:p w14:paraId="52CF1859">
            <w:pPr>
              <w:spacing w:line="480" w:lineRule="auto"/>
              <w:rPr>
                <w:color w:val="000000" w:themeColor="text1"/>
                <w:lang w:bidi="ar"/>
                <w14:textFill>
                  <w14:solidFill>
                    <w14:schemeClr w14:val="tx1"/>
                  </w14:solidFill>
                </w14:textFill>
              </w:rPr>
            </w:pPr>
            <w:r>
              <w:rPr>
                <w:color w:val="FF0000"/>
                <w:shd w:val="clear" w:color="auto" w:fill="FFFFFF"/>
              </w:rPr>
              <w:drawing>
                <wp:inline distT="0" distB="0" distL="0" distR="0">
                  <wp:extent cx="5703570" cy="3349625"/>
                  <wp:effectExtent l="0" t="0" r="0" b="3175"/>
                  <wp:docPr id="29600449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004499" name="图片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705222" cy="3350686"/>
                          </a:xfrm>
                          <a:prstGeom prst="rect">
                            <a:avLst/>
                          </a:prstGeom>
                          <a:noFill/>
                          <a:ln>
                            <a:noFill/>
                          </a:ln>
                        </pic:spPr>
                      </pic:pic>
                    </a:graphicData>
                  </a:graphic>
                </wp:inline>
              </w:drawing>
            </w:r>
          </w:p>
        </w:tc>
      </w:tr>
      <w:tr w14:paraId="23F94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70" w:type="dxa"/>
          </w:tcPr>
          <w:p w14:paraId="26DDBF1C">
            <w:pPr>
              <w:spacing w:line="480" w:lineRule="auto"/>
              <w:rPr>
                <w:color w:val="000000" w:themeColor="text1"/>
                <w:kern w:val="0"/>
                <w:lang w:bidi="ar"/>
                <w14:textFill>
                  <w14:solidFill>
                    <w14:schemeClr w14:val="tx1"/>
                  </w14:solidFill>
                </w14:textFill>
              </w:rPr>
            </w:pPr>
            <w:r>
              <w:rPr>
                <w:rFonts w:hint="eastAsia"/>
                <w:b/>
                <w:bCs/>
                <w:color w:val="FF0000"/>
                <w:lang w:bidi="ar"/>
              </w:rPr>
              <w:t>Fig. S</w:t>
            </w:r>
            <w:r>
              <w:rPr>
                <w:rFonts w:hint="eastAsia"/>
                <w:b/>
                <w:bCs/>
                <w:color w:val="FF0000"/>
                <w:shd w:val="clear" w:color="auto" w:fill="FFFFFF"/>
              </w:rPr>
              <w:t>8</w:t>
            </w:r>
            <w:r>
              <w:rPr>
                <w:color w:val="FF0000"/>
                <w:shd w:val="clear" w:color="auto" w:fill="FFFFFF"/>
              </w:rPr>
              <w:t xml:space="preserve"> (</w:t>
            </w:r>
            <w:r>
              <w:rPr>
                <w:b/>
                <w:bCs/>
                <w:color w:val="FF0000"/>
                <w:shd w:val="clear" w:color="auto" w:fill="FFFFFF"/>
              </w:rPr>
              <w:t>a</w:t>
            </w:r>
            <w:r>
              <w:rPr>
                <w:color w:val="FF0000"/>
                <w:shd w:val="clear" w:color="auto" w:fill="FFFFFF"/>
              </w:rPr>
              <w:t>) Near-infrared fluorescence imaging of MnCO₃ and Mn-ER-Cy. (</w:t>
            </w:r>
            <w:r>
              <w:rPr>
                <w:b/>
                <w:bCs/>
                <w:color w:val="FF0000"/>
                <w:shd w:val="clear" w:color="auto" w:fill="FFFFFF"/>
              </w:rPr>
              <w:t>b</w:t>
            </w:r>
            <w:r>
              <w:rPr>
                <w:color w:val="FF0000"/>
                <w:shd w:val="clear" w:color="auto" w:fill="FFFFFF"/>
              </w:rPr>
              <w:t>) Singlet oxygen generation and (</w:t>
            </w:r>
            <w:r>
              <w:rPr>
                <w:b/>
                <w:bCs/>
                <w:color w:val="FF0000"/>
                <w:shd w:val="clear" w:color="auto" w:fill="FFFFFF"/>
              </w:rPr>
              <w:t>c</w:t>
            </w:r>
            <w:r>
              <w:rPr>
                <w:color w:val="FF0000"/>
                <w:shd w:val="clear" w:color="auto" w:fill="FFFFFF"/>
              </w:rPr>
              <w:t>–</w:t>
            </w:r>
            <w:r>
              <w:rPr>
                <w:b/>
                <w:bCs/>
                <w:color w:val="FF0000"/>
                <w:shd w:val="clear" w:color="auto" w:fill="FFFFFF"/>
              </w:rPr>
              <w:t>d</w:t>
            </w:r>
            <w:r>
              <w:rPr>
                <w:color w:val="FF0000"/>
                <w:shd w:val="clear" w:color="auto" w:fill="FFFFFF"/>
              </w:rPr>
              <w:t>)</w:t>
            </w:r>
            <w:r>
              <w:rPr>
                <w:b/>
                <w:bCs/>
                <w:color w:val="FF0000"/>
                <w:shd w:val="clear" w:color="auto" w:fill="FFFFFF"/>
              </w:rPr>
              <w:t xml:space="preserve"> </w:t>
            </w:r>
            <w:r>
              <w:rPr>
                <w:color w:val="FF0000"/>
                <w:shd w:val="clear" w:color="auto" w:fill="FFFFFF"/>
              </w:rPr>
              <w:t>photothermal performance under 808 nm laser irradiation for 5 min.</w:t>
            </w:r>
          </w:p>
        </w:tc>
      </w:tr>
    </w:tbl>
    <w:p w14:paraId="1D23E6E4">
      <w:pPr>
        <w:spacing w:line="480" w:lineRule="auto"/>
        <w:rPr>
          <w:color w:val="000000" w:themeColor="text1"/>
          <w:lang w:bidi="ar"/>
          <w14:textFill>
            <w14:solidFill>
              <w14:schemeClr w14:val="tx1"/>
            </w14:solidFill>
          </w14:textFill>
        </w:rPr>
      </w:pPr>
    </w:p>
    <w:p w14:paraId="642987B7">
      <w:pPr>
        <w:spacing w:line="480" w:lineRule="auto"/>
        <w:rPr>
          <w:color w:val="000000" w:themeColor="text1"/>
          <w:lang w:bidi="ar"/>
          <w14:textFill>
            <w14:solidFill>
              <w14:schemeClr w14:val="tx1"/>
            </w14:solidFill>
          </w14:textFill>
        </w:rPr>
      </w:pPr>
      <w:r>
        <w:rPr>
          <w:color w:val="000000" w:themeColor="text1"/>
          <w:lang w:bidi="ar"/>
          <w14:textFill>
            <w14:solidFill>
              <w14:schemeClr w14:val="tx1"/>
            </w14:solidFill>
          </w14:textFill>
        </w:rPr>
        <w:br w:type="page"/>
      </w:r>
    </w:p>
    <w:tbl>
      <w:tblPr>
        <w:tblStyle w:val="9"/>
        <w:tblW w:w="90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96"/>
      </w:tblGrid>
      <w:tr w14:paraId="165AD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96" w:type="dxa"/>
          </w:tcPr>
          <w:p w14:paraId="246373B6">
            <w:pPr>
              <w:spacing w:line="480" w:lineRule="auto"/>
              <w:rPr>
                <w:color w:val="000000" w:themeColor="text1"/>
                <w:lang w:bidi="ar"/>
                <w14:textFill>
                  <w14:solidFill>
                    <w14:schemeClr w14:val="tx1"/>
                  </w14:solidFill>
                </w14:textFill>
              </w:rPr>
            </w:pPr>
            <w:r>
              <w:rPr>
                <w:color w:val="000000" w:themeColor="text1"/>
                <w14:textFill>
                  <w14:solidFill>
                    <w14:schemeClr w14:val="tx1"/>
                  </w14:solidFill>
                </w14:textFill>
              </w:rPr>
              <w:drawing>
                <wp:inline distT="0" distB="0" distL="0" distR="0">
                  <wp:extent cx="5636895" cy="5194935"/>
                  <wp:effectExtent l="0" t="0" r="1905" b="5715"/>
                  <wp:docPr id="22" name="图片 22" descr="C:\Users\Administrator\Desktop\吴川返修\Figure S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Users\Administrator\Desktop\吴川返修\Figure S1.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644944" cy="5202096"/>
                          </a:xfrm>
                          <a:prstGeom prst="rect">
                            <a:avLst/>
                          </a:prstGeom>
                          <a:noFill/>
                          <a:ln>
                            <a:noFill/>
                          </a:ln>
                        </pic:spPr>
                      </pic:pic>
                    </a:graphicData>
                  </a:graphic>
                </wp:inline>
              </w:drawing>
            </w:r>
          </w:p>
        </w:tc>
      </w:tr>
      <w:tr w14:paraId="101E6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96" w:type="dxa"/>
          </w:tcPr>
          <w:p w14:paraId="359AD65D">
            <w:pPr>
              <w:spacing w:line="480" w:lineRule="auto"/>
              <w:rPr>
                <w:color w:val="000000" w:themeColor="text1"/>
                <w:kern w:val="0"/>
                <w:lang w:bidi="ar"/>
                <w14:textFill>
                  <w14:solidFill>
                    <w14:schemeClr w14:val="tx1"/>
                  </w14:solidFill>
                </w14:textFill>
              </w:rPr>
            </w:pPr>
            <w:r>
              <w:rPr>
                <w:rFonts w:hint="eastAsia"/>
                <w:b/>
                <w:bCs/>
                <w:color w:val="FF0000"/>
                <w:lang w:bidi="ar"/>
              </w:rPr>
              <w:t>Fig. S</w:t>
            </w:r>
            <w:r>
              <w:rPr>
                <w:rFonts w:hint="eastAsia"/>
                <w:b/>
                <w:bCs/>
                <w:color w:val="FF0000"/>
                <w:shd w:val="clear" w:color="auto" w:fill="FFFFFF"/>
              </w:rPr>
              <w:t>9</w:t>
            </w:r>
            <w:r>
              <w:rPr>
                <w:color w:val="FF0000"/>
                <w:shd w:val="clear" w:color="auto" w:fill="FFFFFF"/>
              </w:rPr>
              <w:t xml:space="preserve"> Flow cytometry analysis of the cytotoxicity of Mn-ER-Cy against different cells, including</w:t>
            </w:r>
            <w:r>
              <w:rPr>
                <w:b/>
                <w:bCs/>
                <w:color w:val="FF0000"/>
                <w:shd w:val="clear" w:color="auto" w:fill="FFFFFF"/>
              </w:rPr>
              <w:t xml:space="preserve"> </w:t>
            </w:r>
            <w:r>
              <w:rPr>
                <w:color w:val="FF0000"/>
                <w:shd w:val="clear" w:color="auto" w:fill="FFFFFF"/>
              </w:rPr>
              <w:t>(</w:t>
            </w:r>
            <w:r>
              <w:rPr>
                <w:b/>
                <w:bCs/>
                <w:color w:val="FF0000"/>
                <w:shd w:val="clear" w:color="auto" w:fill="FFFFFF"/>
              </w:rPr>
              <w:t>a</w:t>
            </w:r>
            <w:r>
              <w:rPr>
                <w:color w:val="FF0000"/>
                <w:shd w:val="clear" w:color="auto" w:fill="FFFFFF"/>
              </w:rPr>
              <w:t>) mouse breast cancer 4T-1 cells, (</w:t>
            </w:r>
            <w:r>
              <w:rPr>
                <w:b/>
                <w:bCs/>
                <w:color w:val="FF0000"/>
                <w:shd w:val="clear" w:color="auto" w:fill="FFFFFF"/>
              </w:rPr>
              <w:t>b</w:t>
            </w:r>
            <w:r>
              <w:rPr>
                <w:color w:val="FF0000"/>
                <w:shd w:val="clear" w:color="auto" w:fill="FFFFFF"/>
              </w:rPr>
              <w:t>) human normal breast cells (MCF-10A), (</w:t>
            </w:r>
            <w:r>
              <w:rPr>
                <w:b/>
                <w:bCs/>
                <w:color w:val="FF0000"/>
                <w:shd w:val="clear" w:color="auto" w:fill="FFFFFF"/>
              </w:rPr>
              <w:t>c</w:t>
            </w:r>
            <w:r>
              <w:rPr>
                <w:color w:val="FF0000"/>
                <w:shd w:val="clear" w:color="auto" w:fill="FFFFFF"/>
              </w:rPr>
              <w:t>) human umbilical vein endothelial cells (HUVECs), and (</w:t>
            </w:r>
            <w:r>
              <w:rPr>
                <w:b/>
                <w:bCs/>
                <w:color w:val="FF0000"/>
                <w:shd w:val="clear" w:color="auto" w:fill="FFFFFF"/>
              </w:rPr>
              <w:t>d</w:t>
            </w:r>
            <w:r>
              <w:rPr>
                <w:color w:val="FF0000"/>
                <w:shd w:val="clear" w:color="auto" w:fill="FFFFFF"/>
              </w:rPr>
              <w:t>) type II alveolar epithelial cells (RLE-6TN). Statistical analyses were conducted using one-way ANOVA followed by Tukey’s test. *p &lt; 0.05.</w:t>
            </w:r>
          </w:p>
        </w:tc>
      </w:tr>
    </w:tbl>
    <w:p w14:paraId="0E6DC677">
      <w:pPr>
        <w:spacing w:line="240" w:lineRule="auto"/>
        <w:jc w:val="left"/>
        <w:rPr>
          <w:color w:val="000000" w:themeColor="text1"/>
          <w:lang w:bidi="ar"/>
          <w14:textFill>
            <w14:solidFill>
              <w14:schemeClr w14:val="tx1"/>
            </w14:solidFill>
          </w14:textFill>
        </w:rPr>
      </w:pPr>
    </w:p>
    <w:p w14:paraId="23DCE302">
      <w:pPr>
        <w:spacing w:line="240" w:lineRule="auto"/>
        <w:jc w:val="left"/>
        <w:rPr>
          <w:color w:val="000000" w:themeColor="text1"/>
          <w:lang w:bidi="ar"/>
          <w14:textFill>
            <w14:solidFill>
              <w14:schemeClr w14:val="tx1"/>
            </w14:solidFill>
          </w14:textFill>
        </w:rPr>
      </w:pPr>
    </w:p>
    <w:p w14:paraId="18ADCB75">
      <w:pPr>
        <w:spacing w:line="240" w:lineRule="auto"/>
        <w:jc w:val="left"/>
        <w:rPr>
          <w:color w:val="000000" w:themeColor="text1"/>
          <w:lang w:bidi="ar"/>
          <w14:textFill>
            <w14:solidFill>
              <w14:schemeClr w14:val="tx1"/>
            </w14:solidFill>
          </w14:textFill>
        </w:rPr>
      </w:pPr>
    </w:p>
    <w:p w14:paraId="1F056E54">
      <w:pPr>
        <w:spacing w:line="240" w:lineRule="auto"/>
        <w:jc w:val="left"/>
        <w:rPr>
          <w:color w:val="000000" w:themeColor="text1"/>
          <w:lang w:bidi="ar"/>
          <w14:textFill>
            <w14:solidFill>
              <w14:schemeClr w14:val="tx1"/>
            </w14:solidFill>
          </w14:textFill>
        </w:rPr>
      </w:pPr>
      <w:r>
        <w:rPr>
          <w:color w:val="000000" w:themeColor="text1"/>
          <w:lang w:bidi="ar"/>
          <w14:textFill>
            <w14:solidFill>
              <w14:schemeClr w14:val="tx1"/>
            </w14:solidFill>
          </w14:textFill>
        </w:rPr>
        <w:br w:type="page"/>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45CDF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Borders>
              <w:top w:val="nil"/>
              <w:left w:val="nil"/>
              <w:bottom w:val="nil"/>
              <w:right w:val="nil"/>
            </w:tcBorders>
          </w:tcPr>
          <w:p w14:paraId="33119D58">
            <w:pPr>
              <w:spacing w:line="480" w:lineRule="auto"/>
              <w:rPr>
                <w:color w:val="000000" w:themeColor="text1"/>
                <w:lang w:bidi="ar"/>
                <w14:textFill>
                  <w14:solidFill>
                    <w14:schemeClr w14:val="tx1"/>
                  </w14:solidFill>
                </w14:textFill>
              </w:rPr>
            </w:pPr>
            <w:r>
              <w:rPr>
                <w:color w:val="000000" w:themeColor="text1"/>
                <w14:textFill>
                  <w14:solidFill>
                    <w14:schemeClr w14:val="tx1"/>
                  </w14:solidFill>
                </w14:textFill>
              </w:rPr>
              <w:drawing>
                <wp:inline distT="0" distB="0" distL="0" distR="0">
                  <wp:extent cx="5605145" cy="3181350"/>
                  <wp:effectExtent l="0" t="0" r="0" b="0"/>
                  <wp:docPr id="34" name="图片 34" descr="C:\Users\Administrator\Desktop\吴川返修\Figure S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C:\Users\Administrator\Desktop\吴川返修\Figure S6.ti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613075" cy="3186173"/>
                          </a:xfrm>
                          <a:prstGeom prst="rect">
                            <a:avLst/>
                          </a:prstGeom>
                          <a:noFill/>
                          <a:ln>
                            <a:noFill/>
                          </a:ln>
                        </pic:spPr>
                      </pic:pic>
                    </a:graphicData>
                  </a:graphic>
                </wp:inline>
              </w:drawing>
            </w:r>
          </w:p>
        </w:tc>
      </w:tr>
      <w:tr w14:paraId="42DE3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Borders>
              <w:top w:val="nil"/>
              <w:left w:val="nil"/>
              <w:bottom w:val="nil"/>
              <w:right w:val="nil"/>
            </w:tcBorders>
          </w:tcPr>
          <w:p w14:paraId="0AA3A42E">
            <w:pPr>
              <w:spacing w:line="480" w:lineRule="auto"/>
              <w:rPr>
                <w:color w:val="000000" w:themeColor="text1"/>
                <w:kern w:val="0"/>
                <w:lang w:bidi="ar"/>
                <w14:textFill>
                  <w14:solidFill>
                    <w14:schemeClr w14:val="tx1"/>
                  </w14:solidFill>
                </w14:textFill>
              </w:rPr>
            </w:pPr>
            <w:r>
              <w:rPr>
                <w:rFonts w:hint="eastAsia"/>
                <w:b/>
                <w:bCs/>
                <w:color w:val="FF0000"/>
                <w:lang w:bidi="ar"/>
              </w:rPr>
              <w:t>Fig. S</w:t>
            </w:r>
            <w:r>
              <w:rPr>
                <w:rFonts w:hint="eastAsia"/>
                <w:b/>
                <w:bCs/>
                <w:color w:val="FF0000"/>
                <w:shd w:val="clear" w:color="auto" w:fill="FFFFFF"/>
              </w:rPr>
              <w:t>10</w:t>
            </w:r>
            <w:r>
              <w:rPr>
                <w:color w:val="FF0000"/>
                <w:shd w:val="clear" w:color="auto" w:fill="FFFFFF"/>
              </w:rPr>
              <w:t xml:space="preserve"> (</w:t>
            </w:r>
            <w:r>
              <w:rPr>
                <w:b/>
                <w:bCs/>
                <w:color w:val="FF0000"/>
                <w:shd w:val="clear" w:color="auto" w:fill="FFFFFF"/>
              </w:rPr>
              <w:t>a</w:t>
            </w:r>
            <w:r>
              <w:rPr>
                <w:color w:val="FF0000"/>
                <w:shd w:val="clear" w:color="auto" w:fill="FFFFFF"/>
              </w:rPr>
              <w:t>)</w:t>
            </w:r>
            <w:r>
              <w:rPr>
                <w:b/>
                <w:bCs/>
                <w:color w:val="FF0000"/>
                <w:shd w:val="clear" w:color="auto" w:fill="FFFFFF"/>
              </w:rPr>
              <w:t xml:space="preserve"> </w:t>
            </w:r>
            <w:r>
              <w:rPr>
                <w:color w:val="FF0000"/>
                <w:shd w:val="clear" w:color="auto" w:fill="FFFFFF"/>
              </w:rPr>
              <w:t>Live/dead staining, (</w:t>
            </w:r>
            <w:r>
              <w:rPr>
                <w:b/>
                <w:bCs/>
                <w:color w:val="FF0000"/>
                <w:shd w:val="clear" w:color="auto" w:fill="FFFFFF"/>
              </w:rPr>
              <w:t>b</w:t>
            </w:r>
            <w:r>
              <w:rPr>
                <w:color w:val="FF0000"/>
                <w:shd w:val="clear" w:color="auto" w:fill="FFFFFF"/>
              </w:rPr>
              <w:t>) ROS production, and (</w:t>
            </w:r>
            <w:r>
              <w:rPr>
                <w:b/>
                <w:bCs/>
                <w:color w:val="FF0000"/>
                <w:shd w:val="clear" w:color="auto" w:fill="FFFFFF"/>
              </w:rPr>
              <w:t>c</w:t>
            </w:r>
            <w:r>
              <w:rPr>
                <w:color w:val="FF0000"/>
                <w:shd w:val="clear" w:color="auto" w:fill="FFFFFF"/>
              </w:rPr>
              <w:t>)</w:t>
            </w:r>
            <w:r>
              <w:rPr>
                <w:b/>
                <w:bCs/>
                <w:color w:val="FF0000"/>
                <w:shd w:val="clear" w:color="auto" w:fill="FFFFFF"/>
              </w:rPr>
              <w:t xml:space="preserve"> </w:t>
            </w:r>
            <w:r>
              <w:rPr>
                <w:color w:val="FF0000"/>
                <w:shd w:val="clear" w:color="auto" w:fill="FFFFFF"/>
              </w:rPr>
              <w:t>pyroptotic morphology of 4T-1 cells treated with MnCO₃ or Mn-ER-Cy under 808 nm laser irradiation for 5 min.</w:t>
            </w:r>
            <w:r>
              <w:t xml:space="preserve"> </w:t>
            </w:r>
            <w:r>
              <w:rPr>
                <w:color w:val="FF0000"/>
                <w:shd w:val="clear" w:color="auto" w:fill="FFFFFF"/>
              </w:rPr>
              <w:t>White arrows indicate cell swelling characterized by large bubbles.</w:t>
            </w:r>
          </w:p>
        </w:tc>
      </w:tr>
    </w:tbl>
    <w:p w14:paraId="6536BC86">
      <w:pPr>
        <w:spacing w:line="240" w:lineRule="auto"/>
        <w:jc w:val="left"/>
        <w:rPr>
          <w:color w:val="000000" w:themeColor="text1"/>
          <w:lang w:bidi="ar"/>
          <w14:textFill>
            <w14:solidFill>
              <w14:schemeClr w14:val="tx1"/>
            </w14:solidFill>
          </w14:textFill>
        </w:rPr>
      </w:pPr>
    </w:p>
    <w:p w14:paraId="4BCB80A8">
      <w:pPr>
        <w:spacing w:line="240" w:lineRule="auto"/>
        <w:jc w:val="left"/>
        <w:rPr>
          <w:color w:val="000000" w:themeColor="text1"/>
          <w:lang w:bidi="ar"/>
          <w14:textFill>
            <w14:solidFill>
              <w14:schemeClr w14:val="tx1"/>
            </w14:solidFill>
          </w14:textFill>
        </w:rPr>
      </w:pPr>
      <w:r>
        <w:rPr>
          <w:color w:val="000000" w:themeColor="text1"/>
          <w:lang w:bidi="ar"/>
          <w14:textFill>
            <w14:solidFill>
              <w14:schemeClr w14:val="tx1"/>
            </w14:solidFill>
          </w14:textFill>
        </w:rPr>
        <w:br w:type="page"/>
      </w:r>
    </w:p>
    <w:p w14:paraId="24BA83DF">
      <w:pPr>
        <w:spacing w:line="480" w:lineRule="auto"/>
        <w:rPr>
          <w:color w:val="000000" w:themeColor="text1"/>
          <w:lang w:bidi="ar"/>
          <w14:textFill>
            <w14:solidFill>
              <w14:schemeClr w14:val="tx1"/>
            </w14:solidFill>
          </w14:textFill>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7DA5F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Borders>
              <w:top w:val="nil"/>
              <w:left w:val="nil"/>
              <w:bottom w:val="nil"/>
              <w:right w:val="nil"/>
            </w:tcBorders>
          </w:tcPr>
          <w:p w14:paraId="28486DB8">
            <w:pPr>
              <w:spacing w:line="480" w:lineRule="auto"/>
              <w:rPr>
                <w:color w:val="000000" w:themeColor="text1"/>
                <w:lang w:bidi="ar"/>
                <w14:textFill>
                  <w14:solidFill>
                    <w14:schemeClr w14:val="tx1"/>
                  </w14:solidFill>
                </w14:textFill>
              </w:rPr>
            </w:pPr>
            <w:r>
              <w:rPr>
                <w:rFonts w:hint="eastAsia"/>
                <w:color w:val="000000" w:themeColor="text1"/>
                <w14:textFill>
                  <w14:solidFill>
                    <w14:schemeClr w14:val="tx1"/>
                  </w14:solidFill>
                </w14:textFill>
              </w:rPr>
              <w:drawing>
                <wp:inline distT="0" distB="0" distL="114300" distR="114300">
                  <wp:extent cx="5757545" cy="1552575"/>
                  <wp:effectExtent l="0" t="0" r="3175" b="1905"/>
                  <wp:docPr id="8" name="图片 8" descr="幻灯片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幻灯片8-8"/>
                          <pic:cNvPicPr>
                            <a:picLocks noChangeAspect="1"/>
                          </pic:cNvPicPr>
                        </pic:nvPicPr>
                        <pic:blipFill>
                          <a:blip r:embed="rId18"/>
                          <a:srcRect t="21635"/>
                          <a:stretch>
                            <a:fillRect/>
                          </a:stretch>
                        </pic:blipFill>
                        <pic:spPr>
                          <a:xfrm>
                            <a:off x="0" y="0"/>
                            <a:ext cx="5757545" cy="1552575"/>
                          </a:xfrm>
                          <a:prstGeom prst="rect">
                            <a:avLst/>
                          </a:prstGeom>
                        </pic:spPr>
                      </pic:pic>
                    </a:graphicData>
                  </a:graphic>
                </wp:inline>
              </w:drawing>
            </w:r>
          </w:p>
        </w:tc>
      </w:tr>
      <w:tr w14:paraId="5FAF9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Borders>
              <w:top w:val="nil"/>
              <w:left w:val="nil"/>
              <w:bottom w:val="nil"/>
              <w:right w:val="nil"/>
            </w:tcBorders>
          </w:tcPr>
          <w:p w14:paraId="6312B4D1">
            <w:pPr>
              <w:spacing w:line="480" w:lineRule="auto"/>
              <w:rPr>
                <w:color w:val="000000" w:themeColor="text1"/>
                <w:kern w:val="0"/>
                <w:lang w:bidi="ar"/>
                <w14:textFill>
                  <w14:solidFill>
                    <w14:schemeClr w14:val="tx1"/>
                  </w14:solidFill>
                </w14:textFill>
              </w:rPr>
            </w:pPr>
            <w:r>
              <w:rPr>
                <w:rFonts w:hint="eastAsia"/>
                <w:b/>
                <w:bCs/>
                <w:color w:val="000000" w:themeColor="text1"/>
                <w:lang w:bidi="ar"/>
                <w14:textFill>
                  <w14:solidFill>
                    <w14:schemeClr w14:val="tx1"/>
                  </w14:solidFill>
                </w14:textFill>
              </w:rPr>
              <w:t>Fig. S</w:t>
            </w:r>
            <w:r>
              <w:rPr>
                <w:rFonts w:hint="eastAsia"/>
                <w:b/>
                <w:bCs/>
                <w:color w:val="000000" w:themeColor="text1"/>
                <w:shd w:val="clear" w:color="auto" w:fill="FFFFFF"/>
                <w14:textFill>
                  <w14:solidFill>
                    <w14:schemeClr w14:val="tx1"/>
                  </w14:solidFill>
                </w14:textFill>
              </w:rPr>
              <w:t>11</w:t>
            </w:r>
            <w:r>
              <w:rPr>
                <w:color w:val="000000" w:themeColor="text1"/>
                <w:shd w:val="clear" w:color="auto" w:fill="FFFFFF"/>
                <w14:textFill>
                  <w14:solidFill>
                    <w14:schemeClr w14:val="tx1"/>
                  </w14:solidFill>
                </w14:textFill>
              </w:rPr>
              <w:t xml:space="preserve"> CLSM images illustrating ROS levels in 4T-1 cells after various treatments for 24 hours. Scale bar = 100 µm.</w:t>
            </w:r>
            <w:r>
              <w:rPr>
                <w:rFonts w:hint="eastAsia"/>
                <w:color w:val="000000" w:themeColor="text1"/>
                <w:shd w:val="clear" w:color="auto" w:fill="FFFFFF"/>
                <w14:textFill>
                  <w14:solidFill>
                    <w14:schemeClr w14:val="tx1"/>
                  </w14:solidFill>
                </w14:textFill>
              </w:rPr>
              <w:t xml:space="preserve"> The results reveal the potential CDT and PDT effects of </w:t>
            </w:r>
            <w:bookmarkStart w:id="1" w:name="OLE_LINK5"/>
            <w:r>
              <w:rPr>
                <w:rFonts w:hint="eastAsia"/>
                <w:color w:val="000000" w:themeColor="text1"/>
                <w:shd w:val="clear" w:color="auto" w:fill="FFFFFF"/>
                <w14:textFill>
                  <w14:solidFill>
                    <w14:schemeClr w14:val="tx1"/>
                  </w14:solidFill>
                </w14:textFill>
              </w:rPr>
              <w:t>Mn-ER-Cy</w:t>
            </w:r>
            <w:bookmarkEnd w:id="1"/>
            <w:r>
              <w:rPr>
                <w:rFonts w:hint="eastAsia"/>
                <w:color w:val="000000" w:themeColor="text1"/>
                <w:shd w:val="clear" w:color="auto" w:fill="FFFFFF"/>
                <w14:textFill>
                  <w14:solidFill>
                    <w14:schemeClr w14:val="tx1"/>
                  </w14:solidFill>
                </w14:textFill>
              </w:rPr>
              <w:t xml:space="preserve">. Especially, a great number of ROS were detected after combined treatment of Mn-ER-Cy and laser irradiation (+).  </w:t>
            </w:r>
          </w:p>
        </w:tc>
      </w:tr>
    </w:tbl>
    <w:p w14:paraId="6F75897D">
      <w:pPr>
        <w:spacing w:line="480" w:lineRule="auto"/>
        <w:rPr>
          <w:color w:val="000000" w:themeColor="text1"/>
          <w:lang w:bidi="ar"/>
          <w14:textFill>
            <w14:solidFill>
              <w14:schemeClr w14:val="tx1"/>
            </w14:solidFill>
          </w14:textFill>
        </w:rPr>
      </w:pPr>
      <w:r>
        <w:rPr>
          <w:color w:val="000000" w:themeColor="text1"/>
          <w:lang w:bidi="ar"/>
          <w14:textFill>
            <w14:solidFill>
              <w14:schemeClr w14:val="tx1"/>
            </w14:solidFill>
          </w14:textFill>
        </w:rPr>
        <w:br w:type="page"/>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2C481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Borders>
              <w:top w:val="nil"/>
              <w:left w:val="nil"/>
              <w:bottom w:val="nil"/>
              <w:right w:val="nil"/>
            </w:tcBorders>
          </w:tcPr>
          <w:p w14:paraId="0B288377">
            <w:pPr>
              <w:spacing w:line="480" w:lineRule="auto"/>
              <w:rPr>
                <w:color w:val="000000" w:themeColor="text1"/>
                <w:lang w:bidi="ar"/>
                <w14:textFill>
                  <w14:solidFill>
                    <w14:schemeClr w14:val="tx1"/>
                  </w14:solidFill>
                </w14:textFill>
              </w:rPr>
            </w:pPr>
            <w:r>
              <w:rPr>
                <w:color w:val="000000" w:themeColor="text1"/>
                <w14:textFill>
                  <w14:solidFill>
                    <w14:schemeClr w14:val="tx1"/>
                  </w14:solidFill>
                </w14:textFill>
              </w:rPr>
              <w:drawing>
                <wp:inline distT="0" distB="0" distL="114300" distR="114300">
                  <wp:extent cx="5529580" cy="3415030"/>
                  <wp:effectExtent l="0" t="0" r="2540" b="139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9"/>
                          <a:stretch>
                            <a:fillRect/>
                          </a:stretch>
                        </pic:blipFill>
                        <pic:spPr>
                          <a:xfrm>
                            <a:off x="0" y="0"/>
                            <a:ext cx="5529580" cy="3415030"/>
                          </a:xfrm>
                          <a:prstGeom prst="rect">
                            <a:avLst/>
                          </a:prstGeom>
                          <a:noFill/>
                          <a:ln>
                            <a:noFill/>
                          </a:ln>
                        </pic:spPr>
                      </pic:pic>
                    </a:graphicData>
                  </a:graphic>
                </wp:inline>
              </w:drawing>
            </w:r>
          </w:p>
        </w:tc>
      </w:tr>
      <w:tr w14:paraId="7B73B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Borders>
              <w:top w:val="nil"/>
              <w:left w:val="nil"/>
              <w:bottom w:val="nil"/>
              <w:right w:val="nil"/>
            </w:tcBorders>
          </w:tcPr>
          <w:p w14:paraId="642F08DB">
            <w:pPr>
              <w:spacing w:line="480" w:lineRule="auto"/>
              <w:rPr>
                <w:color w:val="000000" w:themeColor="text1"/>
                <w:kern w:val="0"/>
                <w:lang w:bidi="ar"/>
                <w14:textFill>
                  <w14:solidFill>
                    <w14:schemeClr w14:val="tx1"/>
                  </w14:solidFill>
                </w14:textFill>
              </w:rPr>
            </w:pPr>
            <w:r>
              <w:rPr>
                <w:rFonts w:hint="eastAsia"/>
                <w:b/>
                <w:bCs/>
                <w:color w:val="000000" w:themeColor="text1"/>
                <w:lang w:bidi="ar"/>
                <w14:textFill>
                  <w14:solidFill>
                    <w14:schemeClr w14:val="tx1"/>
                  </w14:solidFill>
                </w14:textFill>
              </w:rPr>
              <w:t>Fig. S</w:t>
            </w:r>
            <w:r>
              <w:rPr>
                <w:rFonts w:hint="eastAsia"/>
                <w:b/>
                <w:bCs/>
                <w:color w:val="000000" w:themeColor="text1"/>
                <w:shd w:val="clear" w:color="auto" w:fill="FFFFFF"/>
                <w14:textFill>
                  <w14:solidFill>
                    <w14:schemeClr w14:val="tx1"/>
                  </w14:solidFill>
                </w14:textFill>
              </w:rPr>
              <w:t>12</w:t>
            </w:r>
            <w:r>
              <w:rPr>
                <w:color w:val="000000" w:themeColor="text1"/>
                <w:shd w:val="clear" w:color="auto" w:fill="FFFFFF"/>
                <w14:textFill>
                  <w14:solidFill>
                    <w14:schemeClr w14:val="tx1"/>
                  </w14:solidFill>
                </w14:textFill>
              </w:rPr>
              <w:t xml:space="preserve"> </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a</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 xml:space="preserve"> CLSM images illustrating ·OH levels in 4T-1 cells after various treatments for 24 hours. Scale bar = 25 µm. </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b</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 xml:space="preserve"> Semi-quantitative analysis of the fluorescence intensity as shown in panel a</w:t>
            </w:r>
            <w:r>
              <w:rPr>
                <w:rFonts w:hint="eastAsia"/>
                <w:color w:val="000000" w:themeColor="text1"/>
                <w:shd w:val="clear" w:color="auto" w:fill="FFFFFF"/>
                <w14:textFill>
                  <w14:solidFill>
                    <w14:schemeClr w14:val="tx1"/>
                  </w14:solidFill>
                </w14:textFill>
              </w:rPr>
              <w:t xml:space="preserve"> (</w:t>
            </w:r>
            <w:r>
              <w:rPr>
                <w:rFonts w:hint="eastAsia"/>
                <w:color w:val="000000" w:themeColor="text1"/>
                <w14:textFill>
                  <w14:solidFill>
                    <w14:schemeClr w14:val="tx1"/>
                  </w14:solidFill>
                </w14:textFill>
              </w:rPr>
              <w:t xml:space="preserve">n=3, </w:t>
            </w:r>
            <w:r>
              <w:rPr>
                <w:color w:val="000000" w:themeColor="text1"/>
                <w14:textFill>
                  <w14:solidFill>
                    <w14:schemeClr w14:val="tx1"/>
                  </w14:solidFill>
                </w14:textFill>
              </w:rPr>
              <w:t>mean ± s.d.</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 Statistical analyses were conducted using one-way ANOVA followed by Tukey’s test. *p &lt; 0.05, **p &lt; 0.01, ***p &lt; 0.001.</w:t>
            </w:r>
          </w:p>
        </w:tc>
      </w:tr>
      <w:tr w14:paraId="7DD31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Borders>
              <w:top w:val="nil"/>
              <w:left w:val="nil"/>
              <w:bottom w:val="nil"/>
              <w:right w:val="nil"/>
            </w:tcBorders>
          </w:tcPr>
          <w:p w14:paraId="2170C21A">
            <w:pPr>
              <w:spacing w:line="480" w:lineRule="auto"/>
              <w:rPr>
                <w:color w:val="000000" w:themeColor="text1"/>
                <w:shd w:val="clear" w:color="auto" w:fill="FFFFFF"/>
                <w14:textFill>
                  <w14:solidFill>
                    <w14:schemeClr w14:val="tx1"/>
                  </w14:solidFill>
                </w14:textFill>
              </w:rPr>
            </w:pPr>
          </w:p>
        </w:tc>
      </w:tr>
    </w:tbl>
    <w:p w14:paraId="2658B019">
      <w:pPr>
        <w:spacing w:line="480" w:lineRule="auto"/>
        <w:rPr>
          <w:color w:val="000000" w:themeColor="text1"/>
          <w:lang w:bidi="ar"/>
          <w14:textFill>
            <w14:solidFill>
              <w14:schemeClr w14:val="tx1"/>
            </w14:solidFill>
          </w14:textFill>
        </w:rPr>
      </w:pPr>
      <w:r>
        <w:rPr>
          <w:color w:val="000000" w:themeColor="text1"/>
          <w:lang w:bidi="ar"/>
          <w14:textFill>
            <w14:solidFill>
              <w14:schemeClr w14:val="tx1"/>
            </w14:solidFill>
          </w14:textFill>
        </w:rPr>
        <w:br w:type="page"/>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48154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Borders>
              <w:top w:val="nil"/>
              <w:left w:val="nil"/>
              <w:bottom w:val="nil"/>
              <w:right w:val="nil"/>
            </w:tcBorders>
          </w:tcPr>
          <w:p w14:paraId="33686C73">
            <w:pPr>
              <w:spacing w:line="480" w:lineRule="auto"/>
              <w:rPr>
                <w:color w:val="000000" w:themeColor="text1"/>
                <w:lang w:bidi="ar"/>
                <w14:textFill>
                  <w14:solidFill>
                    <w14:schemeClr w14:val="tx1"/>
                  </w14:solidFill>
                </w14:textFill>
              </w:rPr>
            </w:pPr>
            <w:r>
              <w:rPr>
                <w:rFonts w:hint="eastAsia"/>
                <w:color w:val="000000" w:themeColor="text1"/>
                <w14:textFill>
                  <w14:solidFill>
                    <w14:schemeClr w14:val="tx1"/>
                  </w14:solidFill>
                </w14:textFill>
              </w:rPr>
              <w:drawing>
                <wp:anchor distT="0" distB="0" distL="114300" distR="114300" simplePos="0" relativeHeight="251660288" behindDoc="0" locked="0" layoutInCell="1" allowOverlap="1">
                  <wp:simplePos x="0" y="0"/>
                  <wp:positionH relativeFrom="column">
                    <wp:posOffset>373380</wp:posOffset>
                  </wp:positionH>
                  <wp:positionV relativeFrom="paragraph">
                    <wp:posOffset>71755</wp:posOffset>
                  </wp:positionV>
                  <wp:extent cx="5001260" cy="4764405"/>
                  <wp:effectExtent l="0" t="0" r="12700" b="5715"/>
                  <wp:wrapSquare wrapText="bothSides"/>
                  <wp:docPr id="10" name="图片 10" descr="幻灯片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幻灯片10-10"/>
                          <pic:cNvPicPr>
                            <a:picLocks noChangeAspect="1"/>
                          </pic:cNvPicPr>
                        </pic:nvPicPr>
                        <pic:blipFill>
                          <a:blip r:embed="rId20"/>
                          <a:srcRect t="6753"/>
                          <a:stretch>
                            <a:fillRect/>
                          </a:stretch>
                        </pic:blipFill>
                        <pic:spPr>
                          <a:xfrm>
                            <a:off x="0" y="0"/>
                            <a:ext cx="5001260" cy="4764405"/>
                          </a:xfrm>
                          <a:prstGeom prst="rect">
                            <a:avLst/>
                          </a:prstGeom>
                        </pic:spPr>
                      </pic:pic>
                    </a:graphicData>
                  </a:graphic>
                </wp:anchor>
              </w:drawing>
            </w:r>
          </w:p>
        </w:tc>
      </w:tr>
      <w:tr w14:paraId="076D3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Borders>
              <w:top w:val="nil"/>
              <w:left w:val="nil"/>
              <w:bottom w:val="nil"/>
              <w:right w:val="nil"/>
            </w:tcBorders>
          </w:tcPr>
          <w:p w14:paraId="738D1BB7">
            <w:pPr>
              <w:spacing w:line="480" w:lineRule="auto"/>
              <w:rPr>
                <w:color w:val="000000" w:themeColor="text1"/>
                <w:kern w:val="0"/>
                <w:lang w:bidi="ar"/>
                <w14:textFill>
                  <w14:solidFill>
                    <w14:schemeClr w14:val="tx1"/>
                  </w14:solidFill>
                </w14:textFill>
              </w:rPr>
            </w:pPr>
            <w:r>
              <w:rPr>
                <w:rFonts w:hint="eastAsia"/>
                <w:b/>
                <w:bCs/>
                <w:color w:val="000000" w:themeColor="text1"/>
                <w:lang w:bidi="ar"/>
                <w14:textFill>
                  <w14:solidFill>
                    <w14:schemeClr w14:val="tx1"/>
                  </w14:solidFill>
                </w14:textFill>
              </w:rPr>
              <w:t>Fig. S</w:t>
            </w:r>
            <w:r>
              <w:rPr>
                <w:b/>
                <w:bCs/>
                <w:color w:val="000000" w:themeColor="text1"/>
                <w:shd w:val="clear" w:color="auto" w:fill="FFFFFF"/>
                <w14:textFill>
                  <w14:solidFill>
                    <w14:schemeClr w14:val="tx1"/>
                  </w14:solidFill>
                </w14:textFill>
              </w:rPr>
              <w:t>1</w:t>
            </w:r>
            <w:r>
              <w:rPr>
                <w:rFonts w:hint="eastAsia"/>
                <w:b/>
                <w:bCs/>
                <w:color w:val="000000" w:themeColor="text1"/>
                <w:shd w:val="clear" w:color="auto" w:fill="FFFFFF"/>
                <w14:textFill>
                  <w14:solidFill>
                    <w14:schemeClr w14:val="tx1"/>
                  </w14:solidFill>
                </w14:textFill>
              </w:rPr>
              <w:t>3</w:t>
            </w:r>
            <w:r>
              <w:rPr>
                <w:color w:val="000000" w:themeColor="text1"/>
                <w:shd w:val="clear" w:color="auto" w:fill="FFFFFF"/>
                <w14:textFill>
                  <w14:solidFill>
                    <w14:schemeClr w14:val="tx1"/>
                  </w14:solidFill>
                </w14:textFill>
              </w:rPr>
              <w:t xml:space="preserve"> Fluorescence microscopy images illustrating the MMP in 4T-1 cells after various treatments for 24 hours. Red indicates normal MMP, while green indicates loss of MMP. Scale bar = 100 µm.</w:t>
            </w:r>
          </w:p>
        </w:tc>
      </w:tr>
    </w:tbl>
    <w:p w14:paraId="04835B28">
      <w:pPr>
        <w:spacing w:line="480" w:lineRule="auto"/>
        <w:rPr>
          <w:color w:val="000000" w:themeColor="text1"/>
          <w:lang w:bidi="ar"/>
          <w14:textFill>
            <w14:solidFill>
              <w14:schemeClr w14:val="tx1"/>
            </w14:solidFill>
          </w14:textFill>
        </w:rPr>
      </w:pPr>
      <w:r>
        <w:rPr>
          <w:color w:val="000000" w:themeColor="text1"/>
          <w:lang w:bidi="ar"/>
          <w14:textFill>
            <w14:solidFill>
              <w14:schemeClr w14:val="tx1"/>
            </w14:solidFill>
          </w14:textFill>
        </w:rPr>
        <w:br w:type="page"/>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2016E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286" w:type="dxa"/>
            <w:tcBorders>
              <w:top w:val="nil"/>
              <w:left w:val="nil"/>
              <w:bottom w:val="nil"/>
              <w:right w:val="nil"/>
            </w:tcBorders>
          </w:tcPr>
          <w:p w14:paraId="3E4CB70B">
            <w:pPr>
              <w:spacing w:line="480" w:lineRule="auto"/>
              <w:rPr>
                <w:color w:val="000000" w:themeColor="text1"/>
                <w:lang w:bidi="ar"/>
                <w14:textFill>
                  <w14:solidFill>
                    <w14:schemeClr w14:val="tx1"/>
                  </w14:solidFill>
                </w14:textFill>
              </w:rPr>
            </w:pPr>
            <w:r>
              <w:rPr>
                <w:rFonts w:hint="eastAsia"/>
                <w:color w:val="000000" w:themeColor="text1"/>
                <w14:textFill>
                  <w14:solidFill>
                    <w14:schemeClr w14:val="tx1"/>
                  </w14:solidFill>
                </w14:textFill>
              </w:rPr>
              <w:drawing>
                <wp:anchor distT="0" distB="0" distL="114300" distR="114300" simplePos="0" relativeHeight="251662336" behindDoc="0" locked="0" layoutInCell="1" allowOverlap="1">
                  <wp:simplePos x="0" y="0"/>
                  <wp:positionH relativeFrom="column">
                    <wp:posOffset>476250</wp:posOffset>
                  </wp:positionH>
                  <wp:positionV relativeFrom="paragraph">
                    <wp:posOffset>30480</wp:posOffset>
                  </wp:positionV>
                  <wp:extent cx="5063490" cy="4875530"/>
                  <wp:effectExtent l="0" t="0" r="11430" b="1270"/>
                  <wp:wrapSquare wrapText="bothSides"/>
                  <wp:docPr id="11" name="图片 11" descr="幻灯片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幻灯片11-11"/>
                          <pic:cNvPicPr>
                            <a:picLocks noChangeAspect="1"/>
                          </pic:cNvPicPr>
                        </pic:nvPicPr>
                        <pic:blipFill>
                          <a:blip r:embed="rId21"/>
                          <a:srcRect t="13867"/>
                          <a:stretch>
                            <a:fillRect/>
                          </a:stretch>
                        </pic:blipFill>
                        <pic:spPr>
                          <a:xfrm>
                            <a:off x="0" y="0"/>
                            <a:ext cx="5063490" cy="4875530"/>
                          </a:xfrm>
                          <a:prstGeom prst="rect">
                            <a:avLst/>
                          </a:prstGeom>
                        </pic:spPr>
                      </pic:pic>
                    </a:graphicData>
                  </a:graphic>
                </wp:anchor>
              </w:drawing>
            </w:r>
          </w:p>
        </w:tc>
      </w:tr>
      <w:tr w14:paraId="7A76E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Borders>
              <w:top w:val="nil"/>
              <w:left w:val="nil"/>
              <w:bottom w:val="nil"/>
              <w:right w:val="nil"/>
            </w:tcBorders>
          </w:tcPr>
          <w:p w14:paraId="2A7F8DFD">
            <w:pPr>
              <w:spacing w:line="480" w:lineRule="auto"/>
              <w:rPr>
                <w:color w:val="000000" w:themeColor="text1"/>
                <w:highlight w:val="yellow"/>
                <w:shd w:val="clear" w:color="auto" w:fill="FFFFFF"/>
                <w14:textFill>
                  <w14:solidFill>
                    <w14:schemeClr w14:val="tx1"/>
                  </w14:solidFill>
                </w14:textFill>
              </w:rPr>
            </w:pPr>
            <w:r>
              <w:rPr>
                <w:rFonts w:hint="eastAsia"/>
                <w:b/>
                <w:bCs/>
                <w:color w:val="000000" w:themeColor="text1"/>
                <w:lang w:bidi="ar"/>
                <w14:textFill>
                  <w14:solidFill>
                    <w14:schemeClr w14:val="tx1"/>
                  </w14:solidFill>
                </w14:textFill>
              </w:rPr>
              <w:t>Fig. S</w:t>
            </w:r>
            <w:r>
              <w:rPr>
                <w:b/>
                <w:bCs/>
                <w:color w:val="000000" w:themeColor="text1"/>
                <w:shd w:val="clear" w:color="auto" w:fill="FFFFFF"/>
                <w14:textFill>
                  <w14:solidFill>
                    <w14:schemeClr w14:val="tx1"/>
                  </w14:solidFill>
                </w14:textFill>
              </w:rPr>
              <w:t>1</w:t>
            </w:r>
            <w:r>
              <w:rPr>
                <w:rFonts w:hint="eastAsia"/>
                <w:b/>
                <w:bCs/>
                <w:color w:val="000000" w:themeColor="text1"/>
                <w:shd w:val="clear" w:color="auto" w:fill="FFFFFF"/>
                <w14:textFill>
                  <w14:solidFill>
                    <w14:schemeClr w14:val="tx1"/>
                  </w14:solidFill>
                </w14:textFill>
              </w:rPr>
              <w:t>4</w:t>
            </w:r>
            <w:r>
              <w:rPr>
                <w:color w:val="000000" w:themeColor="text1"/>
                <w:shd w:val="clear" w:color="auto" w:fill="FFFFFF"/>
                <w14:textFill>
                  <w14:solidFill>
                    <w14:schemeClr w14:val="tx1"/>
                  </w14:solidFill>
                </w14:textFill>
              </w:rPr>
              <w:t xml:space="preserve"> </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a</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 xml:space="preserve"> </w:t>
            </w:r>
            <w:r>
              <w:rPr>
                <w:rFonts w:hint="eastAsia"/>
                <w:color w:val="000000" w:themeColor="text1"/>
                <w:shd w:val="clear" w:color="auto" w:fill="FFFFFF"/>
                <w14:textFill>
                  <w14:solidFill>
                    <w14:schemeClr w14:val="tx1"/>
                  </w14:solidFill>
                </w14:textFill>
              </w:rPr>
              <w:t xml:space="preserve">Cell scratch assay evaluating the migration ability of 4T1 cells </w:t>
            </w:r>
            <w:r>
              <w:rPr>
                <w:color w:val="000000" w:themeColor="text1"/>
                <w:shd w:val="clear" w:color="auto" w:fill="FFFFFF"/>
                <w14:textFill>
                  <w14:solidFill>
                    <w14:schemeClr w14:val="tx1"/>
                  </w14:solidFill>
                </w14:textFill>
              </w:rPr>
              <w:t>after various treatments for 24 hours</w:t>
            </w:r>
            <w:r>
              <w:rPr>
                <w:rFonts w:hint="eastAsia"/>
                <w:color w:val="000000" w:themeColor="text1"/>
                <w:shd w:val="clear" w:color="auto" w:fill="FFFFFF"/>
                <w14:textFill>
                  <w14:solidFill>
                    <w14:schemeClr w14:val="tx1"/>
                  </w14:solidFill>
                </w14:textFill>
              </w:rPr>
              <w:t xml:space="preserve">. </w:t>
            </w:r>
            <w:r>
              <w:rPr>
                <w:color w:val="000000" w:themeColor="text1"/>
                <w:shd w:val="clear" w:color="auto" w:fill="FFFFFF"/>
                <w14:textFill>
                  <w14:solidFill>
                    <w14:schemeClr w14:val="tx1"/>
                  </w14:solidFill>
                </w14:textFill>
              </w:rPr>
              <w:t xml:space="preserve">Scale bar = </w:t>
            </w:r>
            <w:r>
              <w:rPr>
                <w:rFonts w:hint="eastAsia"/>
                <w:color w:val="000000" w:themeColor="text1"/>
                <w:shd w:val="clear" w:color="auto" w:fill="FFFFFF"/>
                <w14:textFill>
                  <w14:solidFill>
                    <w14:schemeClr w14:val="tx1"/>
                  </w14:solidFill>
                </w14:textFill>
              </w:rPr>
              <w:t>200</w:t>
            </w:r>
            <w:r>
              <w:rPr>
                <w:color w:val="000000" w:themeColor="text1"/>
                <w:shd w:val="clear" w:color="auto" w:fill="FFFFFF"/>
                <w14:textFill>
                  <w14:solidFill>
                    <w14:schemeClr w14:val="tx1"/>
                  </w14:solidFill>
                </w14:textFill>
              </w:rPr>
              <w:t xml:space="preserve"> µm</w:t>
            </w:r>
            <w:r>
              <w:rPr>
                <w:rFonts w:hint="eastAsia"/>
                <w:color w:val="000000" w:themeColor="text1"/>
                <w:shd w:val="clear" w:color="auto" w:fill="FFFFFF"/>
                <w14:textFill>
                  <w14:solidFill>
                    <w14:schemeClr w14:val="tx1"/>
                  </w14:solidFill>
                </w14:textFill>
              </w:rPr>
              <w:t>. (</w:t>
            </w:r>
            <w:r>
              <w:rPr>
                <w:rFonts w:hint="eastAsia"/>
                <w:b/>
                <w:bCs/>
                <w:color w:val="000000" w:themeColor="text1"/>
                <w:shd w:val="clear" w:color="auto" w:fill="FFFFFF"/>
                <w14:textFill>
                  <w14:solidFill>
                    <w14:schemeClr w14:val="tx1"/>
                  </w14:solidFill>
                </w14:textFill>
              </w:rPr>
              <w:t>b</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 xml:space="preserve"> Quantitative analysis of the percentage of cell scratch wound healing</w:t>
            </w:r>
            <w:r>
              <w:rPr>
                <w:rFonts w:hint="eastAsia"/>
                <w:color w:val="000000" w:themeColor="text1"/>
                <w:shd w:val="clear" w:color="auto" w:fill="FFFFFF"/>
                <w14:textFill>
                  <w14:solidFill>
                    <w14:schemeClr w14:val="tx1"/>
                  </w14:solidFill>
                </w14:textFill>
              </w:rPr>
              <w:t xml:space="preserve"> in panel a (</w:t>
            </w:r>
            <w:r>
              <w:rPr>
                <w:rFonts w:hint="eastAsia"/>
                <w:color w:val="000000" w:themeColor="text1"/>
                <w14:textFill>
                  <w14:solidFill>
                    <w14:schemeClr w14:val="tx1"/>
                  </w14:solidFill>
                </w14:textFill>
              </w:rPr>
              <w:t xml:space="preserve">n=3, </w:t>
            </w:r>
            <w:r>
              <w:rPr>
                <w:color w:val="000000" w:themeColor="text1"/>
                <w14:textFill>
                  <w14:solidFill>
                    <w14:schemeClr w14:val="tx1"/>
                  </w14:solidFill>
                </w14:textFill>
              </w:rPr>
              <w:t>mean ± s.d.</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 Statistical analyses were conducted using one-way ANOVA followed by Tukey’s test</w:t>
            </w:r>
            <w:r>
              <w:rPr>
                <w:rFonts w:hint="eastAsia"/>
                <w:color w:val="000000" w:themeColor="text1"/>
                <w:shd w:val="clear" w:color="auto" w:fill="FFFFFF"/>
                <w14:textFill>
                  <w14:solidFill>
                    <w14:schemeClr w14:val="tx1"/>
                  </w14:solidFill>
                </w14:textFill>
              </w:rPr>
              <w:t xml:space="preserve">. </w:t>
            </w:r>
            <w:r>
              <w:rPr>
                <w:color w:val="000000" w:themeColor="text1"/>
                <w:shd w:val="clear" w:color="auto" w:fill="FFFFFF"/>
                <w14:textFill>
                  <w14:solidFill>
                    <w14:schemeClr w14:val="tx1"/>
                  </w14:solidFill>
                </w14:textFill>
              </w:rPr>
              <w:t>*p &lt; 0.05, **p &lt; 0.01</w:t>
            </w:r>
            <w:r>
              <w:rPr>
                <w:rFonts w:hint="eastAsia"/>
                <w:color w:val="000000" w:themeColor="text1"/>
                <w:shd w:val="clear" w:color="auto" w:fill="FFFFFF"/>
                <w14:textFill>
                  <w14:solidFill>
                    <w14:schemeClr w14:val="tx1"/>
                  </w14:solidFill>
                </w14:textFill>
              </w:rPr>
              <w:t>.</w:t>
            </w:r>
          </w:p>
        </w:tc>
      </w:tr>
    </w:tbl>
    <w:p w14:paraId="3E55CB41">
      <w:pPr>
        <w:spacing w:line="480" w:lineRule="auto"/>
        <w:rPr>
          <w:color w:val="000000" w:themeColor="text1"/>
          <w:lang w:bidi="ar"/>
          <w14:textFill>
            <w14:solidFill>
              <w14:schemeClr w14:val="tx1"/>
            </w14:solidFill>
          </w14:textFill>
        </w:rPr>
      </w:pPr>
      <w:r>
        <w:rPr>
          <w:color w:val="000000" w:themeColor="text1"/>
          <w:lang w:bidi="ar"/>
          <w14:textFill>
            <w14:solidFill>
              <w14:schemeClr w14:val="tx1"/>
            </w14:solidFill>
          </w14:textFill>
        </w:rPr>
        <w:br w:type="page"/>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0A6B6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Borders>
              <w:top w:val="nil"/>
              <w:left w:val="nil"/>
              <w:bottom w:val="nil"/>
              <w:right w:val="nil"/>
            </w:tcBorders>
          </w:tcPr>
          <w:p w14:paraId="7C635972">
            <w:pPr>
              <w:spacing w:line="480" w:lineRule="auto"/>
              <w:rPr>
                <w:color w:val="000000" w:themeColor="text1"/>
                <w:lang w:bidi="ar"/>
                <w14:textFill>
                  <w14:solidFill>
                    <w14:schemeClr w14:val="tx1"/>
                  </w14:solidFill>
                </w14:textFill>
              </w:rPr>
            </w:pPr>
            <w:r>
              <w:rPr>
                <w:rFonts w:hint="eastAsia"/>
                <w:color w:val="000000" w:themeColor="text1"/>
                <w14:textFill>
                  <w14:solidFill>
                    <w14:schemeClr w14:val="tx1"/>
                  </w14:solidFill>
                </w14:textFill>
              </w:rPr>
              <w:drawing>
                <wp:anchor distT="0" distB="0" distL="114300" distR="114300" simplePos="0" relativeHeight="251661312" behindDoc="0" locked="0" layoutInCell="1" allowOverlap="1">
                  <wp:simplePos x="0" y="0"/>
                  <wp:positionH relativeFrom="column">
                    <wp:posOffset>508000</wp:posOffset>
                  </wp:positionH>
                  <wp:positionV relativeFrom="paragraph">
                    <wp:posOffset>83820</wp:posOffset>
                  </wp:positionV>
                  <wp:extent cx="5187315" cy="2774950"/>
                  <wp:effectExtent l="0" t="0" r="9525" b="13970"/>
                  <wp:wrapSquare wrapText="bothSides"/>
                  <wp:docPr id="12" name="图片 12" descr="幻灯片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幻灯片12-12"/>
                          <pic:cNvPicPr>
                            <a:picLocks noChangeAspect="1"/>
                          </pic:cNvPicPr>
                        </pic:nvPicPr>
                        <pic:blipFill>
                          <a:blip r:embed="rId22"/>
                          <a:srcRect t="41028"/>
                          <a:stretch>
                            <a:fillRect/>
                          </a:stretch>
                        </pic:blipFill>
                        <pic:spPr>
                          <a:xfrm>
                            <a:off x="0" y="0"/>
                            <a:ext cx="5187315" cy="2774950"/>
                          </a:xfrm>
                          <a:prstGeom prst="rect">
                            <a:avLst/>
                          </a:prstGeom>
                        </pic:spPr>
                      </pic:pic>
                    </a:graphicData>
                  </a:graphic>
                </wp:anchor>
              </w:drawing>
            </w:r>
          </w:p>
        </w:tc>
      </w:tr>
      <w:tr w14:paraId="1536D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Borders>
              <w:top w:val="nil"/>
              <w:left w:val="nil"/>
              <w:bottom w:val="nil"/>
              <w:right w:val="nil"/>
            </w:tcBorders>
          </w:tcPr>
          <w:p w14:paraId="56339DBA">
            <w:pPr>
              <w:spacing w:line="480" w:lineRule="auto"/>
              <w:rPr>
                <w:color w:val="000000" w:themeColor="text1"/>
                <w:kern w:val="0"/>
                <w:lang w:bidi="ar"/>
                <w14:textFill>
                  <w14:solidFill>
                    <w14:schemeClr w14:val="tx1"/>
                  </w14:solidFill>
                </w14:textFill>
              </w:rPr>
            </w:pPr>
            <w:r>
              <w:rPr>
                <w:rFonts w:hint="eastAsia"/>
                <w:b/>
                <w:bCs/>
                <w:color w:val="000000" w:themeColor="text1"/>
                <w:lang w:bidi="ar"/>
                <w14:textFill>
                  <w14:solidFill>
                    <w14:schemeClr w14:val="tx1"/>
                  </w14:solidFill>
                </w14:textFill>
              </w:rPr>
              <w:t>Fig. S</w:t>
            </w:r>
            <w:r>
              <w:rPr>
                <w:b/>
                <w:bCs/>
                <w:color w:val="000000" w:themeColor="text1"/>
                <w:shd w:val="clear" w:color="auto" w:fill="FFFFFF"/>
                <w14:textFill>
                  <w14:solidFill>
                    <w14:schemeClr w14:val="tx1"/>
                  </w14:solidFill>
                </w14:textFill>
              </w:rPr>
              <w:t>1</w:t>
            </w:r>
            <w:r>
              <w:rPr>
                <w:rFonts w:hint="eastAsia"/>
                <w:b/>
                <w:bCs/>
                <w:color w:val="000000" w:themeColor="text1"/>
                <w:shd w:val="clear" w:color="auto" w:fill="FFFFFF"/>
                <w14:textFill>
                  <w14:solidFill>
                    <w14:schemeClr w14:val="tx1"/>
                  </w14:solidFill>
                </w14:textFill>
              </w:rPr>
              <w:t>5</w:t>
            </w:r>
            <w:r>
              <w:rPr>
                <w:color w:val="000000" w:themeColor="text1"/>
                <w:shd w:val="clear" w:color="auto" w:fill="FFFFFF"/>
                <w14:textFill>
                  <w14:solidFill>
                    <w14:schemeClr w14:val="tx1"/>
                  </w14:solidFill>
                </w14:textFill>
              </w:rPr>
              <w:t xml:space="preserve"> </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a</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 xml:space="preserve"> Transwell invasion assay evaluating the invasion ability of 4T-1 cells after various treatments for 24 hours. Scale bar = 100 µm. </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b</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 xml:space="preserve"> Semi-quantitative analysis of the number of cells that invaded the lower chamber in panel a</w:t>
            </w:r>
            <w:r>
              <w:rPr>
                <w:rFonts w:hint="eastAsia"/>
                <w:color w:val="000000" w:themeColor="text1"/>
                <w:shd w:val="clear" w:color="auto" w:fill="FFFFFF"/>
                <w14:textFill>
                  <w14:solidFill>
                    <w14:schemeClr w14:val="tx1"/>
                  </w14:solidFill>
                </w14:textFill>
              </w:rPr>
              <w:t xml:space="preserve"> (</w:t>
            </w:r>
            <w:r>
              <w:rPr>
                <w:rFonts w:hint="eastAsia"/>
                <w:color w:val="000000" w:themeColor="text1"/>
                <w14:textFill>
                  <w14:solidFill>
                    <w14:schemeClr w14:val="tx1"/>
                  </w14:solidFill>
                </w14:textFill>
              </w:rPr>
              <w:t xml:space="preserve">n=3, </w:t>
            </w:r>
            <w:r>
              <w:rPr>
                <w:color w:val="000000" w:themeColor="text1"/>
                <w14:textFill>
                  <w14:solidFill>
                    <w14:schemeClr w14:val="tx1"/>
                  </w14:solidFill>
                </w14:textFill>
              </w:rPr>
              <w:t>mean ± s.d.</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 Statistical analyses were conducted using one-way ANOVA followed by Tukey’s test. *p &lt; 0.05.</w:t>
            </w:r>
          </w:p>
        </w:tc>
      </w:tr>
    </w:tbl>
    <w:p w14:paraId="736509F0">
      <w:pPr>
        <w:spacing w:line="480" w:lineRule="auto"/>
        <w:rPr>
          <w:color w:val="000000" w:themeColor="text1"/>
          <w:lang w:bidi="ar"/>
          <w14:textFill>
            <w14:solidFill>
              <w14:schemeClr w14:val="tx1"/>
            </w14:solidFill>
          </w14:textFill>
        </w:rPr>
      </w:pPr>
      <w:r>
        <w:rPr>
          <w:color w:val="000000" w:themeColor="text1"/>
          <w:lang w:bidi="ar"/>
          <w14:textFill>
            <w14:solidFill>
              <w14:schemeClr w14:val="tx1"/>
            </w14:solidFill>
          </w14:textFill>
        </w:rPr>
        <w:br w:type="page"/>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2A886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286" w:type="dxa"/>
            <w:tcBorders>
              <w:top w:val="nil"/>
              <w:left w:val="nil"/>
              <w:bottom w:val="nil"/>
              <w:right w:val="nil"/>
            </w:tcBorders>
          </w:tcPr>
          <w:p w14:paraId="063B4310">
            <w:pPr>
              <w:spacing w:line="480" w:lineRule="auto"/>
              <w:rPr>
                <w:color w:val="000000" w:themeColor="text1"/>
                <w:lang w:bidi="ar"/>
                <w14:textFill>
                  <w14:solidFill>
                    <w14:schemeClr w14:val="tx1"/>
                  </w14:solidFill>
                </w14:textFill>
              </w:rPr>
            </w:pPr>
            <w:r>
              <w:rPr>
                <w:rFonts w:hint="eastAsia"/>
                <w:color w:val="000000" w:themeColor="text1"/>
                <w14:textFill>
                  <w14:solidFill>
                    <w14:schemeClr w14:val="tx1"/>
                  </w14:solidFill>
                </w14:textFill>
              </w:rPr>
              <w:drawing>
                <wp:anchor distT="0" distB="0" distL="114300" distR="114300" simplePos="0" relativeHeight="251663360" behindDoc="0" locked="0" layoutInCell="1" allowOverlap="1">
                  <wp:simplePos x="0" y="0"/>
                  <wp:positionH relativeFrom="column">
                    <wp:posOffset>714375</wp:posOffset>
                  </wp:positionH>
                  <wp:positionV relativeFrom="paragraph">
                    <wp:posOffset>69850</wp:posOffset>
                  </wp:positionV>
                  <wp:extent cx="4169410" cy="3886835"/>
                  <wp:effectExtent l="0" t="0" r="6350" b="14605"/>
                  <wp:wrapSquare wrapText="bothSides"/>
                  <wp:docPr id="13" name="图片 13" descr="幻灯片1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幻灯片13-13"/>
                          <pic:cNvPicPr>
                            <a:picLocks noChangeAspect="1"/>
                          </pic:cNvPicPr>
                        </pic:nvPicPr>
                        <pic:blipFill>
                          <a:blip r:embed="rId23"/>
                          <a:srcRect l="13959" t="6761"/>
                          <a:stretch>
                            <a:fillRect/>
                          </a:stretch>
                        </pic:blipFill>
                        <pic:spPr>
                          <a:xfrm>
                            <a:off x="0" y="0"/>
                            <a:ext cx="4169410" cy="3886835"/>
                          </a:xfrm>
                          <a:prstGeom prst="rect">
                            <a:avLst/>
                          </a:prstGeom>
                        </pic:spPr>
                      </pic:pic>
                    </a:graphicData>
                  </a:graphic>
                </wp:anchor>
              </w:drawing>
            </w:r>
          </w:p>
        </w:tc>
      </w:tr>
      <w:tr w14:paraId="58776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Borders>
              <w:top w:val="nil"/>
              <w:left w:val="nil"/>
              <w:bottom w:val="nil"/>
              <w:right w:val="nil"/>
            </w:tcBorders>
          </w:tcPr>
          <w:p w14:paraId="4F039BA8">
            <w:pPr>
              <w:spacing w:line="480" w:lineRule="auto"/>
              <w:rPr>
                <w:color w:val="000000" w:themeColor="text1"/>
                <w:kern w:val="0"/>
                <w:lang w:bidi="ar"/>
                <w14:textFill>
                  <w14:solidFill>
                    <w14:schemeClr w14:val="tx1"/>
                  </w14:solidFill>
                </w14:textFill>
              </w:rPr>
            </w:pPr>
            <w:r>
              <w:rPr>
                <w:rFonts w:hint="eastAsia"/>
                <w:b/>
                <w:bCs/>
                <w:color w:val="000000" w:themeColor="text1"/>
                <w:lang w:bidi="ar"/>
                <w14:textFill>
                  <w14:solidFill>
                    <w14:schemeClr w14:val="tx1"/>
                  </w14:solidFill>
                </w14:textFill>
              </w:rPr>
              <w:t>Fig. S</w:t>
            </w:r>
            <w:r>
              <w:rPr>
                <w:b/>
                <w:bCs/>
                <w:color w:val="000000" w:themeColor="text1"/>
                <w:shd w:val="clear" w:color="auto" w:fill="FFFFFF"/>
                <w14:textFill>
                  <w14:solidFill>
                    <w14:schemeClr w14:val="tx1"/>
                  </w14:solidFill>
                </w14:textFill>
              </w:rPr>
              <w:t>1</w:t>
            </w:r>
            <w:r>
              <w:rPr>
                <w:rFonts w:hint="eastAsia"/>
                <w:b/>
                <w:bCs/>
                <w:color w:val="000000" w:themeColor="text1"/>
                <w:shd w:val="clear" w:color="auto" w:fill="FFFFFF"/>
                <w14:textFill>
                  <w14:solidFill>
                    <w14:schemeClr w14:val="tx1"/>
                  </w14:solidFill>
                </w14:textFill>
              </w:rPr>
              <w:t>6</w:t>
            </w:r>
            <w:r>
              <w:rPr>
                <w:color w:val="000000" w:themeColor="text1"/>
                <w:shd w:val="clear" w:color="auto" w:fill="FFFFFF"/>
                <w14:textFill>
                  <w14:solidFill>
                    <w14:schemeClr w14:val="tx1"/>
                  </w14:solidFill>
                </w14:textFill>
              </w:rPr>
              <w:t xml:space="preserve"> GSEA analysis the enrichment of unfold protein binding process in Mn-ER-Cy (+) treated cells.</w:t>
            </w:r>
          </w:p>
        </w:tc>
      </w:tr>
    </w:tbl>
    <w:p w14:paraId="7867B82D">
      <w:pPr>
        <w:spacing w:line="480" w:lineRule="auto"/>
        <w:rPr>
          <w:color w:val="000000" w:themeColor="text1"/>
          <w:lang w:bidi="ar"/>
          <w14:textFill>
            <w14:solidFill>
              <w14:schemeClr w14:val="tx1"/>
            </w14:solidFill>
          </w14:textFill>
        </w:rPr>
      </w:pPr>
      <w:r>
        <w:rPr>
          <w:color w:val="000000" w:themeColor="text1"/>
          <w:lang w:bidi="ar"/>
          <w14:textFill>
            <w14:solidFill>
              <w14:schemeClr w14:val="tx1"/>
            </w14:solidFill>
          </w14:textFill>
        </w:rPr>
        <w:br w:type="page"/>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42D7F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Borders>
              <w:top w:val="nil"/>
              <w:left w:val="nil"/>
              <w:bottom w:val="nil"/>
              <w:right w:val="nil"/>
            </w:tcBorders>
          </w:tcPr>
          <w:p w14:paraId="3E119042">
            <w:pPr>
              <w:spacing w:line="480" w:lineRule="auto"/>
              <w:rPr>
                <w:color w:val="000000" w:themeColor="text1"/>
                <w:lang w:bidi="ar"/>
                <w14:textFill>
                  <w14:solidFill>
                    <w14:schemeClr w14:val="tx1"/>
                  </w14:solidFill>
                </w14:textFill>
              </w:rPr>
            </w:pPr>
            <w:r>
              <w:rPr>
                <w:rFonts w:hint="eastAsia"/>
                <w:color w:val="000000" w:themeColor="text1"/>
                <w14:textFill>
                  <w14:solidFill>
                    <w14:schemeClr w14:val="tx1"/>
                  </w14:solidFill>
                </w14:textFill>
              </w:rPr>
              <w:drawing>
                <wp:anchor distT="0" distB="0" distL="114300" distR="114300" simplePos="0" relativeHeight="251664384" behindDoc="0" locked="0" layoutInCell="1" allowOverlap="1">
                  <wp:simplePos x="0" y="0"/>
                  <wp:positionH relativeFrom="column">
                    <wp:posOffset>563245</wp:posOffset>
                  </wp:positionH>
                  <wp:positionV relativeFrom="paragraph">
                    <wp:posOffset>-7620</wp:posOffset>
                  </wp:positionV>
                  <wp:extent cx="4803140" cy="2733040"/>
                  <wp:effectExtent l="0" t="0" r="12700" b="10160"/>
                  <wp:wrapSquare wrapText="bothSides"/>
                  <wp:docPr id="14" name="图片 14" descr="幻灯片1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幻灯片14-14"/>
                          <pic:cNvPicPr>
                            <a:picLocks noChangeAspect="1"/>
                          </pic:cNvPicPr>
                        </pic:nvPicPr>
                        <pic:blipFill>
                          <a:blip r:embed="rId24"/>
                          <a:srcRect t="21587"/>
                          <a:stretch>
                            <a:fillRect/>
                          </a:stretch>
                        </pic:blipFill>
                        <pic:spPr>
                          <a:xfrm>
                            <a:off x="0" y="0"/>
                            <a:ext cx="4803140" cy="2733040"/>
                          </a:xfrm>
                          <a:prstGeom prst="rect">
                            <a:avLst/>
                          </a:prstGeom>
                        </pic:spPr>
                      </pic:pic>
                    </a:graphicData>
                  </a:graphic>
                </wp:anchor>
              </w:drawing>
            </w:r>
          </w:p>
        </w:tc>
      </w:tr>
      <w:tr w14:paraId="55966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Borders>
              <w:top w:val="nil"/>
              <w:left w:val="nil"/>
              <w:bottom w:val="nil"/>
              <w:right w:val="nil"/>
            </w:tcBorders>
          </w:tcPr>
          <w:p w14:paraId="72E4FBA2">
            <w:pPr>
              <w:spacing w:line="480" w:lineRule="auto"/>
              <w:rPr>
                <w:color w:val="000000" w:themeColor="text1"/>
                <w:kern w:val="0"/>
                <w:lang w:bidi="ar"/>
                <w14:textFill>
                  <w14:solidFill>
                    <w14:schemeClr w14:val="tx1"/>
                  </w14:solidFill>
                </w14:textFill>
              </w:rPr>
            </w:pPr>
            <w:r>
              <w:rPr>
                <w:rFonts w:hint="eastAsia"/>
                <w:b/>
                <w:bCs/>
                <w:color w:val="000000" w:themeColor="text1"/>
                <w:lang w:bidi="ar"/>
                <w14:textFill>
                  <w14:solidFill>
                    <w14:schemeClr w14:val="tx1"/>
                  </w14:solidFill>
                </w14:textFill>
              </w:rPr>
              <w:t>Fig. S</w:t>
            </w:r>
            <w:r>
              <w:rPr>
                <w:b/>
                <w:bCs/>
                <w:color w:val="000000" w:themeColor="text1"/>
                <w:shd w:val="clear" w:color="auto" w:fill="FFFFFF"/>
                <w14:textFill>
                  <w14:solidFill>
                    <w14:schemeClr w14:val="tx1"/>
                  </w14:solidFill>
                </w14:textFill>
              </w:rPr>
              <w:t>1</w:t>
            </w:r>
            <w:r>
              <w:rPr>
                <w:rFonts w:hint="eastAsia"/>
                <w:b/>
                <w:bCs/>
                <w:color w:val="000000" w:themeColor="text1"/>
                <w:shd w:val="clear" w:color="auto" w:fill="FFFFFF"/>
                <w14:textFill>
                  <w14:solidFill>
                    <w14:schemeClr w14:val="tx1"/>
                  </w14:solidFill>
                </w14:textFill>
              </w:rPr>
              <w:t xml:space="preserve">7 </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a</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 xml:space="preserve"> CLSM images illustrating intracellular Ca</w:t>
            </w:r>
            <w:r>
              <w:rPr>
                <w:color w:val="000000" w:themeColor="text1"/>
                <w:shd w:val="clear" w:color="auto" w:fill="FFFFFF"/>
                <w:vertAlign w:val="superscript"/>
                <w14:textFill>
                  <w14:solidFill>
                    <w14:schemeClr w14:val="tx1"/>
                  </w14:solidFill>
                </w14:textFill>
              </w:rPr>
              <w:t>2+</w:t>
            </w:r>
            <w:r>
              <w:rPr>
                <w:color w:val="000000" w:themeColor="text1"/>
                <w:shd w:val="clear" w:color="auto" w:fill="FFFFFF"/>
                <w14:textFill>
                  <w14:solidFill>
                    <w14:schemeClr w14:val="tx1"/>
                  </w14:solidFill>
                </w14:textFill>
              </w:rPr>
              <w:t xml:space="preserve"> levels in 4T-1 cells after various treatments for 24 hours. Scale bar = 50 µm. </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b</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 xml:space="preserve"> Semi-quantitative analysis of the fluorescence intensity as shown in panel a</w:t>
            </w:r>
            <w:r>
              <w:rPr>
                <w:rFonts w:hint="eastAsia"/>
                <w:color w:val="000000" w:themeColor="text1"/>
                <w:shd w:val="clear" w:color="auto" w:fill="FFFFFF"/>
                <w14:textFill>
                  <w14:solidFill>
                    <w14:schemeClr w14:val="tx1"/>
                  </w14:solidFill>
                </w14:textFill>
              </w:rPr>
              <w:t xml:space="preserve"> (</w:t>
            </w:r>
            <w:r>
              <w:rPr>
                <w:rFonts w:hint="eastAsia"/>
                <w:color w:val="000000" w:themeColor="text1"/>
                <w14:textFill>
                  <w14:solidFill>
                    <w14:schemeClr w14:val="tx1"/>
                  </w14:solidFill>
                </w14:textFill>
              </w:rPr>
              <w:t xml:space="preserve">n=3, </w:t>
            </w:r>
            <w:r>
              <w:rPr>
                <w:color w:val="000000" w:themeColor="text1"/>
                <w14:textFill>
                  <w14:solidFill>
                    <w14:schemeClr w14:val="tx1"/>
                  </w14:solidFill>
                </w14:textFill>
              </w:rPr>
              <w:t>mean ± s.d.</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 Statistical analyses were conducted using one-way ANOVA followed by Tukey’s test</w:t>
            </w:r>
            <w:r>
              <w:rPr>
                <w:rFonts w:hint="eastAsia"/>
                <w:color w:val="000000" w:themeColor="text1"/>
                <w:shd w:val="clear" w:color="auto" w:fill="FFFFFF"/>
                <w14:textFill>
                  <w14:solidFill>
                    <w14:schemeClr w14:val="tx1"/>
                  </w14:solidFill>
                </w14:textFill>
              </w:rPr>
              <w:t xml:space="preserve">. </w:t>
            </w:r>
            <w:r>
              <w:rPr>
                <w:color w:val="000000" w:themeColor="text1"/>
                <w:shd w:val="clear" w:color="auto" w:fill="FFFFFF"/>
                <w14:textFill>
                  <w14:solidFill>
                    <w14:schemeClr w14:val="tx1"/>
                  </w14:solidFill>
                </w14:textFill>
              </w:rPr>
              <w:t>**p &lt; 0.01, ***p &lt; 0.001.</w:t>
            </w:r>
          </w:p>
        </w:tc>
      </w:tr>
    </w:tbl>
    <w:p w14:paraId="06E89819">
      <w:pPr>
        <w:spacing w:line="480" w:lineRule="auto"/>
        <w:rPr>
          <w:color w:val="000000" w:themeColor="text1"/>
          <w:lang w:bidi="ar"/>
          <w14:textFill>
            <w14:solidFill>
              <w14:schemeClr w14:val="tx1"/>
            </w14:solidFill>
          </w14:textFill>
        </w:rPr>
      </w:pPr>
      <w:r>
        <w:rPr>
          <w:color w:val="000000" w:themeColor="text1"/>
          <w:lang w:bidi="ar"/>
          <w14:textFill>
            <w14:solidFill>
              <w14:schemeClr w14:val="tx1"/>
            </w14:solidFill>
          </w14:textFill>
        </w:rPr>
        <w:br w:type="page"/>
      </w:r>
    </w:p>
    <w:tbl>
      <w:tblPr>
        <w:tblStyle w:val="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286"/>
      </w:tblGrid>
      <w:tr w14:paraId="3364E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286" w:type="dxa"/>
          </w:tcPr>
          <w:p w14:paraId="0BEA37A1">
            <w:pPr>
              <w:spacing w:line="480" w:lineRule="auto"/>
              <w:rPr>
                <w:color w:val="000000" w:themeColor="text1"/>
                <w:lang w:bidi="ar"/>
                <w14:textFill>
                  <w14:solidFill>
                    <w14:schemeClr w14:val="tx1"/>
                  </w14:solidFill>
                </w14:textFill>
              </w:rPr>
            </w:pPr>
            <w:r>
              <w:rPr>
                <w:color w:val="000000" w:themeColor="text1"/>
                <w14:textFill>
                  <w14:solidFill>
                    <w14:schemeClr w14:val="tx1"/>
                  </w14:solidFill>
                </w14:textFill>
              </w:rPr>
              <w:drawing>
                <wp:inline distT="0" distB="0" distL="0" distR="0">
                  <wp:extent cx="5509260" cy="5598795"/>
                  <wp:effectExtent l="0" t="0" r="0" b="1905"/>
                  <wp:docPr id="31" name="图片 31" descr="C:\Users\Administrator\Desktop\吴川返修\Figure S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C:\Users\Administrator\Desktop\吴川返修\Figure S2.t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5527967" cy="5617731"/>
                          </a:xfrm>
                          <a:prstGeom prst="rect">
                            <a:avLst/>
                          </a:prstGeom>
                          <a:noFill/>
                          <a:ln>
                            <a:noFill/>
                          </a:ln>
                        </pic:spPr>
                      </pic:pic>
                    </a:graphicData>
                  </a:graphic>
                </wp:inline>
              </w:drawing>
            </w:r>
          </w:p>
        </w:tc>
      </w:tr>
      <w:tr w14:paraId="04E0E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286" w:type="dxa"/>
          </w:tcPr>
          <w:p w14:paraId="4072883A">
            <w:pPr>
              <w:spacing w:line="480" w:lineRule="auto"/>
              <w:rPr>
                <w:color w:val="000000" w:themeColor="text1"/>
                <w:kern w:val="0"/>
                <w:lang w:bidi="ar"/>
                <w14:textFill>
                  <w14:solidFill>
                    <w14:schemeClr w14:val="tx1"/>
                  </w14:solidFill>
                </w14:textFill>
              </w:rPr>
            </w:pPr>
            <w:r>
              <w:rPr>
                <w:rFonts w:hint="eastAsia"/>
                <w:b/>
                <w:bCs/>
                <w:color w:val="FF0000"/>
                <w:lang w:bidi="ar"/>
              </w:rPr>
              <w:t>Fig. S</w:t>
            </w:r>
            <w:r>
              <w:rPr>
                <w:b/>
                <w:bCs/>
                <w:color w:val="FF0000"/>
                <w:shd w:val="clear" w:color="auto" w:fill="FFFFFF"/>
              </w:rPr>
              <w:t>1</w:t>
            </w:r>
            <w:r>
              <w:rPr>
                <w:rFonts w:hint="eastAsia"/>
                <w:b/>
                <w:bCs/>
                <w:color w:val="FF0000"/>
                <w:shd w:val="clear" w:color="auto" w:fill="FFFFFF"/>
              </w:rPr>
              <w:t xml:space="preserve">8 </w:t>
            </w:r>
            <w:r>
              <w:rPr>
                <w:color w:val="FF0000"/>
                <w:shd w:val="clear" w:color="auto" w:fill="FFFFFF"/>
              </w:rPr>
              <w:t>Inhibition of Mn-ER-Cy(+)-induced pyroptosis in 4T1 cells by the NLRP3-selective inhibitor MCC950. (</w:t>
            </w:r>
            <w:r>
              <w:rPr>
                <w:b/>
                <w:bCs/>
                <w:color w:val="FF0000"/>
                <w:shd w:val="clear" w:color="auto" w:fill="FFFFFF"/>
              </w:rPr>
              <w:t>a</w:t>
            </w:r>
            <w:r>
              <w:rPr>
                <w:color w:val="FF0000"/>
                <w:shd w:val="clear" w:color="auto" w:fill="FFFFFF"/>
              </w:rPr>
              <w:t>) Bright-field images showing 4T-1 cells morphology in each group. Black arrows indicate cell swelling characterized by large bubbles. (</w:t>
            </w:r>
            <w:r>
              <w:rPr>
                <w:b/>
                <w:bCs/>
                <w:color w:val="FF0000"/>
                <w:shd w:val="clear" w:color="auto" w:fill="FFFFFF"/>
              </w:rPr>
              <w:t>b</w:t>
            </w:r>
            <w:r>
              <w:rPr>
                <w:color w:val="FF0000"/>
                <w:shd w:val="clear" w:color="auto" w:fill="FFFFFF"/>
              </w:rPr>
              <w:t>) SEM images illustrating the morphological features of pyroptosis in each group. White arrows indicate membrane rupture and the presence of large pore-like structures. (</w:t>
            </w:r>
            <w:r>
              <w:rPr>
                <w:b/>
                <w:bCs/>
                <w:color w:val="FF0000"/>
                <w:shd w:val="clear" w:color="auto" w:fill="FFFFFF"/>
              </w:rPr>
              <w:t>c</w:t>
            </w:r>
            <w:r>
              <w:rPr>
                <w:color w:val="FF0000"/>
                <w:shd w:val="clear" w:color="auto" w:fill="FFFFFF"/>
              </w:rPr>
              <w:t>) Western blotting analysis of the relative protein levels of pyroptosis-related genes (NLRP3, GSDMD, GSDMD-N, and caspase-1) in each group..</w:t>
            </w:r>
          </w:p>
        </w:tc>
      </w:tr>
    </w:tbl>
    <w:p w14:paraId="755DC42A">
      <w:pPr>
        <w:spacing w:line="240" w:lineRule="auto"/>
        <w:jc w:val="left"/>
        <w:rPr>
          <w:color w:val="000000" w:themeColor="text1"/>
          <w:lang w:bidi="ar"/>
          <w14:textFill>
            <w14:solidFill>
              <w14:schemeClr w14:val="tx1"/>
            </w14:solidFill>
          </w14:textFill>
        </w:rPr>
      </w:pPr>
    </w:p>
    <w:tbl>
      <w:tblPr>
        <w:tblStyle w:val="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286"/>
      </w:tblGrid>
      <w:tr w14:paraId="39331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286" w:type="dxa"/>
          </w:tcPr>
          <w:p w14:paraId="49360A39">
            <w:pPr>
              <w:spacing w:line="480" w:lineRule="auto"/>
              <w:jc w:val="center"/>
              <w:rPr>
                <w:color w:val="000000" w:themeColor="text1"/>
                <w:lang w:bidi="ar"/>
                <w14:textFill>
                  <w14:solidFill>
                    <w14:schemeClr w14:val="tx1"/>
                  </w14:solidFill>
                </w14:textFill>
              </w:rPr>
            </w:pPr>
            <w:r>
              <w:rPr>
                <w:color w:val="000000" w:themeColor="text1"/>
                <w14:textFill>
                  <w14:solidFill>
                    <w14:schemeClr w14:val="tx1"/>
                  </w14:solidFill>
                </w14:textFill>
              </w:rPr>
              <w:drawing>
                <wp:inline distT="0" distB="0" distL="0" distR="0">
                  <wp:extent cx="5502275" cy="7857490"/>
                  <wp:effectExtent l="0" t="0" r="3175" b="0"/>
                  <wp:docPr id="25986562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65629" name="图片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5507714" cy="7865645"/>
                          </a:xfrm>
                          <a:prstGeom prst="rect">
                            <a:avLst/>
                          </a:prstGeom>
                          <a:noFill/>
                          <a:ln>
                            <a:noFill/>
                          </a:ln>
                        </pic:spPr>
                      </pic:pic>
                    </a:graphicData>
                  </a:graphic>
                </wp:inline>
              </w:drawing>
            </w:r>
          </w:p>
        </w:tc>
      </w:tr>
      <w:tr w14:paraId="0EA47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286" w:type="dxa"/>
          </w:tcPr>
          <w:p w14:paraId="783B1BC0">
            <w:pPr>
              <w:spacing w:line="480" w:lineRule="auto"/>
              <w:rPr>
                <w:color w:val="FF0000"/>
                <w:kern w:val="0"/>
                <w:lang w:bidi="ar"/>
              </w:rPr>
            </w:pPr>
            <w:r>
              <w:rPr>
                <w:rFonts w:hint="eastAsia"/>
                <w:b/>
                <w:bCs/>
                <w:color w:val="FF0000"/>
                <w:lang w:bidi="ar"/>
              </w:rPr>
              <w:t>Fig. S</w:t>
            </w:r>
            <w:r>
              <w:rPr>
                <w:b/>
                <w:bCs/>
                <w:color w:val="FF0000"/>
                <w:shd w:val="clear" w:color="auto" w:fill="FFFFFF"/>
              </w:rPr>
              <w:t>1</w:t>
            </w:r>
            <w:r>
              <w:rPr>
                <w:rFonts w:hint="eastAsia"/>
                <w:b/>
                <w:bCs/>
                <w:color w:val="FF0000"/>
                <w:shd w:val="clear" w:color="auto" w:fill="FFFFFF"/>
              </w:rPr>
              <w:t>9</w:t>
            </w:r>
            <w:r>
              <w:rPr>
                <w:color w:val="FF0000"/>
              </w:rPr>
              <w:t xml:space="preserve"> </w:t>
            </w:r>
            <w:r>
              <w:rPr>
                <w:color w:val="FF0000"/>
                <w:shd w:val="clear" w:color="auto" w:fill="FFFFFF"/>
              </w:rPr>
              <w:t>Attenuation of Mn-ER-Cy(+)-induced pyroptosis in 4T1 cells by NLRP3 knockdown. (</w:t>
            </w:r>
            <w:r>
              <w:rPr>
                <w:b/>
                <w:bCs/>
                <w:color w:val="FF0000"/>
                <w:shd w:val="clear" w:color="auto" w:fill="FFFFFF"/>
              </w:rPr>
              <w:t>a</w:t>
            </w:r>
            <w:r>
              <w:rPr>
                <w:color w:val="FF0000"/>
                <w:shd w:val="clear" w:color="auto" w:fill="FFFFFF"/>
              </w:rPr>
              <w:t>-</w:t>
            </w:r>
            <w:r>
              <w:rPr>
                <w:b/>
                <w:bCs/>
                <w:color w:val="FF0000"/>
                <w:shd w:val="clear" w:color="auto" w:fill="FFFFFF"/>
              </w:rPr>
              <w:t>b</w:t>
            </w:r>
            <w:r>
              <w:rPr>
                <w:color w:val="FF0000"/>
                <w:shd w:val="clear" w:color="auto" w:fill="FFFFFF"/>
              </w:rPr>
              <w:t>) Validation of NLRP3 siRNA transfection efficiency by qRT-PCR and western blotting.</w:t>
            </w:r>
            <w:r>
              <w:rPr>
                <w:rFonts w:hint="eastAsia"/>
                <w:color w:val="FF0000"/>
                <w:shd w:val="clear" w:color="auto" w:fill="FFFFFF"/>
              </w:rPr>
              <w:t xml:space="preserve"> </w:t>
            </w:r>
            <w:r>
              <w:rPr>
                <w:color w:val="FF0000"/>
                <w:shd w:val="clear" w:color="auto" w:fill="FFFFFF"/>
              </w:rPr>
              <w:t>(</w:t>
            </w:r>
            <w:r>
              <w:rPr>
                <w:b/>
                <w:bCs/>
                <w:color w:val="FF0000"/>
                <w:shd w:val="clear" w:color="auto" w:fill="FFFFFF"/>
              </w:rPr>
              <w:t>c</w:t>
            </w:r>
            <w:r>
              <w:rPr>
                <w:color w:val="FF0000"/>
                <w:shd w:val="clear" w:color="auto" w:fill="FFFFFF"/>
              </w:rPr>
              <w:t>) Bright-field images showing 4T-1 cells morphology in each group. Black arrows indicate cell swelling characterized by large bubbles. (</w:t>
            </w:r>
            <w:r>
              <w:rPr>
                <w:b/>
                <w:bCs/>
                <w:color w:val="FF0000"/>
                <w:shd w:val="clear" w:color="auto" w:fill="FFFFFF"/>
              </w:rPr>
              <w:t>d</w:t>
            </w:r>
            <w:r>
              <w:rPr>
                <w:color w:val="FF0000"/>
                <w:shd w:val="clear" w:color="auto" w:fill="FFFFFF"/>
              </w:rPr>
              <w:t>) SEM images illustrating the morphological features of pyroptosis in each group. White arrows indicate cell membrane rupture. (</w:t>
            </w:r>
            <w:r>
              <w:rPr>
                <w:b/>
                <w:bCs/>
                <w:color w:val="FF0000"/>
                <w:shd w:val="clear" w:color="auto" w:fill="FFFFFF"/>
              </w:rPr>
              <w:t>e</w:t>
            </w:r>
            <w:r>
              <w:rPr>
                <w:color w:val="FF0000"/>
                <w:shd w:val="clear" w:color="auto" w:fill="FFFFFF"/>
              </w:rPr>
              <w:t>) Western blotting analysis of the relative protein levels of pyroptosis-related genes (NLRP3, GSDMD, GSDMD-N, and caspase-1) in each group.</w:t>
            </w:r>
          </w:p>
        </w:tc>
      </w:tr>
    </w:tbl>
    <w:p w14:paraId="68D257FE">
      <w:pPr>
        <w:spacing w:line="240" w:lineRule="auto"/>
        <w:jc w:val="left"/>
        <w:rPr>
          <w:color w:val="000000" w:themeColor="text1"/>
          <w:lang w:bidi="ar"/>
          <w14:textFill>
            <w14:solidFill>
              <w14:schemeClr w14:val="tx1"/>
            </w14:solidFill>
          </w14:textFill>
        </w:rPr>
      </w:pPr>
      <w:r>
        <w:rPr>
          <w:color w:val="000000" w:themeColor="text1"/>
          <w:lang w:bidi="ar"/>
          <w14:textFill>
            <w14:solidFill>
              <w14:schemeClr w14:val="tx1"/>
            </w14:solidFill>
          </w14:textFill>
        </w:rPr>
        <w:br w:type="page"/>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6CFBE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Borders>
              <w:top w:val="nil"/>
              <w:left w:val="nil"/>
              <w:bottom w:val="nil"/>
              <w:right w:val="nil"/>
            </w:tcBorders>
          </w:tcPr>
          <w:p w14:paraId="241FA4A4">
            <w:pPr>
              <w:spacing w:line="480" w:lineRule="auto"/>
              <w:rPr>
                <w:color w:val="000000" w:themeColor="text1"/>
                <w:lang w:bidi="ar"/>
                <w14:textFill>
                  <w14:solidFill>
                    <w14:schemeClr w14:val="tx1"/>
                  </w14:solidFill>
                </w14:textFill>
              </w:rPr>
            </w:pPr>
            <w:r>
              <w:rPr>
                <w:rFonts w:hint="eastAsia"/>
                <w:color w:val="000000" w:themeColor="text1"/>
                <w14:textFill>
                  <w14:solidFill>
                    <w14:schemeClr w14:val="tx1"/>
                  </w14:solidFill>
                </w14:textFill>
              </w:rPr>
              <w:drawing>
                <wp:anchor distT="0" distB="0" distL="114300" distR="114300" simplePos="0" relativeHeight="251665408" behindDoc="0" locked="0" layoutInCell="1" allowOverlap="1">
                  <wp:simplePos x="0" y="0"/>
                  <wp:positionH relativeFrom="column">
                    <wp:posOffset>405130</wp:posOffset>
                  </wp:positionH>
                  <wp:positionV relativeFrom="paragraph">
                    <wp:posOffset>85090</wp:posOffset>
                  </wp:positionV>
                  <wp:extent cx="5014595" cy="5214620"/>
                  <wp:effectExtent l="0" t="0" r="14605" b="12700"/>
                  <wp:wrapSquare wrapText="bothSides"/>
                  <wp:docPr id="15" name="图片 15" descr="幻灯片1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幻灯片15-15"/>
                          <pic:cNvPicPr>
                            <a:picLocks noChangeAspect="1"/>
                          </pic:cNvPicPr>
                        </pic:nvPicPr>
                        <pic:blipFill>
                          <a:blip r:embed="rId27"/>
                          <a:srcRect t="14270"/>
                          <a:stretch>
                            <a:fillRect/>
                          </a:stretch>
                        </pic:blipFill>
                        <pic:spPr>
                          <a:xfrm>
                            <a:off x="0" y="0"/>
                            <a:ext cx="5014595" cy="5214620"/>
                          </a:xfrm>
                          <a:prstGeom prst="rect">
                            <a:avLst/>
                          </a:prstGeom>
                        </pic:spPr>
                      </pic:pic>
                    </a:graphicData>
                  </a:graphic>
                </wp:anchor>
              </w:drawing>
            </w:r>
          </w:p>
        </w:tc>
      </w:tr>
      <w:tr w14:paraId="0B5B8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Borders>
              <w:top w:val="nil"/>
              <w:left w:val="nil"/>
              <w:bottom w:val="nil"/>
              <w:right w:val="nil"/>
            </w:tcBorders>
          </w:tcPr>
          <w:p w14:paraId="17935CCB">
            <w:pPr>
              <w:spacing w:line="480" w:lineRule="auto"/>
              <w:rPr>
                <w:color w:val="000000" w:themeColor="text1"/>
                <w:kern w:val="0"/>
                <w:lang w:bidi="ar"/>
                <w14:textFill>
                  <w14:solidFill>
                    <w14:schemeClr w14:val="tx1"/>
                  </w14:solidFill>
                </w14:textFill>
              </w:rPr>
            </w:pPr>
            <w:r>
              <w:rPr>
                <w:rFonts w:hint="eastAsia"/>
                <w:b/>
                <w:bCs/>
                <w:color w:val="000000" w:themeColor="text1"/>
                <w:lang w:bidi="ar"/>
                <w14:textFill>
                  <w14:solidFill>
                    <w14:schemeClr w14:val="tx1"/>
                  </w14:solidFill>
                </w14:textFill>
              </w:rPr>
              <w:t>Fig. S</w:t>
            </w:r>
            <w:r>
              <w:rPr>
                <w:rFonts w:hint="eastAsia"/>
                <w:b/>
                <w:bCs/>
                <w:color w:val="000000" w:themeColor="text1"/>
                <w:shd w:val="clear" w:color="auto" w:fill="FFFFFF"/>
                <w14:textFill>
                  <w14:solidFill>
                    <w14:schemeClr w14:val="tx1"/>
                  </w14:solidFill>
                </w14:textFill>
              </w:rPr>
              <w:t>20</w:t>
            </w:r>
            <w:r>
              <w:rPr>
                <w:color w:val="000000" w:themeColor="text1"/>
                <w:shd w:val="clear" w:color="auto" w:fill="FFFFFF"/>
                <w14:textFill>
                  <w14:solidFill>
                    <w14:schemeClr w14:val="tx1"/>
                  </w14:solidFill>
                </w14:textFill>
              </w:rPr>
              <w:t xml:space="preserve"> </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a</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 xml:space="preserve"> Photographs of cell culture supernatant</w:t>
            </w:r>
            <w:r>
              <w:rPr>
                <w:rFonts w:hint="eastAsia"/>
                <w:color w:val="000000" w:themeColor="text1"/>
                <w:shd w:val="clear" w:color="auto" w:fill="FFFFFF"/>
                <w14:textFill>
                  <w14:solidFill>
                    <w14:schemeClr w14:val="tx1"/>
                  </w14:solidFill>
                </w14:textFill>
              </w:rPr>
              <w:t>s</w:t>
            </w:r>
            <w:r>
              <w:rPr>
                <w:color w:val="000000" w:themeColor="text1"/>
                <w:shd w:val="clear" w:color="auto" w:fill="FFFFFF"/>
                <w14:textFill>
                  <w14:solidFill>
                    <w14:schemeClr w14:val="tx1"/>
                  </w14:solidFill>
                </w14:textFill>
              </w:rPr>
              <w:t xml:space="preserve"> from </w:t>
            </w:r>
            <w:r>
              <w:rPr>
                <w:rFonts w:hint="eastAsia"/>
                <w:color w:val="000000" w:themeColor="text1"/>
                <w:shd w:val="clear" w:color="auto" w:fill="FFFFFF"/>
                <w14:textFill>
                  <w14:solidFill>
                    <w14:schemeClr w14:val="tx1"/>
                  </w14:solidFill>
                </w14:textFill>
              </w:rPr>
              <w:t>different</w:t>
            </w:r>
            <w:r>
              <w:rPr>
                <w:color w:val="000000" w:themeColor="text1"/>
                <w:shd w:val="clear" w:color="auto" w:fill="FFFFFF"/>
                <w14:textFill>
                  <w14:solidFill>
                    <w14:schemeClr w14:val="tx1"/>
                  </w14:solidFill>
                </w14:textFill>
              </w:rPr>
              <w:t xml:space="preserve"> treatment group</w:t>
            </w:r>
            <w:r>
              <w:rPr>
                <w:rFonts w:hint="eastAsia"/>
                <w:color w:val="000000" w:themeColor="text1"/>
                <w:shd w:val="clear" w:color="auto" w:fill="FFFFFF"/>
                <w14:textFill>
                  <w14:solidFill>
                    <w14:schemeClr w14:val="tx1"/>
                  </w14:solidFill>
                </w14:textFill>
              </w:rPr>
              <w:t>s</w:t>
            </w:r>
            <w:r>
              <w:rPr>
                <w:color w:val="000000" w:themeColor="text1"/>
                <w:shd w:val="clear" w:color="auto" w:fill="FFFFFF"/>
                <w14:textFill>
                  <w14:solidFill>
                    <w14:schemeClr w14:val="tx1"/>
                  </w14:solidFill>
                </w14:textFill>
              </w:rPr>
              <w:t xml:space="preserve"> at 24 hours. </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b</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c</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 xml:space="preserve"> Quantitative analysis of pH values of cell culture supernatants from </w:t>
            </w:r>
            <w:r>
              <w:rPr>
                <w:rFonts w:hint="eastAsia"/>
                <w:color w:val="000000" w:themeColor="text1"/>
                <w:shd w:val="clear" w:color="auto" w:fill="FFFFFF"/>
                <w14:textFill>
                  <w14:solidFill>
                    <w14:schemeClr w14:val="tx1"/>
                  </w14:solidFill>
                </w14:textFill>
              </w:rPr>
              <w:t>different</w:t>
            </w:r>
            <w:r>
              <w:rPr>
                <w:color w:val="000000" w:themeColor="text1"/>
                <w:shd w:val="clear" w:color="auto" w:fill="FFFFFF"/>
                <w14:textFill>
                  <w14:solidFill>
                    <w14:schemeClr w14:val="tx1"/>
                  </w14:solidFill>
                </w14:textFill>
              </w:rPr>
              <w:t xml:space="preserve"> group</w:t>
            </w:r>
            <w:r>
              <w:rPr>
                <w:rFonts w:hint="eastAsia"/>
                <w:color w:val="000000" w:themeColor="text1"/>
                <w:shd w:val="clear" w:color="auto" w:fill="FFFFFF"/>
                <w14:textFill>
                  <w14:solidFill>
                    <w14:schemeClr w14:val="tx1"/>
                  </w14:solidFill>
                </w14:textFill>
              </w:rPr>
              <w:t>s</w:t>
            </w:r>
            <w:r>
              <w:rPr>
                <w:color w:val="000000" w:themeColor="text1"/>
                <w:shd w:val="clear" w:color="auto" w:fill="FFFFFF"/>
                <w14:textFill>
                  <w14:solidFill>
                    <w14:schemeClr w14:val="tx1"/>
                  </w14:solidFill>
                </w14:textFill>
              </w:rPr>
              <w:t xml:space="preserve"> at 4 hours and 12 hours</w:t>
            </w:r>
            <w:r>
              <w:rPr>
                <w:rFonts w:hint="eastAsia"/>
                <w:color w:val="000000" w:themeColor="text1"/>
                <w:shd w:val="clear" w:color="auto" w:fill="FFFFFF"/>
                <w14:textFill>
                  <w14:solidFill>
                    <w14:schemeClr w14:val="tx1"/>
                  </w14:solidFill>
                </w14:textFill>
              </w:rPr>
              <w:t xml:space="preserve"> (</w:t>
            </w:r>
            <w:r>
              <w:rPr>
                <w:rFonts w:hint="eastAsia"/>
                <w:color w:val="000000" w:themeColor="text1"/>
                <w14:textFill>
                  <w14:solidFill>
                    <w14:schemeClr w14:val="tx1"/>
                  </w14:solidFill>
                </w14:textFill>
              </w:rPr>
              <w:t xml:space="preserve">n=3, </w:t>
            </w:r>
            <w:r>
              <w:rPr>
                <w:color w:val="000000" w:themeColor="text1"/>
                <w14:textFill>
                  <w14:solidFill>
                    <w14:schemeClr w14:val="tx1"/>
                  </w14:solidFill>
                </w14:textFill>
              </w:rPr>
              <w:t>mean ± s.d.</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 Statistical analyses were conducted using one-way ANOVA followed by Tukey’s test</w:t>
            </w:r>
            <w:r>
              <w:rPr>
                <w:rFonts w:hint="eastAsia"/>
                <w:color w:val="000000" w:themeColor="text1"/>
                <w:shd w:val="clear" w:color="auto" w:fill="FFFFFF"/>
                <w14:textFill>
                  <w14:solidFill>
                    <w14:schemeClr w14:val="tx1"/>
                  </w14:solidFill>
                </w14:textFill>
              </w:rPr>
              <w:t xml:space="preserve">. </w:t>
            </w:r>
            <w:r>
              <w:rPr>
                <w:color w:val="000000" w:themeColor="text1"/>
                <w:shd w:val="clear" w:color="auto" w:fill="FFFFFF"/>
                <w14:textFill>
                  <w14:solidFill>
                    <w14:schemeClr w14:val="tx1"/>
                  </w14:solidFill>
                </w14:textFill>
              </w:rPr>
              <w:t>**</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p &lt; 0.0</w:t>
            </w:r>
            <w:r>
              <w:rPr>
                <w:rFonts w:hint="eastAsia"/>
                <w:color w:val="000000" w:themeColor="text1"/>
                <w:shd w:val="clear" w:color="auto" w:fill="FFFFFF"/>
                <w14:textFill>
                  <w14:solidFill>
                    <w14:schemeClr w14:val="tx1"/>
                  </w14:solidFill>
                </w14:textFill>
              </w:rPr>
              <w:t>0</w:t>
            </w:r>
            <w:r>
              <w:rPr>
                <w:color w:val="000000" w:themeColor="text1"/>
                <w:shd w:val="clear" w:color="auto" w:fill="FFFFFF"/>
                <w14:textFill>
                  <w14:solidFill>
                    <w14:schemeClr w14:val="tx1"/>
                  </w14:solidFill>
                </w14:textFill>
              </w:rPr>
              <w:t>1</w:t>
            </w:r>
            <w:r>
              <w:rPr>
                <w:rFonts w:hint="eastAsia"/>
                <w:color w:val="000000" w:themeColor="text1"/>
                <w:shd w:val="clear" w:color="auto" w:fill="FFFFFF"/>
                <w14:textFill>
                  <w14:solidFill>
                    <w14:schemeClr w14:val="tx1"/>
                  </w14:solidFill>
                </w14:textFill>
              </w:rPr>
              <w:t>.</w:t>
            </w:r>
          </w:p>
        </w:tc>
      </w:tr>
    </w:tbl>
    <w:p w14:paraId="51916009">
      <w:pPr>
        <w:spacing w:line="480" w:lineRule="auto"/>
        <w:rPr>
          <w:color w:val="000000" w:themeColor="text1"/>
          <w:lang w:bidi="ar"/>
          <w14:textFill>
            <w14:solidFill>
              <w14:schemeClr w14:val="tx1"/>
            </w14:solidFill>
          </w14:textFill>
        </w:rPr>
      </w:pPr>
      <w:r>
        <w:rPr>
          <w:color w:val="000000" w:themeColor="text1"/>
          <w:lang w:bidi="ar"/>
          <w14:textFill>
            <w14:solidFill>
              <w14:schemeClr w14:val="tx1"/>
            </w14:solidFill>
          </w14:textFill>
        </w:rPr>
        <w:br w:type="page"/>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08FB3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Borders>
              <w:top w:val="nil"/>
              <w:left w:val="nil"/>
              <w:bottom w:val="nil"/>
              <w:right w:val="nil"/>
            </w:tcBorders>
          </w:tcPr>
          <w:p w14:paraId="511E0D90">
            <w:pPr>
              <w:spacing w:line="480" w:lineRule="auto"/>
              <w:rPr>
                <w:color w:val="000000" w:themeColor="text1"/>
                <w:lang w:bidi="ar"/>
                <w14:textFill>
                  <w14:solidFill>
                    <w14:schemeClr w14:val="tx1"/>
                  </w14:solidFill>
                </w14:textFill>
              </w:rPr>
            </w:pPr>
            <w:r>
              <w:rPr>
                <w:rFonts w:hint="eastAsia"/>
                <w:color w:val="000000" w:themeColor="text1"/>
                <w14:textFill>
                  <w14:solidFill>
                    <w14:schemeClr w14:val="tx1"/>
                  </w14:solidFill>
                </w14:textFill>
              </w:rPr>
              <w:drawing>
                <wp:inline distT="0" distB="0" distL="114300" distR="114300">
                  <wp:extent cx="5755005" cy="1743710"/>
                  <wp:effectExtent l="0" t="0" r="5715" b="8890"/>
                  <wp:docPr id="16" name="图片 16" descr="幻灯片1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幻灯片16-16"/>
                          <pic:cNvPicPr>
                            <a:picLocks noChangeAspect="1"/>
                          </pic:cNvPicPr>
                        </pic:nvPicPr>
                        <pic:blipFill>
                          <a:blip r:embed="rId28"/>
                          <a:srcRect t="52565"/>
                          <a:stretch>
                            <a:fillRect/>
                          </a:stretch>
                        </pic:blipFill>
                        <pic:spPr>
                          <a:xfrm>
                            <a:off x="0" y="0"/>
                            <a:ext cx="5755005" cy="1743710"/>
                          </a:xfrm>
                          <a:prstGeom prst="rect">
                            <a:avLst/>
                          </a:prstGeom>
                        </pic:spPr>
                      </pic:pic>
                    </a:graphicData>
                  </a:graphic>
                </wp:inline>
              </w:drawing>
            </w:r>
          </w:p>
        </w:tc>
      </w:tr>
      <w:tr w14:paraId="06B64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Borders>
              <w:top w:val="nil"/>
              <w:left w:val="nil"/>
              <w:bottom w:val="nil"/>
              <w:right w:val="nil"/>
            </w:tcBorders>
          </w:tcPr>
          <w:p w14:paraId="28169DF3">
            <w:pPr>
              <w:spacing w:line="480" w:lineRule="auto"/>
              <w:rPr>
                <w:color w:val="000000" w:themeColor="text1"/>
                <w:kern w:val="0"/>
                <w:lang w:bidi="ar"/>
                <w14:textFill>
                  <w14:solidFill>
                    <w14:schemeClr w14:val="tx1"/>
                  </w14:solidFill>
                </w14:textFill>
              </w:rPr>
            </w:pPr>
            <w:r>
              <w:rPr>
                <w:rFonts w:hint="eastAsia"/>
                <w:b/>
                <w:bCs/>
                <w:color w:val="000000" w:themeColor="text1"/>
                <w:lang w:bidi="ar"/>
                <w14:textFill>
                  <w14:solidFill>
                    <w14:schemeClr w14:val="tx1"/>
                  </w14:solidFill>
                </w14:textFill>
              </w:rPr>
              <w:t>Fig. S</w:t>
            </w:r>
            <w:r>
              <w:rPr>
                <w:rFonts w:hint="eastAsia"/>
                <w:b/>
                <w:bCs/>
                <w:color w:val="000000" w:themeColor="text1"/>
                <w:shd w:val="clear" w:color="auto" w:fill="FFFFFF"/>
                <w14:textFill>
                  <w14:solidFill>
                    <w14:schemeClr w14:val="tx1"/>
                  </w14:solidFill>
                </w14:textFill>
              </w:rPr>
              <w:t>21</w:t>
            </w:r>
            <w:r>
              <w:rPr>
                <w:color w:val="000000" w:themeColor="text1"/>
                <w:shd w:val="clear" w:color="auto" w:fill="FFFFFF"/>
                <w14:textFill>
                  <w14:solidFill>
                    <w14:schemeClr w14:val="tx1"/>
                  </w14:solidFill>
                </w14:textFill>
              </w:rPr>
              <w:t xml:space="preserve"> </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a</w:t>
            </w:r>
            <w:r>
              <w:rPr>
                <w:rFonts w:hint="eastAsia"/>
                <w:color w:val="000000" w:themeColor="text1"/>
                <w:shd w:val="clear" w:color="auto" w:fill="FFFFFF"/>
                <w14:textFill>
                  <w14:solidFill>
                    <w14:schemeClr w14:val="tx1"/>
                  </w14:solidFill>
                </w14:textFill>
              </w:rPr>
              <w:t xml:space="preserve">) </w:t>
            </w:r>
            <w:r>
              <w:rPr>
                <w:color w:val="000000" w:themeColor="text1"/>
                <w:shd w:val="clear" w:color="auto" w:fill="FFFFFF"/>
                <w14:textFill>
                  <w14:solidFill>
                    <w14:schemeClr w14:val="tx1"/>
                  </w14:solidFill>
                </w14:textFill>
              </w:rPr>
              <w:t xml:space="preserve">Infrared thermal images of tumor-bearing mice in PBS (+) group and Mn-ER-Cy (+) group. </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b</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 xml:space="preserve"> Temperature change curve of the tumor site over time.</w:t>
            </w:r>
          </w:p>
        </w:tc>
      </w:tr>
    </w:tbl>
    <w:p w14:paraId="1A93EB41">
      <w:pPr>
        <w:spacing w:line="480" w:lineRule="auto"/>
        <w:rPr>
          <w:color w:val="000000" w:themeColor="text1"/>
          <w:lang w:bidi="ar"/>
          <w14:textFill>
            <w14:solidFill>
              <w14:schemeClr w14:val="tx1"/>
            </w14:solidFill>
          </w14:textFill>
        </w:rPr>
      </w:pPr>
      <w:r>
        <w:rPr>
          <w:color w:val="000000" w:themeColor="text1"/>
          <w:lang w:bidi="ar"/>
          <w14:textFill>
            <w14:solidFill>
              <w14:schemeClr w14:val="tx1"/>
            </w14:solidFill>
          </w14:textFill>
        </w:rPr>
        <w:br w:type="page"/>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30D61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Borders>
              <w:top w:val="nil"/>
              <w:left w:val="nil"/>
              <w:bottom w:val="nil"/>
              <w:right w:val="nil"/>
            </w:tcBorders>
          </w:tcPr>
          <w:p w14:paraId="37B4DEDA">
            <w:pPr>
              <w:spacing w:line="480" w:lineRule="auto"/>
              <w:rPr>
                <w:color w:val="000000" w:themeColor="text1"/>
                <w:lang w:bidi="ar"/>
                <w14:textFill>
                  <w14:solidFill>
                    <w14:schemeClr w14:val="tx1"/>
                  </w14:solidFill>
                </w14:textFill>
              </w:rPr>
            </w:pPr>
            <w:r>
              <w:rPr>
                <w:rFonts w:hint="eastAsia"/>
                <w:color w:val="000000" w:themeColor="text1"/>
                <w14:textFill>
                  <w14:solidFill>
                    <w14:schemeClr w14:val="tx1"/>
                  </w14:solidFill>
                </w14:textFill>
              </w:rPr>
              <w:drawing>
                <wp:anchor distT="0" distB="0" distL="114300" distR="114300" simplePos="0" relativeHeight="251666432" behindDoc="0" locked="0" layoutInCell="1" allowOverlap="1">
                  <wp:simplePos x="0" y="0"/>
                  <wp:positionH relativeFrom="column">
                    <wp:posOffset>436880</wp:posOffset>
                  </wp:positionH>
                  <wp:positionV relativeFrom="paragraph">
                    <wp:posOffset>91440</wp:posOffset>
                  </wp:positionV>
                  <wp:extent cx="4923155" cy="4171315"/>
                  <wp:effectExtent l="0" t="0" r="14605" b="4445"/>
                  <wp:wrapSquare wrapText="bothSides"/>
                  <wp:docPr id="27" name="图片 27" descr="演示文稿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演示文稿17-17"/>
                          <pic:cNvPicPr>
                            <a:picLocks noChangeAspect="1"/>
                          </pic:cNvPicPr>
                        </pic:nvPicPr>
                        <pic:blipFill>
                          <a:blip r:embed="rId29"/>
                          <a:srcRect t="5779"/>
                          <a:stretch>
                            <a:fillRect/>
                          </a:stretch>
                        </pic:blipFill>
                        <pic:spPr>
                          <a:xfrm>
                            <a:off x="0" y="0"/>
                            <a:ext cx="4923155" cy="4171315"/>
                          </a:xfrm>
                          <a:prstGeom prst="rect">
                            <a:avLst/>
                          </a:prstGeom>
                        </pic:spPr>
                      </pic:pic>
                    </a:graphicData>
                  </a:graphic>
                </wp:anchor>
              </w:drawing>
            </w:r>
          </w:p>
        </w:tc>
      </w:tr>
      <w:tr w14:paraId="4FF5F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Borders>
              <w:top w:val="nil"/>
              <w:left w:val="nil"/>
              <w:bottom w:val="nil"/>
              <w:right w:val="nil"/>
            </w:tcBorders>
          </w:tcPr>
          <w:p w14:paraId="20C56665">
            <w:pPr>
              <w:spacing w:line="480" w:lineRule="auto"/>
              <w:rPr>
                <w:color w:val="000000" w:themeColor="text1"/>
                <w:kern w:val="0"/>
                <w:lang w:bidi="ar"/>
                <w14:textFill>
                  <w14:solidFill>
                    <w14:schemeClr w14:val="tx1"/>
                  </w14:solidFill>
                </w14:textFill>
              </w:rPr>
            </w:pPr>
            <w:r>
              <w:rPr>
                <w:rFonts w:hint="eastAsia"/>
                <w:b/>
                <w:bCs/>
                <w:color w:val="000000" w:themeColor="text1"/>
                <w:lang w:bidi="ar"/>
                <w14:textFill>
                  <w14:solidFill>
                    <w14:schemeClr w14:val="tx1"/>
                  </w14:solidFill>
                </w14:textFill>
              </w:rPr>
              <w:t>Fig. S</w:t>
            </w:r>
            <w:r>
              <w:rPr>
                <w:rFonts w:hint="eastAsia"/>
                <w:b/>
                <w:bCs/>
                <w:color w:val="000000" w:themeColor="text1"/>
                <w:shd w:val="clear" w:color="auto" w:fill="FFFFFF"/>
                <w14:textFill>
                  <w14:solidFill>
                    <w14:schemeClr w14:val="tx1"/>
                  </w14:solidFill>
                </w14:textFill>
              </w:rPr>
              <w:t>22</w:t>
            </w:r>
            <w:r>
              <w:rPr>
                <w:color w:val="000000" w:themeColor="text1"/>
                <w:shd w:val="clear" w:color="auto" w:fill="FFFFFF"/>
                <w14:textFill>
                  <w14:solidFill>
                    <w14:schemeClr w14:val="tx1"/>
                  </w14:solidFill>
                </w14:textFill>
              </w:rPr>
              <w:t xml:space="preserve"> </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a</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b</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 xml:space="preserve"> Photographs of tumors and corresponding weights on day 21 after various treatments </w:t>
            </w:r>
            <w:r>
              <w:rPr>
                <w:rFonts w:hint="eastAsia"/>
                <w:color w:val="000000" w:themeColor="text1"/>
                <w:shd w:val="clear" w:color="auto" w:fill="FFFFFF"/>
                <w14:textFill>
                  <w14:solidFill>
                    <w14:schemeClr w14:val="tx1"/>
                  </w14:solidFill>
                </w14:textFill>
              </w:rPr>
              <w:t>(</w:t>
            </w:r>
            <w:r>
              <w:rPr>
                <w:rFonts w:hint="eastAsia"/>
                <w:color w:val="000000" w:themeColor="text1"/>
                <w14:textFill>
                  <w14:solidFill>
                    <w14:schemeClr w14:val="tx1"/>
                  </w14:solidFill>
                </w14:textFill>
              </w:rPr>
              <w:t xml:space="preserve">n=5, </w:t>
            </w:r>
            <w:r>
              <w:rPr>
                <w:color w:val="000000" w:themeColor="text1"/>
                <w14:textFill>
                  <w14:solidFill>
                    <w14:schemeClr w14:val="tx1"/>
                  </w14:solidFill>
                </w14:textFill>
              </w:rPr>
              <w:t>mean ± s.d.</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 xml:space="preserve">. </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c</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d</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 xml:space="preserve"> Tumor volume and body weight curves throughout the treatment period</w:t>
            </w:r>
            <w:r>
              <w:rPr>
                <w:rFonts w:hint="eastAsia"/>
                <w:color w:val="000000" w:themeColor="text1"/>
                <w:shd w:val="clear" w:color="auto" w:fill="FFFFFF"/>
                <w14:textFill>
                  <w14:solidFill>
                    <w14:schemeClr w14:val="tx1"/>
                  </w14:solidFill>
                </w14:textFill>
              </w:rPr>
              <w:t xml:space="preserve"> (</w:t>
            </w:r>
            <w:r>
              <w:rPr>
                <w:rFonts w:hint="eastAsia"/>
                <w:color w:val="000000" w:themeColor="text1"/>
                <w14:textFill>
                  <w14:solidFill>
                    <w14:schemeClr w14:val="tx1"/>
                  </w14:solidFill>
                </w14:textFill>
              </w:rPr>
              <w:t xml:space="preserve">n=5, </w:t>
            </w:r>
            <w:r>
              <w:rPr>
                <w:color w:val="000000" w:themeColor="text1"/>
                <w14:textFill>
                  <w14:solidFill>
                    <w14:schemeClr w14:val="tx1"/>
                  </w14:solidFill>
                </w14:textFill>
              </w:rPr>
              <w:t>mean ± s.d.</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 The experimental groups were categorized as follows: (I) PBS; (II) 808</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nm laser (0.5 W/cm², 5 min); (III) Mn-ER-Cy; (IV) Mn-ER-Cy + 808</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nm laser. Statistical analyses were conducted using one-way ANOVA followed by Tukey’s test. *p &lt; 0.05, **p &lt; 0.01, ***p &lt; 0.001.</w:t>
            </w:r>
          </w:p>
        </w:tc>
      </w:tr>
    </w:tbl>
    <w:p w14:paraId="2AD12E2B">
      <w:pPr>
        <w:spacing w:line="480" w:lineRule="auto"/>
        <w:rPr>
          <w:color w:val="000000" w:themeColor="text1"/>
          <w:lang w:bidi="ar"/>
          <w14:textFill>
            <w14:solidFill>
              <w14:schemeClr w14:val="tx1"/>
            </w14:solidFill>
          </w14:textFill>
        </w:rPr>
      </w:pPr>
      <w:r>
        <w:rPr>
          <w:color w:val="000000" w:themeColor="text1"/>
          <w:lang w:bidi="ar"/>
          <w14:textFill>
            <w14:solidFill>
              <w14:schemeClr w14:val="tx1"/>
            </w14:solidFill>
          </w14:textFill>
        </w:rPr>
        <w:br w:type="page"/>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2C78E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Borders>
              <w:top w:val="nil"/>
              <w:left w:val="nil"/>
              <w:bottom w:val="nil"/>
              <w:right w:val="nil"/>
            </w:tcBorders>
          </w:tcPr>
          <w:p w14:paraId="35E4FADE">
            <w:pPr>
              <w:spacing w:line="480" w:lineRule="auto"/>
              <w:rPr>
                <w:color w:val="000000" w:themeColor="text1"/>
                <w:lang w:bidi="ar"/>
                <w14:textFill>
                  <w14:solidFill>
                    <w14:schemeClr w14:val="tx1"/>
                  </w14:solidFill>
                </w14:textFill>
              </w:rPr>
            </w:pPr>
            <w:r>
              <w:rPr>
                <w:rFonts w:hint="eastAsia"/>
                <w:color w:val="000000" w:themeColor="text1"/>
                <w14:textFill>
                  <w14:solidFill>
                    <w14:schemeClr w14:val="tx1"/>
                  </w14:solidFill>
                </w14:textFill>
              </w:rPr>
              <w:drawing>
                <wp:anchor distT="0" distB="0" distL="114300" distR="114300" simplePos="0" relativeHeight="251667456" behindDoc="0" locked="0" layoutInCell="1" allowOverlap="1">
                  <wp:simplePos x="0" y="0"/>
                  <wp:positionH relativeFrom="column">
                    <wp:posOffset>372745</wp:posOffset>
                  </wp:positionH>
                  <wp:positionV relativeFrom="paragraph">
                    <wp:posOffset>30480</wp:posOffset>
                  </wp:positionV>
                  <wp:extent cx="5094605" cy="5875020"/>
                  <wp:effectExtent l="0" t="0" r="10795" b="7620"/>
                  <wp:wrapSquare wrapText="bothSides"/>
                  <wp:docPr id="19" name="图片 19" descr="幻灯片1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幻灯片18-18"/>
                          <pic:cNvPicPr>
                            <a:picLocks noChangeAspect="1"/>
                          </pic:cNvPicPr>
                        </pic:nvPicPr>
                        <pic:blipFill>
                          <a:blip r:embed="rId30"/>
                          <a:srcRect l="-99" t="6478" r="99"/>
                          <a:stretch>
                            <a:fillRect/>
                          </a:stretch>
                        </pic:blipFill>
                        <pic:spPr>
                          <a:xfrm>
                            <a:off x="0" y="0"/>
                            <a:ext cx="5094605" cy="5875020"/>
                          </a:xfrm>
                          <a:prstGeom prst="rect">
                            <a:avLst/>
                          </a:prstGeom>
                        </pic:spPr>
                      </pic:pic>
                    </a:graphicData>
                  </a:graphic>
                </wp:anchor>
              </w:drawing>
            </w:r>
          </w:p>
        </w:tc>
      </w:tr>
      <w:tr w14:paraId="66D0E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Borders>
              <w:top w:val="nil"/>
              <w:left w:val="nil"/>
              <w:bottom w:val="nil"/>
              <w:right w:val="nil"/>
            </w:tcBorders>
          </w:tcPr>
          <w:p w14:paraId="358C6A25">
            <w:pPr>
              <w:spacing w:line="480" w:lineRule="auto"/>
              <w:rPr>
                <w:color w:val="000000" w:themeColor="text1"/>
                <w:kern w:val="0"/>
                <w:lang w:bidi="ar"/>
                <w14:textFill>
                  <w14:solidFill>
                    <w14:schemeClr w14:val="tx1"/>
                  </w14:solidFill>
                </w14:textFill>
              </w:rPr>
            </w:pPr>
            <w:r>
              <w:rPr>
                <w:rFonts w:hint="eastAsia"/>
                <w:b/>
                <w:bCs/>
                <w:color w:val="000000" w:themeColor="text1"/>
                <w:lang w:bidi="ar"/>
                <w14:textFill>
                  <w14:solidFill>
                    <w14:schemeClr w14:val="tx1"/>
                  </w14:solidFill>
                </w14:textFill>
              </w:rPr>
              <w:t>Fig. S</w:t>
            </w:r>
            <w:r>
              <w:rPr>
                <w:rFonts w:hint="eastAsia"/>
                <w:b/>
                <w:bCs/>
                <w:color w:val="000000" w:themeColor="text1"/>
                <w:shd w:val="clear" w:color="auto" w:fill="FFFFFF"/>
                <w14:textFill>
                  <w14:solidFill>
                    <w14:schemeClr w14:val="tx1"/>
                  </w14:solidFill>
                </w14:textFill>
              </w:rPr>
              <w:t>23</w:t>
            </w:r>
            <w:r>
              <w:rPr>
                <w:color w:val="000000" w:themeColor="text1"/>
                <w:shd w:val="clear" w:color="auto" w:fill="FFFFFF"/>
                <w14:textFill>
                  <w14:solidFill>
                    <w14:schemeClr w14:val="tx1"/>
                  </w14:solidFill>
                </w14:textFill>
              </w:rPr>
              <w:t xml:space="preserve"> </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a</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 xml:space="preserve"> H&amp;E, Ki-67, and TUNEL staining of tumor sections on day 21 for each group. Scale bars = 100 µm, 50 µm, and 25 µm, respectively. </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b</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c</w:t>
            </w:r>
            <w:r>
              <w:rPr>
                <w:rFonts w:hint="eastAsia"/>
                <w:color w:val="000000" w:themeColor="text1"/>
                <w:shd w:val="clear" w:color="auto" w:fill="FFFFFF"/>
                <w14:textFill>
                  <w14:solidFill>
                    <w14:schemeClr w14:val="tx1"/>
                  </w14:solidFill>
                </w14:textFill>
              </w:rPr>
              <w:t>)</w:t>
            </w:r>
            <w:r>
              <w:rPr>
                <w:b/>
                <w:bCs/>
                <w:color w:val="000000" w:themeColor="text1"/>
                <w:shd w:val="clear" w:color="auto" w:fill="FFFFFF"/>
                <w14:textFill>
                  <w14:solidFill>
                    <w14:schemeClr w14:val="tx1"/>
                  </w14:solidFill>
                </w14:textFill>
              </w:rPr>
              <w:t xml:space="preserve"> </w:t>
            </w:r>
            <w:r>
              <w:rPr>
                <w:color w:val="000000" w:themeColor="text1"/>
                <w:shd w:val="clear" w:color="auto" w:fill="FFFFFF"/>
                <w14:textFill>
                  <w14:solidFill>
                    <w14:schemeClr w14:val="tx1"/>
                  </w14:solidFill>
                </w14:textFill>
              </w:rPr>
              <w:t>Semi-quantitative analysis of the percentage of Ki-67 and TUNEL positive cells in tumor tissues</w:t>
            </w:r>
            <w:r>
              <w:rPr>
                <w:rFonts w:hint="eastAsia"/>
                <w:color w:val="000000" w:themeColor="text1"/>
                <w:shd w:val="clear" w:color="auto" w:fill="FFFFFF"/>
                <w14:textFill>
                  <w14:solidFill>
                    <w14:schemeClr w14:val="tx1"/>
                  </w14:solidFill>
                </w14:textFill>
              </w:rPr>
              <w:t xml:space="preserve"> (</w:t>
            </w:r>
            <w:r>
              <w:rPr>
                <w:rFonts w:hint="eastAsia"/>
                <w:color w:val="000000" w:themeColor="text1"/>
                <w14:textFill>
                  <w14:solidFill>
                    <w14:schemeClr w14:val="tx1"/>
                  </w14:solidFill>
                </w14:textFill>
              </w:rPr>
              <w:t xml:space="preserve">n=3, </w:t>
            </w:r>
            <w:r>
              <w:rPr>
                <w:color w:val="000000" w:themeColor="text1"/>
                <w14:textFill>
                  <w14:solidFill>
                    <w14:schemeClr w14:val="tx1"/>
                  </w14:solidFill>
                </w14:textFill>
              </w:rPr>
              <w:t>mean ± s.d.</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 The experimental groups were categorized as follows: (I) PBS; (II) 808</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nm laser (0.5 W/cm², 5 min); (III) Mn-ER-Cy; (IV) Mn-ER-Cy + 808</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nm laser. Statistical analyses were conducted using one-way ANOVA followed by Tukey’s test. *p &lt; 0.05, **p &lt; 0.01, ***p &lt; 0.001.</w:t>
            </w:r>
          </w:p>
        </w:tc>
      </w:tr>
    </w:tbl>
    <w:p w14:paraId="7656F18F">
      <w:pPr>
        <w:spacing w:line="480" w:lineRule="auto"/>
        <w:rPr>
          <w:color w:val="000000" w:themeColor="text1"/>
          <w:lang w:bidi="ar"/>
          <w14:textFill>
            <w14:solidFill>
              <w14:schemeClr w14:val="tx1"/>
            </w14:solidFill>
          </w14:textFill>
        </w:rPr>
      </w:pPr>
      <w:r>
        <w:rPr>
          <w:color w:val="000000" w:themeColor="text1"/>
          <w:lang w:bidi="ar"/>
          <w14:textFill>
            <w14:solidFill>
              <w14:schemeClr w14:val="tx1"/>
            </w14:solidFill>
          </w14:textFill>
        </w:rPr>
        <w:br w:type="page"/>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7B8BF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286" w:type="dxa"/>
            <w:tcBorders>
              <w:top w:val="nil"/>
              <w:left w:val="nil"/>
              <w:bottom w:val="nil"/>
              <w:right w:val="nil"/>
            </w:tcBorders>
          </w:tcPr>
          <w:p w14:paraId="007DF77C">
            <w:pPr>
              <w:spacing w:line="480" w:lineRule="auto"/>
              <w:rPr>
                <w:color w:val="000000" w:themeColor="text1"/>
                <w:lang w:bidi="ar"/>
                <w14:textFill>
                  <w14:solidFill>
                    <w14:schemeClr w14:val="tx1"/>
                  </w14:solidFill>
                </w14:textFill>
              </w:rPr>
            </w:pPr>
            <w:r>
              <w:rPr>
                <w:rFonts w:hint="eastAsia"/>
                <w:color w:val="000000" w:themeColor="text1"/>
                <w14:textFill>
                  <w14:solidFill>
                    <w14:schemeClr w14:val="tx1"/>
                  </w14:solidFill>
                </w14:textFill>
              </w:rPr>
              <w:drawing>
                <wp:anchor distT="0" distB="0" distL="114300" distR="114300" simplePos="0" relativeHeight="251668480" behindDoc="0" locked="0" layoutInCell="1" allowOverlap="1">
                  <wp:simplePos x="0" y="0"/>
                  <wp:positionH relativeFrom="column">
                    <wp:posOffset>523875</wp:posOffset>
                  </wp:positionH>
                  <wp:positionV relativeFrom="paragraph">
                    <wp:posOffset>85725</wp:posOffset>
                  </wp:positionV>
                  <wp:extent cx="4956175" cy="5281930"/>
                  <wp:effectExtent l="0" t="0" r="12065" b="6350"/>
                  <wp:wrapSquare wrapText="bothSides"/>
                  <wp:docPr id="21" name="图片 21" descr="幻灯片1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幻灯片19-19"/>
                          <pic:cNvPicPr>
                            <a:picLocks noChangeAspect="1"/>
                          </pic:cNvPicPr>
                        </pic:nvPicPr>
                        <pic:blipFill>
                          <a:blip r:embed="rId31"/>
                          <a:srcRect t="5450"/>
                          <a:stretch>
                            <a:fillRect/>
                          </a:stretch>
                        </pic:blipFill>
                        <pic:spPr>
                          <a:xfrm>
                            <a:off x="0" y="0"/>
                            <a:ext cx="4956175" cy="5281930"/>
                          </a:xfrm>
                          <a:prstGeom prst="rect">
                            <a:avLst/>
                          </a:prstGeom>
                        </pic:spPr>
                      </pic:pic>
                    </a:graphicData>
                  </a:graphic>
                </wp:anchor>
              </w:drawing>
            </w:r>
          </w:p>
        </w:tc>
      </w:tr>
      <w:tr w14:paraId="54F02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286" w:type="dxa"/>
            <w:tcBorders>
              <w:top w:val="nil"/>
              <w:left w:val="nil"/>
              <w:bottom w:val="nil"/>
              <w:right w:val="nil"/>
            </w:tcBorders>
          </w:tcPr>
          <w:p w14:paraId="44CF0498">
            <w:pPr>
              <w:spacing w:line="480" w:lineRule="auto"/>
              <w:rPr>
                <w:color w:val="000000" w:themeColor="text1"/>
                <w:kern w:val="0"/>
                <w:lang w:bidi="ar"/>
                <w14:textFill>
                  <w14:solidFill>
                    <w14:schemeClr w14:val="tx1"/>
                  </w14:solidFill>
                </w14:textFill>
              </w:rPr>
            </w:pPr>
            <w:r>
              <w:rPr>
                <w:rFonts w:hint="eastAsia"/>
                <w:b/>
                <w:bCs/>
                <w:color w:val="000000" w:themeColor="text1"/>
                <w:lang w:bidi="ar"/>
                <w14:textFill>
                  <w14:solidFill>
                    <w14:schemeClr w14:val="tx1"/>
                  </w14:solidFill>
                </w14:textFill>
              </w:rPr>
              <w:t>Fig. S</w:t>
            </w:r>
            <w:r>
              <w:rPr>
                <w:rFonts w:hint="eastAsia"/>
                <w:b/>
                <w:bCs/>
                <w:color w:val="000000" w:themeColor="text1"/>
                <w:shd w:val="clear" w:color="auto" w:fill="FFFFFF"/>
                <w14:textFill>
                  <w14:solidFill>
                    <w14:schemeClr w14:val="tx1"/>
                  </w14:solidFill>
                </w14:textFill>
              </w:rPr>
              <w:t>24</w:t>
            </w:r>
            <w:r>
              <w:rPr>
                <w:color w:val="000000" w:themeColor="text1"/>
                <w:shd w:val="clear" w:color="auto" w:fill="FFFFFF"/>
                <w14:textFill>
                  <w14:solidFill>
                    <w14:schemeClr w14:val="tx1"/>
                  </w14:solidFill>
                </w14:textFill>
              </w:rPr>
              <w:t xml:space="preserve"> </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a</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b</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 xml:space="preserve"> NIR fluorescence imaging of </w:t>
            </w:r>
            <w:r>
              <w:rPr>
                <w:i/>
                <w:iCs/>
                <w:color w:val="FF0000"/>
                <w:shd w:val="clear" w:color="auto" w:fill="FFFFFF"/>
              </w:rPr>
              <w:t>ex vivo</w:t>
            </w:r>
            <w:r>
              <w:rPr>
                <w:color w:val="000000" w:themeColor="text1"/>
                <w:shd w:val="clear" w:color="auto" w:fill="FFFFFF"/>
                <w14:textFill>
                  <w14:solidFill>
                    <w14:schemeClr w14:val="tx1"/>
                  </w14:solidFill>
                </w14:textFill>
              </w:rPr>
              <w:t xml:space="preserve"> tissues and blood samples at various time points. </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c</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d</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 xml:space="preserve"> Semi-quantitative analysis of the fluorescence intensity as shown in panels a and b.</w:t>
            </w:r>
          </w:p>
        </w:tc>
      </w:tr>
    </w:tbl>
    <w:p w14:paraId="1B251DF3">
      <w:pPr>
        <w:spacing w:line="480" w:lineRule="auto"/>
        <w:rPr>
          <w:color w:val="000000" w:themeColor="text1"/>
          <w:lang w:bidi="ar"/>
          <w14:textFill>
            <w14:solidFill>
              <w14:schemeClr w14:val="tx1"/>
            </w14:solidFill>
          </w14:textFill>
        </w:rPr>
      </w:pPr>
      <w:r>
        <w:rPr>
          <w:color w:val="000000" w:themeColor="text1"/>
          <w:lang w:bidi="ar"/>
          <w14:textFill>
            <w14:solidFill>
              <w14:schemeClr w14:val="tx1"/>
            </w14:solidFill>
          </w14:textFill>
        </w:rPr>
        <w:br w:type="page"/>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212F3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Borders>
              <w:top w:val="nil"/>
              <w:left w:val="nil"/>
              <w:bottom w:val="nil"/>
              <w:right w:val="nil"/>
            </w:tcBorders>
          </w:tcPr>
          <w:p w14:paraId="79FAAF97">
            <w:pPr>
              <w:spacing w:line="480" w:lineRule="auto"/>
              <w:rPr>
                <w:color w:val="000000" w:themeColor="text1"/>
                <w:lang w:bidi="ar"/>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69504" behindDoc="0" locked="0" layoutInCell="1" allowOverlap="1">
                  <wp:simplePos x="0" y="0"/>
                  <wp:positionH relativeFrom="column">
                    <wp:posOffset>1151255</wp:posOffset>
                  </wp:positionH>
                  <wp:positionV relativeFrom="paragraph">
                    <wp:posOffset>69850</wp:posOffset>
                  </wp:positionV>
                  <wp:extent cx="3091180" cy="2557780"/>
                  <wp:effectExtent l="0" t="0" r="2540" b="2540"/>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32"/>
                          <a:stretch>
                            <a:fillRect/>
                          </a:stretch>
                        </pic:blipFill>
                        <pic:spPr>
                          <a:xfrm>
                            <a:off x="0" y="0"/>
                            <a:ext cx="3091180" cy="2557780"/>
                          </a:xfrm>
                          <a:prstGeom prst="rect">
                            <a:avLst/>
                          </a:prstGeom>
                          <a:noFill/>
                          <a:ln>
                            <a:noFill/>
                          </a:ln>
                        </pic:spPr>
                      </pic:pic>
                    </a:graphicData>
                  </a:graphic>
                </wp:anchor>
              </w:drawing>
            </w:r>
          </w:p>
        </w:tc>
      </w:tr>
      <w:tr w14:paraId="0C993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Borders>
              <w:top w:val="nil"/>
              <w:left w:val="nil"/>
              <w:bottom w:val="nil"/>
              <w:right w:val="nil"/>
            </w:tcBorders>
          </w:tcPr>
          <w:p w14:paraId="2C31C682">
            <w:pPr>
              <w:spacing w:line="480" w:lineRule="auto"/>
              <w:rPr>
                <w:color w:val="000000" w:themeColor="text1"/>
                <w:kern w:val="0"/>
                <w:lang w:bidi="ar"/>
                <w14:textFill>
                  <w14:solidFill>
                    <w14:schemeClr w14:val="tx1"/>
                  </w14:solidFill>
                </w14:textFill>
              </w:rPr>
            </w:pPr>
            <w:r>
              <w:rPr>
                <w:rFonts w:hint="eastAsia"/>
                <w:b/>
                <w:bCs/>
                <w:color w:val="000000" w:themeColor="text1"/>
                <w:lang w:bidi="ar"/>
                <w14:textFill>
                  <w14:solidFill>
                    <w14:schemeClr w14:val="tx1"/>
                  </w14:solidFill>
                </w14:textFill>
              </w:rPr>
              <w:t>Fig. S</w:t>
            </w:r>
            <w:r>
              <w:rPr>
                <w:b/>
                <w:bCs/>
                <w:color w:val="000000" w:themeColor="text1"/>
                <w:shd w:val="clear" w:color="auto" w:fill="FFFFFF"/>
                <w14:textFill>
                  <w14:solidFill>
                    <w14:schemeClr w14:val="tx1"/>
                  </w14:solidFill>
                </w14:textFill>
              </w:rPr>
              <w:t>2</w:t>
            </w:r>
            <w:r>
              <w:rPr>
                <w:rFonts w:hint="eastAsia"/>
                <w:b/>
                <w:bCs/>
                <w:color w:val="000000" w:themeColor="text1"/>
                <w:shd w:val="clear" w:color="auto" w:fill="FFFFFF"/>
                <w14:textFill>
                  <w14:solidFill>
                    <w14:schemeClr w14:val="tx1"/>
                  </w14:solidFill>
                </w14:textFill>
              </w:rPr>
              <w:t xml:space="preserve">5 </w:t>
            </w:r>
            <w:r>
              <w:rPr>
                <w:color w:val="000000" w:themeColor="text1"/>
                <w:shd w:val="clear" w:color="auto" w:fill="FFFFFF"/>
                <w14:textFill>
                  <w14:solidFill>
                    <w14:schemeClr w14:val="tx1"/>
                  </w14:solidFill>
                </w14:textFill>
              </w:rPr>
              <w:t>Photographs of the hemolysis test and the corresponding hemolysis percentage</w:t>
            </w:r>
            <w:r>
              <w:rPr>
                <w:rFonts w:hint="eastAsia"/>
                <w:color w:val="000000" w:themeColor="text1"/>
                <w:shd w:val="clear" w:color="auto" w:fill="FFFFFF"/>
                <w14:textFill>
                  <w14:solidFill>
                    <w14:schemeClr w14:val="tx1"/>
                  </w14:solidFill>
                </w14:textFill>
              </w:rPr>
              <w:t xml:space="preserve"> (</w:t>
            </w:r>
            <w:r>
              <w:rPr>
                <w:rFonts w:hint="eastAsia"/>
                <w:color w:val="000000" w:themeColor="text1"/>
                <w14:textFill>
                  <w14:solidFill>
                    <w14:schemeClr w14:val="tx1"/>
                  </w14:solidFill>
                </w14:textFill>
              </w:rPr>
              <w:t xml:space="preserve">n =3, </w:t>
            </w:r>
            <w:r>
              <w:rPr>
                <w:color w:val="000000" w:themeColor="text1"/>
                <w14:textFill>
                  <w14:solidFill>
                    <w14:schemeClr w14:val="tx1"/>
                  </w14:solidFill>
                </w14:textFill>
              </w:rPr>
              <w:t>mean ± s.d.</w:t>
            </w:r>
            <w:r>
              <w:rPr>
                <w:rFonts w:hint="eastAsia"/>
                <w:color w:val="000000" w:themeColor="text1"/>
                <w:shd w:val="clear" w:color="auto" w:fill="FFFFFF"/>
                <w14:textFill>
                  <w14:solidFill>
                    <w14:schemeClr w14:val="tx1"/>
                  </w14:solidFill>
                </w14:textFill>
              </w:rPr>
              <w:t>).</w:t>
            </w:r>
          </w:p>
        </w:tc>
      </w:tr>
    </w:tbl>
    <w:p w14:paraId="6DD15ECE">
      <w:pPr>
        <w:spacing w:line="480" w:lineRule="auto"/>
        <w:rPr>
          <w:color w:val="000000" w:themeColor="text1"/>
          <w:lang w:bidi="ar"/>
          <w14:textFill>
            <w14:solidFill>
              <w14:schemeClr w14:val="tx1"/>
            </w14:solidFill>
          </w14:textFill>
        </w:rPr>
      </w:pPr>
      <w:r>
        <w:rPr>
          <w:color w:val="000000" w:themeColor="text1"/>
          <w:lang w:bidi="ar"/>
          <w14:textFill>
            <w14:solidFill>
              <w14:schemeClr w14:val="tx1"/>
            </w14:solidFill>
          </w14:textFill>
        </w:rPr>
        <w:br w:type="page"/>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669FB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Borders>
              <w:top w:val="nil"/>
              <w:left w:val="nil"/>
              <w:bottom w:val="nil"/>
              <w:right w:val="nil"/>
            </w:tcBorders>
          </w:tcPr>
          <w:p w14:paraId="142EE8A5">
            <w:pPr>
              <w:spacing w:line="480" w:lineRule="auto"/>
              <w:rPr>
                <w:color w:val="000000" w:themeColor="text1"/>
                <w:lang w:bidi="ar"/>
                <w14:textFill>
                  <w14:solidFill>
                    <w14:schemeClr w14:val="tx1"/>
                  </w14:solidFill>
                </w14:textFill>
              </w:rPr>
            </w:pPr>
            <w:r>
              <w:rPr>
                <w:rFonts w:hint="eastAsia"/>
                <w:color w:val="000000" w:themeColor="text1"/>
                <w14:textFill>
                  <w14:solidFill>
                    <w14:schemeClr w14:val="tx1"/>
                  </w14:solidFill>
                </w14:textFill>
              </w:rPr>
              <w:drawing>
                <wp:anchor distT="0" distB="0" distL="114300" distR="114300" simplePos="0" relativeHeight="251670528" behindDoc="0" locked="0" layoutInCell="1" allowOverlap="1">
                  <wp:simplePos x="0" y="0"/>
                  <wp:positionH relativeFrom="column">
                    <wp:posOffset>625475</wp:posOffset>
                  </wp:positionH>
                  <wp:positionV relativeFrom="paragraph">
                    <wp:posOffset>60960</wp:posOffset>
                  </wp:positionV>
                  <wp:extent cx="4769485" cy="4222115"/>
                  <wp:effectExtent l="0" t="0" r="635" b="14605"/>
                  <wp:wrapSquare wrapText="bothSides"/>
                  <wp:docPr id="23" name="图片 23" descr="幻灯片2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幻灯片21-21"/>
                          <pic:cNvPicPr>
                            <a:picLocks noChangeAspect="1"/>
                          </pic:cNvPicPr>
                        </pic:nvPicPr>
                        <pic:blipFill>
                          <a:blip r:embed="rId33"/>
                          <a:srcRect t="14479"/>
                          <a:stretch>
                            <a:fillRect/>
                          </a:stretch>
                        </pic:blipFill>
                        <pic:spPr>
                          <a:xfrm>
                            <a:off x="0" y="0"/>
                            <a:ext cx="4769485" cy="4222115"/>
                          </a:xfrm>
                          <a:prstGeom prst="rect">
                            <a:avLst/>
                          </a:prstGeom>
                        </pic:spPr>
                      </pic:pic>
                    </a:graphicData>
                  </a:graphic>
                </wp:anchor>
              </w:drawing>
            </w:r>
          </w:p>
        </w:tc>
      </w:tr>
      <w:tr w14:paraId="344B6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Borders>
              <w:top w:val="nil"/>
              <w:left w:val="nil"/>
              <w:bottom w:val="nil"/>
              <w:right w:val="nil"/>
            </w:tcBorders>
          </w:tcPr>
          <w:p w14:paraId="17AF1F2B">
            <w:pPr>
              <w:spacing w:line="480" w:lineRule="auto"/>
              <w:rPr>
                <w:color w:val="000000" w:themeColor="text1"/>
                <w:kern w:val="0"/>
                <w:lang w:bidi="ar"/>
                <w14:textFill>
                  <w14:solidFill>
                    <w14:schemeClr w14:val="tx1"/>
                  </w14:solidFill>
                </w14:textFill>
              </w:rPr>
            </w:pPr>
            <w:r>
              <w:rPr>
                <w:rFonts w:hint="eastAsia"/>
                <w:b/>
                <w:bCs/>
                <w:color w:val="000000" w:themeColor="text1"/>
                <w:lang w:bidi="ar"/>
                <w14:textFill>
                  <w14:solidFill>
                    <w14:schemeClr w14:val="tx1"/>
                  </w14:solidFill>
                </w14:textFill>
              </w:rPr>
              <w:t>Fig. S</w:t>
            </w:r>
            <w:r>
              <w:rPr>
                <w:b/>
                <w:bCs/>
                <w:color w:val="000000" w:themeColor="text1"/>
                <w:shd w:val="clear" w:color="auto" w:fill="FFFFFF"/>
                <w14:textFill>
                  <w14:solidFill>
                    <w14:schemeClr w14:val="tx1"/>
                  </w14:solidFill>
                </w14:textFill>
              </w:rPr>
              <w:t>2</w:t>
            </w:r>
            <w:r>
              <w:rPr>
                <w:rFonts w:hint="eastAsia"/>
                <w:b/>
                <w:bCs/>
                <w:color w:val="000000" w:themeColor="text1"/>
                <w:shd w:val="clear" w:color="auto" w:fill="FFFFFF"/>
                <w14:textFill>
                  <w14:solidFill>
                    <w14:schemeClr w14:val="tx1"/>
                  </w14:solidFill>
                </w14:textFill>
              </w:rPr>
              <w:t>6</w:t>
            </w:r>
            <w:r>
              <w:rPr>
                <w:b/>
                <w:bCs/>
                <w:color w:val="000000" w:themeColor="text1"/>
                <w:shd w:val="clear" w:color="auto" w:fill="FFFFFF"/>
                <w14:textFill>
                  <w14:solidFill>
                    <w14:schemeClr w14:val="tx1"/>
                  </w14:solidFill>
                </w14:textFill>
              </w:rPr>
              <w:t xml:space="preserve"> </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a</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c</w:t>
            </w:r>
            <w:r>
              <w:rPr>
                <w:rFonts w:hint="eastAsia"/>
                <w:color w:val="000000" w:themeColor="text1"/>
                <w:shd w:val="clear" w:color="auto" w:fill="FFFFFF"/>
                <w14:textFill>
                  <w14:solidFill>
                    <w14:schemeClr w14:val="tx1"/>
                  </w14:solidFill>
                </w14:textFill>
              </w:rPr>
              <w:t>)</w:t>
            </w:r>
            <w:r>
              <w:rPr>
                <w:b/>
                <w:bCs/>
                <w:color w:val="000000" w:themeColor="text1"/>
                <w:shd w:val="clear" w:color="auto" w:fill="FFFFFF"/>
                <w14:textFill>
                  <w14:solidFill>
                    <w14:schemeClr w14:val="tx1"/>
                  </w14:solidFill>
                </w14:textFill>
              </w:rPr>
              <w:t xml:space="preserve"> </w:t>
            </w:r>
            <w:r>
              <w:rPr>
                <w:color w:val="000000" w:themeColor="text1"/>
                <w:shd w:val="clear" w:color="auto" w:fill="FFFFFF"/>
                <w14:textFill>
                  <w14:solidFill>
                    <w14:schemeClr w14:val="tx1"/>
                  </w14:solidFill>
                </w14:textFill>
              </w:rPr>
              <w:t>Blood parameters for white blood cells (WBC), platelets (PLT), and red blood cells (RBC) of mice from each group on day 21</w:t>
            </w:r>
            <w:r>
              <w:rPr>
                <w:rFonts w:hint="eastAsia"/>
                <w:color w:val="000000" w:themeColor="text1"/>
                <w:shd w:val="clear" w:color="auto" w:fill="FFFFFF"/>
                <w14:textFill>
                  <w14:solidFill>
                    <w14:schemeClr w14:val="tx1"/>
                  </w14:solidFill>
                </w14:textFill>
              </w:rPr>
              <w:t xml:space="preserve"> (</w:t>
            </w:r>
            <w:r>
              <w:rPr>
                <w:rFonts w:hint="eastAsia"/>
                <w:color w:val="000000" w:themeColor="text1"/>
                <w14:textFill>
                  <w14:solidFill>
                    <w14:schemeClr w14:val="tx1"/>
                  </w14:solidFill>
                </w14:textFill>
              </w:rPr>
              <w:t xml:space="preserve">n=3, </w:t>
            </w:r>
            <w:r>
              <w:rPr>
                <w:color w:val="000000" w:themeColor="text1"/>
                <w14:textFill>
                  <w14:solidFill>
                    <w14:schemeClr w14:val="tx1"/>
                  </w14:solidFill>
                </w14:textFill>
              </w:rPr>
              <w:t>mean ± s.d.</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w:t>
            </w:r>
          </w:p>
        </w:tc>
      </w:tr>
    </w:tbl>
    <w:p w14:paraId="4BDF9903">
      <w:pPr>
        <w:spacing w:line="480" w:lineRule="auto"/>
        <w:rPr>
          <w:color w:val="000000" w:themeColor="text1"/>
          <w:lang w:bidi="ar"/>
          <w14:textFill>
            <w14:solidFill>
              <w14:schemeClr w14:val="tx1"/>
            </w14:solidFill>
          </w14:textFill>
        </w:rPr>
      </w:pPr>
      <w:r>
        <w:rPr>
          <w:color w:val="000000" w:themeColor="text1"/>
          <w:lang w:bidi="ar"/>
          <w14:textFill>
            <w14:solidFill>
              <w14:schemeClr w14:val="tx1"/>
            </w14:solidFill>
          </w14:textFill>
        </w:rPr>
        <w:br w:type="page"/>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36FC2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286" w:type="dxa"/>
            <w:tcBorders>
              <w:top w:val="nil"/>
              <w:left w:val="nil"/>
              <w:bottom w:val="nil"/>
              <w:right w:val="nil"/>
            </w:tcBorders>
          </w:tcPr>
          <w:p w14:paraId="5BFDE9B8">
            <w:pPr>
              <w:spacing w:line="480" w:lineRule="auto"/>
              <w:rPr>
                <w:color w:val="000000" w:themeColor="text1"/>
                <w:lang w:bidi="ar"/>
                <w14:textFill>
                  <w14:solidFill>
                    <w14:schemeClr w14:val="tx1"/>
                  </w14:solidFill>
                </w14:textFill>
              </w:rPr>
            </w:pPr>
            <w:r>
              <w:rPr>
                <w:rFonts w:hint="eastAsia"/>
                <w:color w:val="000000" w:themeColor="text1"/>
                <w14:textFill>
                  <w14:solidFill>
                    <w14:schemeClr w14:val="tx1"/>
                  </w14:solidFill>
                </w14:textFill>
              </w:rPr>
              <w:drawing>
                <wp:inline distT="0" distB="0" distL="114300" distR="114300">
                  <wp:extent cx="5393690" cy="6677025"/>
                  <wp:effectExtent l="0" t="0" r="1270" b="13335"/>
                  <wp:docPr id="24" name="图片 24" descr="幻灯片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幻灯片22-22"/>
                          <pic:cNvPicPr>
                            <a:picLocks noChangeAspect="1"/>
                          </pic:cNvPicPr>
                        </pic:nvPicPr>
                        <pic:blipFill>
                          <a:blip r:embed="rId34"/>
                          <a:srcRect t="6431"/>
                          <a:stretch>
                            <a:fillRect/>
                          </a:stretch>
                        </pic:blipFill>
                        <pic:spPr>
                          <a:xfrm>
                            <a:off x="0" y="0"/>
                            <a:ext cx="5393690" cy="6677025"/>
                          </a:xfrm>
                          <a:prstGeom prst="rect">
                            <a:avLst/>
                          </a:prstGeom>
                        </pic:spPr>
                      </pic:pic>
                    </a:graphicData>
                  </a:graphic>
                </wp:inline>
              </w:drawing>
            </w:r>
          </w:p>
        </w:tc>
      </w:tr>
      <w:tr w14:paraId="30CF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Borders>
              <w:top w:val="nil"/>
              <w:left w:val="nil"/>
              <w:bottom w:val="nil"/>
              <w:right w:val="nil"/>
            </w:tcBorders>
          </w:tcPr>
          <w:p w14:paraId="0324AB60">
            <w:pPr>
              <w:spacing w:line="480" w:lineRule="auto"/>
              <w:rPr>
                <w:color w:val="000000" w:themeColor="text1"/>
                <w:kern w:val="0"/>
                <w:lang w:bidi="ar"/>
                <w14:textFill>
                  <w14:solidFill>
                    <w14:schemeClr w14:val="tx1"/>
                  </w14:solidFill>
                </w14:textFill>
              </w:rPr>
            </w:pPr>
            <w:r>
              <w:rPr>
                <w:rFonts w:hint="eastAsia"/>
                <w:b/>
                <w:bCs/>
                <w:color w:val="000000" w:themeColor="text1"/>
                <w:lang w:bidi="ar"/>
                <w14:textFill>
                  <w14:solidFill>
                    <w14:schemeClr w14:val="tx1"/>
                  </w14:solidFill>
                </w14:textFill>
              </w:rPr>
              <w:t>Fig. S27</w:t>
            </w:r>
            <w:r>
              <w:rPr>
                <w:color w:val="000000" w:themeColor="text1"/>
                <w:shd w:val="clear" w:color="auto" w:fill="FFFFFF"/>
                <w14:textFill>
                  <w14:solidFill>
                    <w14:schemeClr w14:val="tx1"/>
                  </w14:solidFill>
                </w14:textFill>
              </w:rPr>
              <w:t xml:space="preserve"> </w:t>
            </w:r>
            <w:r>
              <w:rPr>
                <w:rFonts w:hint="eastAsia"/>
                <w:color w:val="000000" w:themeColor="text1"/>
                <w:shd w:val="clear" w:color="auto" w:fill="FFFFFF"/>
                <w14:textFill>
                  <w14:solidFill>
                    <w14:schemeClr w14:val="tx1"/>
                  </w14:solidFill>
                </w14:textFill>
              </w:rPr>
              <w:t>(</w:t>
            </w:r>
            <w:r>
              <w:rPr>
                <w:rFonts w:hint="eastAsia"/>
                <w:b/>
                <w:bCs/>
                <w:color w:val="000000" w:themeColor="text1"/>
                <w:shd w:val="clear" w:color="auto" w:fill="FFFFFF"/>
                <w14:textFill>
                  <w14:solidFill>
                    <w14:schemeClr w14:val="tx1"/>
                  </w14:solidFill>
                </w14:textFill>
              </w:rPr>
              <w:t>a-f</w:t>
            </w:r>
            <w:r>
              <w:rPr>
                <w:rFonts w:hint="eastAsia"/>
                <w:color w:val="000000" w:themeColor="text1"/>
                <w:shd w:val="clear" w:color="auto" w:fill="FFFFFF"/>
                <w14:textFill>
                  <w14:solidFill>
                    <w14:schemeClr w14:val="tx1"/>
                  </w14:solidFill>
                </w14:textFill>
              </w:rPr>
              <w:t>)</w:t>
            </w:r>
            <w:r>
              <w:rPr>
                <w:b/>
                <w:bCs/>
                <w:color w:val="000000" w:themeColor="text1"/>
                <w:shd w:val="clear" w:color="auto" w:fill="FFFFFF"/>
                <w14:textFill>
                  <w14:solidFill>
                    <w14:schemeClr w14:val="tx1"/>
                  </w14:solidFill>
                </w14:textFill>
              </w:rPr>
              <w:t xml:space="preserve"> </w:t>
            </w:r>
            <w:r>
              <w:rPr>
                <w:color w:val="000000" w:themeColor="text1"/>
                <w:shd w:val="clear" w:color="auto" w:fill="FFFFFF"/>
                <w14:textFill>
                  <w14:solidFill>
                    <w14:schemeClr w14:val="tx1"/>
                  </w14:solidFill>
                </w14:textFill>
              </w:rPr>
              <w:t>Liver and kidney function parameters for alanine aminotransferase (ALT), aspartate aminotransferase (AST), urea, lactate dehydrogenase (LDH), creatinine (CREA), and creatine kinase (CK) in mice from each group on day 21</w:t>
            </w:r>
            <w:r>
              <w:rPr>
                <w:rFonts w:hint="eastAsia"/>
                <w:color w:val="000000" w:themeColor="text1"/>
                <w:shd w:val="clear" w:color="auto" w:fill="FFFFFF"/>
                <w14:textFill>
                  <w14:solidFill>
                    <w14:schemeClr w14:val="tx1"/>
                  </w14:solidFill>
                </w14:textFill>
              </w:rPr>
              <w:t xml:space="preserve"> (</w:t>
            </w:r>
            <w:r>
              <w:rPr>
                <w:rFonts w:hint="eastAsia"/>
                <w:color w:val="000000" w:themeColor="text1"/>
                <w14:textFill>
                  <w14:solidFill>
                    <w14:schemeClr w14:val="tx1"/>
                  </w14:solidFill>
                </w14:textFill>
              </w:rPr>
              <w:t xml:space="preserve">n=3, </w:t>
            </w:r>
            <w:r>
              <w:rPr>
                <w:color w:val="000000" w:themeColor="text1"/>
                <w14:textFill>
                  <w14:solidFill>
                    <w14:schemeClr w14:val="tx1"/>
                  </w14:solidFill>
                </w14:textFill>
              </w:rPr>
              <w:t>mean ± s.d.</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w:t>
            </w:r>
          </w:p>
        </w:tc>
      </w:tr>
    </w:tbl>
    <w:p w14:paraId="16980262">
      <w:pPr>
        <w:spacing w:line="480" w:lineRule="auto"/>
        <w:rPr>
          <w:color w:val="000000" w:themeColor="text1"/>
          <w:lang w:bidi="ar"/>
          <w14:textFill>
            <w14:solidFill>
              <w14:schemeClr w14:val="tx1"/>
            </w14:solidFill>
          </w14:textFill>
        </w:rPr>
      </w:pPr>
      <w:r>
        <w:rPr>
          <w:color w:val="000000" w:themeColor="text1"/>
          <w:lang w:bidi="ar"/>
          <w14:textFill>
            <w14:solidFill>
              <w14:schemeClr w14:val="tx1"/>
            </w14:solidFill>
          </w14:textFill>
        </w:rPr>
        <w:br w:type="page"/>
      </w:r>
    </w:p>
    <w:tbl>
      <w:tblPr>
        <w:tblStyle w:val="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286"/>
      </w:tblGrid>
      <w:tr w14:paraId="7BB60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286" w:type="dxa"/>
          </w:tcPr>
          <w:p w14:paraId="60A02B9D">
            <w:pPr>
              <w:spacing w:line="480" w:lineRule="auto"/>
              <w:rPr>
                <w:color w:val="000000" w:themeColor="text1"/>
                <w:lang w:bidi="ar"/>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71552" behindDoc="0" locked="0" layoutInCell="1" allowOverlap="1">
                  <wp:simplePos x="0" y="0"/>
                  <wp:positionH relativeFrom="column">
                    <wp:posOffset>224155</wp:posOffset>
                  </wp:positionH>
                  <wp:positionV relativeFrom="paragraph">
                    <wp:posOffset>85725</wp:posOffset>
                  </wp:positionV>
                  <wp:extent cx="5404485" cy="5510530"/>
                  <wp:effectExtent l="0" t="0" r="5715" b="6350"/>
                  <wp:wrapSquare wrapText="bothSides"/>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pic:cNvPicPr>
                        </pic:nvPicPr>
                        <pic:blipFill>
                          <a:blip r:embed="rId35"/>
                          <a:stretch>
                            <a:fillRect/>
                          </a:stretch>
                        </pic:blipFill>
                        <pic:spPr>
                          <a:xfrm>
                            <a:off x="0" y="0"/>
                            <a:ext cx="5404485" cy="5510530"/>
                          </a:xfrm>
                          <a:prstGeom prst="rect">
                            <a:avLst/>
                          </a:prstGeom>
                          <a:noFill/>
                          <a:ln>
                            <a:noFill/>
                          </a:ln>
                        </pic:spPr>
                      </pic:pic>
                    </a:graphicData>
                  </a:graphic>
                </wp:anchor>
              </w:drawing>
            </w:r>
          </w:p>
        </w:tc>
      </w:tr>
      <w:tr w14:paraId="37563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286" w:type="dxa"/>
          </w:tcPr>
          <w:p w14:paraId="104B645E">
            <w:pPr>
              <w:spacing w:line="480" w:lineRule="auto"/>
              <w:rPr>
                <w:color w:val="000000" w:themeColor="text1"/>
                <w:kern w:val="0"/>
                <w:lang w:bidi="ar"/>
                <w14:textFill>
                  <w14:solidFill>
                    <w14:schemeClr w14:val="tx1"/>
                  </w14:solidFill>
                </w14:textFill>
              </w:rPr>
            </w:pPr>
            <w:r>
              <w:rPr>
                <w:rFonts w:hint="eastAsia"/>
                <w:b/>
                <w:bCs/>
                <w:color w:val="000000" w:themeColor="text1"/>
                <w:lang w:bidi="ar"/>
                <w14:textFill>
                  <w14:solidFill>
                    <w14:schemeClr w14:val="tx1"/>
                  </w14:solidFill>
                </w14:textFill>
              </w:rPr>
              <w:t>Fig. S28</w:t>
            </w:r>
            <w:r>
              <w:rPr>
                <w:color w:val="000000" w:themeColor="text1"/>
                <w:shd w:val="clear" w:color="auto" w:fill="FFFFFF"/>
                <w14:textFill>
                  <w14:solidFill>
                    <w14:schemeClr w14:val="tx1"/>
                  </w14:solidFill>
                </w14:textFill>
              </w:rPr>
              <w:t xml:space="preserve"> H&amp;E staining images of the heart, liver, spleen, lungs, and kidneys from mice in each group on day 21. Scale bar = 100 µm.</w:t>
            </w:r>
          </w:p>
        </w:tc>
      </w:tr>
    </w:tbl>
    <w:p w14:paraId="01252D7C">
      <w:pPr>
        <w:spacing w:line="480" w:lineRule="auto"/>
        <w:rPr>
          <w:color w:val="000000" w:themeColor="text1"/>
          <w:shd w:val="clear" w:color="auto" w:fill="FFFFFF"/>
          <w14:textFill>
            <w14:solidFill>
              <w14:schemeClr w14:val="tx1"/>
            </w14:solidFill>
          </w14:textFill>
        </w:rPr>
      </w:pPr>
      <w:r>
        <w:rPr>
          <w:color w:val="000000" w:themeColor="text1"/>
          <w:shd w:val="clear" w:color="auto" w:fill="FFFFFF"/>
          <w14:textFill>
            <w14:solidFill>
              <w14:schemeClr w14:val="tx1"/>
            </w14:solidFill>
          </w14:textFill>
        </w:rPr>
        <w:br w:type="page"/>
      </w:r>
    </w:p>
    <w:p w14:paraId="1F533295">
      <w:pPr>
        <w:spacing w:line="480" w:lineRule="auto"/>
        <w:jc w:val="center"/>
        <w:rPr>
          <w:b/>
          <w:bCs/>
          <w:color w:val="FF0000"/>
        </w:rPr>
      </w:pPr>
      <w:r>
        <w:rPr>
          <w:b/>
          <w:bCs/>
          <w:color w:val="FF0000"/>
        </w:rPr>
        <w:t>Table S</w:t>
      </w:r>
      <w:r>
        <w:rPr>
          <w:rFonts w:hint="eastAsia"/>
          <w:b/>
          <w:bCs/>
          <w:color w:val="FF0000"/>
          <w:lang w:val="en-US" w:eastAsia="zh-CN"/>
        </w:rPr>
        <w:t>1</w:t>
      </w:r>
      <w:r>
        <w:rPr>
          <w:b/>
          <w:bCs/>
          <w:color w:val="FF0000"/>
        </w:rPr>
        <w:t>. siRNA Sequences for Targeting N</w:t>
      </w:r>
      <w:r>
        <w:rPr>
          <w:rFonts w:hint="eastAsia"/>
          <w:b/>
          <w:bCs/>
          <w:color w:val="FF0000"/>
        </w:rPr>
        <w:t>LRP</w:t>
      </w:r>
      <w:r>
        <w:rPr>
          <w:b/>
          <w:bCs/>
          <w:color w:val="FF0000"/>
        </w:rPr>
        <w:t>3 Gene</w:t>
      </w:r>
    </w:p>
    <w:tbl>
      <w:tblPr>
        <w:tblStyle w:val="9"/>
        <w:tblpPr w:leftFromText="180" w:rightFromText="180" w:vertAnchor="page" w:horzAnchor="margin" w:tblpXSpec="center" w:tblpY="2330"/>
        <w:tblOverlap w:val="never"/>
        <w:tblW w:w="9750"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60"/>
        <w:gridCol w:w="1984"/>
        <w:gridCol w:w="2898"/>
        <w:gridCol w:w="3408"/>
      </w:tblGrid>
      <w:tr w14:paraId="75EC0E8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0" w:type="dxa"/>
            <w:tcBorders>
              <w:bottom w:val="single" w:color="000000" w:sz="12" w:space="0"/>
              <w:tl2br w:val="nil"/>
              <w:tr2bl w:val="nil"/>
            </w:tcBorders>
            <w:vAlign w:val="center"/>
          </w:tcPr>
          <w:p w14:paraId="06C66845">
            <w:pPr>
              <w:jc w:val="center"/>
              <w:rPr>
                <w:color w:val="FF0000"/>
                <w:sz w:val="18"/>
                <w:szCs w:val="18"/>
              </w:rPr>
            </w:pPr>
            <w:r>
              <w:rPr>
                <w:b/>
                <w:bCs/>
                <w:color w:val="FF0000"/>
                <w:kern w:val="0"/>
                <w:sz w:val="18"/>
                <w:szCs w:val="18"/>
                <w:lang w:bidi="ar"/>
              </w:rPr>
              <w:t>siRNA ID</w:t>
            </w:r>
          </w:p>
        </w:tc>
        <w:tc>
          <w:tcPr>
            <w:tcW w:w="1984" w:type="dxa"/>
            <w:tcBorders>
              <w:bottom w:val="single" w:color="000000" w:sz="12" w:space="0"/>
              <w:tl2br w:val="nil"/>
              <w:tr2bl w:val="nil"/>
            </w:tcBorders>
            <w:vAlign w:val="center"/>
          </w:tcPr>
          <w:p w14:paraId="02623F02">
            <w:pPr>
              <w:jc w:val="center"/>
              <w:rPr>
                <w:color w:val="FF0000"/>
                <w:sz w:val="18"/>
                <w:szCs w:val="18"/>
              </w:rPr>
            </w:pPr>
            <w:r>
              <w:rPr>
                <w:b/>
                <w:bCs/>
                <w:color w:val="FF0000"/>
                <w:kern w:val="0"/>
                <w:sz w:val="18"/>
                <w:szCs w:val="18"/>
                <w:lang w:bidi="ar"/>
              </w:rPr>
              <w:t>Target Gene</w:t>
            </w:r>
          </w:p>
        </w:tc>
        <w:tc>
          <w:tcPr>
            <w:tcW w:w="2898" w:type="dxa"/>
            <w:tcBorders>
              <w:bottom w:val="single" w:color="000000" w:sz="12" w:space="0"/>
              <w:tl2br w:val="nil"/>
              <w:tr2bl w:val="nil"/>
            </w:tcBorders>
            <w:vAlign w:val="center"/>
          </w:tcPr>
          <w:p w14:paraId="638F263B">
            <w:pPr>
              <w:jc w:val="center"/>
              <w:rPr>
                <w:color w:val="FF0000"/>
                <w:sz w:val="18"/>
                <w:szCs w:val="18"/>
              </w:rPr>
            </w:pPr>
            <w:r>
              <w:rPr>
                <w:b/>
                <w:bCs/>
                <w:color w:val="FF0000"/>
                <w:kern w:val="0"/>
                <w:sz w:val="18"/>
                <w:szCs w:val="18"/>
                <w:lang w:bidi="ar"/>
              </w:rPr>
              <w:t>Sense Strand Sequence (5'-3')</w:t>
            </w:r>
          </w:p>
        </w:tc>
        <w:tc>
          <w:tcPr>
            <w:tcW w:w="3408" w:type="dxa"/>
            <w:tcBorders>
              <w:bottom w:val="single" w:color="000000" w:sz="12" w:space="0"/>
              <w:tl2br w:val="nil"/>
              <w:tr2bl w:val="nil"/>
            </w:tcBorders>
            <w:vAlign w:val="center"/>
          </w:tcPr>
          <w:p w14:paraId="167323C0">
            <w:pPr>
              <w:jc w:val="center"/>
              <w:rPr>
                <w:color w:val="FF0000"/>
                <w:sz w:val="18"/>
                <w:szCs w:val="18"/>
              </w:rPr>
            </w:pPr>
            <w:r>
              <w:rPr>
                <w:b/>
                <w:bCs/>
                <w:color w:val="FF0000"/>
                <w:kern w:val="0"/>
                <w:sz w:val="18"/>
                <w:szCs w:val="18"/>
                <w:lang w:bidi="ar"/>
              </w:rPr>
              <w:t>Anti-sense Strand Sequence (5'-3')</w:t>
            </w:r>
          </w:p>
        </w:tc>
      </w:tr>
      <w:tr w14:paraId="5D32804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0" w:type="dxa"/>
            <w:tcBorders>
              <w:top w:val="single" w:color="000000" w:sz="12" w:space="0"/>
              <w:tl2br w:val="nil"/>
              <w:tr2bl w:val="nil"/>
            </w:tcBorders>
            <w:vAlign w:val="center"/>
          </w:tcPr>
          <w:p w14:paraId="51DA50C1">
            <w:pPr>
              <w:jc w:val="center"/>
              <w:textAlignment w:val="center"/>
              <w:rPr>
                <w:color w:val="FF0000"/>
                <w:sz w:val="18"/>
                <w:szCs w:val="18"/>
              </w:rPr>
            </w:pPr>
            <w:r>
              <w:rPr>
                <w:color w:val="FF0000"/>
                <w:sz w:val="18"/>
                <w:szCs w:val="18"/>
              </w:rPr>
              <w:t>siRNA-1</w:t>
            </w:r>
          </w:p>
        </w:tc>
        <w:tc>
          <w:tcPr>
            <w:tcW w:w="1984" w:type="dxa"/>
            <w:tcBorders>
              <w:top w:val="single" w:color="000000" w:sz="12" w:space="0"/>
              <w:tl2br w:val="nil"/>
              <w:tr2bl w:val="nil"/>
            </w:tcBorders>
            <w:vAlign w:val="center"/>
          </w:tcPr>
          <w:p w14:paraId="1F670937">
            <w:pPr>
              <w:jc w:val="center"/>
              <w:textAlignment w:val="center"/>
              <w:rPr>
                <w:color w:val="FF0000"/>
                <w:sz w:val="18"/>
                <w:szCs w:val="18"/>
              </w:rPr>
            </w:pPr>
            <w:r>
              <w:rPr>
                <w:color w:val="FF0000"/>
                <w:kern w:val="0"/>
                <w:sz w:val="18"/>
                <w:szCs w:val="18"/>
                <w:lang w:bidi="ar"/>
              </w:rPr>
              <w:t>N</w:t>
            </w:r>
            <w:r>
              <w:rPr>
                <w:rFonts w:hint="eastAsia"/>
                <w:color w:val="FF0000"/>
                <w:kern w:val="0"/>
                <w:sz w:val="18"/>
                <w:szCs w:val="18"/>
                <w:lang w:bidi="ar"/>
              </w:rPr>
              <w:t>LRP</w:t>
            </w:r>
            <w:r>
              <w:rPr>
                <w:color w:val="FF0000"/>
                <w:kern w:val="0"/>
                <w:sz w:val="18"/>
                <w:szCs w:val="18"/>
                <w:lang w:bidi="ar"/>
              </w:rPr>
              <w:t>3-Mus-1973</w:t>
            </w:r>
          </w:p>
        </w:tc>
        <w:tc>
          <w:tcPr>
            <w:tcW w:w="2898" w:type="dxa"/>
            <w:tcBorders>
              <w:top w:val="single" w:color="000000" w:sz="12" w:space="0"/>
              <w:tl2br w:val="nil"/>
              <w:tr2bl w:val="nil"/>
            </w:tcBorders>
            <w:vAlign w:val="center"/>
          </w:tcPr>
          <w:p w14:paraId="6E9F6A19">
            <w:pPr>
              <w:jc w:val="center"/>
              <w:textAlignment w:val="center"/>
              <w:rPr>
                <w:color w:val="FF0000"/>
                <w:sz w:val="18"/>
                <w:szCs w:val="18"/>
              </w:rPr>
            </w:pPr>
            <w:r>
              <w:rPr>
                <w:color w:val="FF0000"/>
                <w:kern w:val="0"/>
                <w:sz w:val="18"/>
                <w:szCs w:val="18"/>
                <w:lang w:bidi="ar"/>
              </w:rPr>
              <w:t>CCAGGAGAGAACCUCUUAUTT</w:t>
            </w:r>
          </w:p>
        </w:tc>
        <w:tc>
          <w:tcPr>
            <w:tcW w:w="3408" w:type="dxa"/>
            <w:tcBorders>
              <w:top w:val="single" w:color="000000" w:sz="12" w:space="0"/>
              <w:tl2br w:val="nil"/>
              <w:tr2bl w:val="nil"/>
            </w:tcBorders>
            <w:vAlign w:val="center"/>
          </w:tcPr>
          <w:p w14:paraId="77C385CB">
            <w:pPr>
              <w:jc w:val="center"/>
              <w:textAlignment w:val="center"/>
              <w:rPr>
                <w:color w:val="FF0000"/>
                <w:sz w:val="18"/>
                <w:szCs w:val="18"/>
              </w:rPr>
            </w:pPr>
            <w:r>
              <w:rPr>
                <w:color w:val="FF0000"/>
                <w:kern w:val="0"/>
                <w:sz w:val="18"/>
                <w:szCs w:val="18"/>
                <w:lang w:bidi="ar"/>
              </w:rPr>
              <w:t>AUAAGAGGUUCUCUCCUGGTT</w:t>
            </w:r>
          </w:p>
        </w:tc>
      </w:tr>
      <w:tr w14:paraId="0896D9D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0" w:type="dxa"/>
            <w:tcBorders>
              <w:tl2br w:val="nil"/>
              <w:tr2bl w:val="nil"/>
            </w:tcBorders>
            <w:vAlign w:val="center"/>
          </w:tcPr>
          <w:p w14:paraId="4EB30005">
            <w:pPr>
              <w:jc w:val="center"/>
              <w:textAlignment w:val="center"/>
              <w:rPr>
                <w:color w:val="FF0000"/>
                <w:sz w:val="18"/>
                <w:szCs w:val="18"/>
              </w:rPr>
            </w:pPr>
            <w:r>
              <w:rPr>
                <w:color w:val="FF0000"/>
                <w:sz w:val="18"/>
                <w:szCs w:val="18"/>
              </w:rPr>
              <w:t>siRNA-2</w:t>
            </w:r>
          </w:p>
        </w:tc>
        <w:tc>
          <w:tcPr>
            <w:tcW w:w="1984" w:type="dxa"/>
            <w:tcBorders>
              <w:tl2br w:val="nil"/>
              <w:tr2bl w:val="nil"/>
            </w:tcBorders>
            <w:vAlign w:val="center"/>
          </w:tcPr>
          <w:p w14:paraId="5823B991">
            <w:pPr>
              <w:jc w:val="center"/>
              <w:textAlignment w:val="center"/>
              <w:rPr>
                <w:color w:val="FF0000"/>
                <w:sz w:val="18"/>
                <w:szCs w:val="18"/>
              </w:rPr>
            </w:pPr>
            <w:r>
              <w:rPr>
                <w:color w:val="FF0000"/>
                <w:kern w:val="0"/>
                <w:sz w:val="18"/>
                <w:szCs w:val="18"/>
                <w:lang w:bidi="ar"/>
              </w:rPr>
              <w:t>N</w:t>
            </w:r>
            <w:r>
              <w:rPr>
                <w:rFonts w:hint="eastAsia"/>
                <w:color w:val="FF0000"/>
                <w:kern w:val="0"/>
                <w:sz w:val="18"/>
                <w:szCs w:val="18"/>
                <w:lang w:bidi="ar"/>
              </w:rPr>
              <w:t>LRP</w:t>
            </w:r>
            <w:r>
              <w:rPr>
                <w:color w:val="FF0000"/>
                <w:kern w:val="0"/>
                <w:sz w:val="18"/>
                <w:szCs w:val="18"/>
                <w:lang w:bidi="ar"/>
              </w:rPr>
              <w:t>3-Mus-3088</w:t>
            </w:r>
          </w:p>
        </w:tc>
        <w:tc>
          <w:tcPr>
            <w:tcW w:w="2898" w:type="dxa"/>
            <w:tcBorders>
              <w:tl2br w:val="nil"/>
              <w:tr2bl w:val="nil"/>
            </w:tcBorders>
            <w:vAlign w:val="center"/>
          </w:tcPr>
          <w:p w14:paraId="14197990">
            <w:pPr>
              <w:jc w:val="center"/>
              <w:textAlignment w:val="center"/>
              <w:rPr>
                <w:color w:val="FF0000"/>
                <w:sz w:val="18"/>
                <w:szCs w:val="18"/>
              </w:rPr>
            </w:pPr>
            <w:r>
              <w:rPr>
                <w:color w:val="FF0000"/>
                <w:kern w:val="0"/>
                <w:sz w:val="18"/>
                <w:szCs w:val="18"/>
                <w:lang w:bidi="ar"/>
              </w:rPr>
              <w:t>GCUGGAAUCUCUCCACAAUTT</w:t>
            </w:r>
          </w:p>
        </w:tc>
        <w:tc>
          <w:tcPr>
            <w:tcW w:w="3408" w:type="dxa"/>
            <w:tcBorders>
              <w:tl2br w:val="nil"/>
              <w:tr2bl w:val="nil"/>
            </w:tcBorders>
            <w:vAlign w:val="center"/>
          </w:tcPr>
          <w:p w14:paraId="4FEF3D71">
            <w:pPr>
              <w:jc w:val="center"/>
              <w:textAlignment w:val="center"/>
              <w:rPr>
                <w:color w:val="FF0000"/>
                <w:sz w:val="18"/>
                <w:szCs w:val="18"/>
              </w:rPr>
            </w:pPr>
            <w:r>
              <w:rPr>
                <w:color w:val="FF0000"/>
                <w:kern w:val="0"/>
                <w:sz w:val="18"/>
                <w:szCs w:val="18"/>
                <w:lang w:bidi="ar"/>
              </w:rPr>
              <w:t>AUUGUGGAGAGAUUCCAGCTT</w:t>
            </w:r>
          </w:p>
        </w:tc>
      </w:tr>
      <w:tr w14:paraId="29405F6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0" w:type="dxa"/>
            <w:tcBorders>
              <w:tl2br w:val="nil"/>
              <w:tr2bl w:val="nil"/>
            </w:tcBorders>
            <w:vAlign w:val="center"/>
          </w:tcPr>
          <w:p w14:paraId="5653460A">
            <w:pPr>
              <w:jc w:val="center"/>
              <w:textAlignment w:val="center"/>
              <w:rPr>
                <w:color w:val="FF0000"/>
                <w:sz w:val="18"/>
                <w:szCs w:val="18"/>
              </w:rPr>
            </w:pPr>
            <w:r>
              <w:rPr>
                <w:color w:val="FF0000"/>
                <w:sz w:val="18"/>
                <w:szCs w:val="18"/>
              </w:rPr>
              <w:t>siRNA-3</w:t>
            </w:r>
          </w:p>
        </w:tc>
        <w:tc>
          <w:tcPr>
            <w:tcW w:w="1984" w:type="dxa"/>
            <w:tcBorders>
              <w:tl2br w:val="nil"/>
              <w:tr2bl w:val="nil"/>
            </w:tcBorders>
            <w:vAlign w:val="center"/>
          </w:tcPr>
          <w:p w14:paraId="3ACCC11F">
            <w:pPr>
              <w:jc w:val="center"/>
              <w:textAlignment w:val="center"/>
              <w:rPr>
                <w:color w:val="FF0000"/>
                <w:sz w:val="18"/>
                <w:szCs w:val="18"/>
              </w:rPr>
            </w:pPr>
            <w:r>
              <w:rPr>
                <w:color w:val="FF0000"/>
                <w:kern w:val="0"/>
                <w:sz w:val="18"/>
                <w:szCs w:val="18"/>
                <w:lang w:bidi="ar"/>
              </w:rPr>
              <w:t>N</w:t>
            </w:r>
            <w:r>
              <w:rPr>
                <w:rFonts w:hint="eastAsia"/>
                <w:color w:val="FF0000"/>
                <w:kern w:val="0"/>
                <w:sz w:val="18"/>
                <w:szCs w:val="18"/>
                <w:lang w:bidi="ar"/>
              </w:rPr>
              <w:t>LRP</w:t>
            </w:r>
            <w:r>
              <w:rPr>
                <w:color w:val="FF0000"/>
                <w:kern w:val="0"/>
                <w:sz w:val="18"/>
                <w:szCs w:val="18"/>
                <w:lang w:bidi="ar"/>
              </w:rPr>
              <w:t>3-Mus-2453</w:t>
            </w:r>
          </w:p>
        </w:tc>
        <w:tc>
          <w:tcPr>
            <w:tcW w:w="2898" w:type="dxa"/>
            <w:tcBorders>
              <w:tl2br w:val="nil"/>
              <w:tr2bl w:val="nil"/>
            </w:tcBorders>
            <w:vAlign w:val="center"/>
          </w:tcPr>
          <w:p w14:paraId="5897437F">
            <w:pPr>
              <w:jc w:val="center"/>
              <w:textAlignment w:val="center"/>
              <w:rPr>
                <w:color w:val="FF0000"/>
                <w:sz w:val="18"/>
                <w:szCs w:val="18"/>
              </w:rPr>
            </w:pPr>
            <w:r>
              <w:rPr>
                <w:color w:val="FF0000"/>
                <w:kern w:val="0"/>
                <w:sz w:val="18"/>
                <w:szCs w:val="18"/>
                <w:lang w:bidi="ar"/>
              </w:rPr>
              <w:t>GGACCUCAGUGACAAUACUTT</w:t>
            </w:r>
          </w:p>
        </w:tc>
        <w:tc>
          <w:tcPr>
            <w:tcW w:w="3408" w:type="dxa"/>
            <w:tcBorders>
              <w:tl2br w:val="nil"/>
              <w:tr2bl w:val="nil"/>
            </w:tcBorders>
            <w:vAlign w:val="center"/>
          </w:tcPr>
          <w:p w14:paraId="0B442826">
            <w:pPr>
              <w:jc w:val="center"/>
              <w:textAlignment w:val="center"/>
              <w:rPr>
                <w:color w:val="FF0000"/>
                <w:sz w:val="18"/>
                <w:szCs w:val="18"/>
              </w:rPr>
            </w:pPr>
            <w:r>
              <w:rPr>
                <w:color w:val="FF0000"/>
                <w:kern w:val="0"/>
                <w:sz w:val="18"/>
                <w:szCs w:val="18"/>
                <w:lang w:bidi="ar"/>
              </w:rPr>
              <w:t>AGUAUUGUCACUGAGGUCCTT</w:t>
            </w:r>
          </w:p>
        </w:tc>
      </w:tr>
      <w:tr w14:paraId="0D99819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0" w:type="dxa"/>
            <w:tcBorders>
              <w:tl2br w:val="nil"/>
              <w:tr2bl w:val="nil"/>
            </w:tcBorders>
            <w:vAlign w:val="center"/>
          </w:tcPr>
          <w:p w14:paraId="01AD6632">
            <w:pPr>
              <w:jc w:val="center"/>
              <w:textAlignment w:val="center"/>
              <w:rPr>
                <w:color w:val="FF0000"/>
                <w:kern w:val="0"/>
                <w:sz w:val="18"/>
                <w:szCs w:val="18"/>
                <w:lang w:bidi="ar"/>
              </w:rPr>
            </w:pPr>
            <w:r>
              <w:rPr>
                <w:color w:val="FF0000"/>
                <w:sz w:val="18"/>
                <w:szCs w:val="18"/>
              </w:rPr>
              <w:t>siRNA-4</w:t>
            </w:r>
          </w:p>
        </w:tc>
        <w:tc>
          <w:tcPr>
            <w:tcW w:w="1984" w:type="dxa"/>
            <w:tcBorders>
              <w:tl2br w:val="nil"/>
              <w:tr2bl w:val="nil"/>
            </w:tcBorders>
            <w:vAlign w:val="center"/>
          </w:tcPr>
          <w:p w14:paraId="019748C2">
            <w:pPr>
              <w:jc w:val="center"/>
              <w:textAlignment w:val="center"/>
              <w:rPr>
                <w:color w:val="FF0000"/>
                <w:kern w:val="0"/>
                <w:sz w:val="18"/>
                <w:szCs w:val="18"/>
                <w:lang w:bidi="ar"/>
              </w:rPr>
            </w:pPr>
            <w:r>
              <w:rPr>
                <w:color w:val="FF0000"/>
                <w:kern w:val="0"/>
                <w:sz w:val="18"/>
                <w:szCs w:val="18"/>
                <w:lang w:bidi="ar"/>
              </w:rPr>
              <w:t>N</w:t>
            </w:r>
            <w:r>
              <w:rPr>
                <w:rFonts w:hint="eastAsia"/>
                <w:color w:val="FF0000"/>
                <w:kern w:val="0"/>
                <w:sz w:val="18"/>
                <w:szCs w:val="18"/>
                <w:lang w:bidi="ar"/>
              </w:rPr>
              <w:t>LRP</w:t>
            </w:r>
            <w:r>
              <w:rPr>
                <w:color w:val="FF0000"/>
                <w:kern w:val="0"/>
                <w:sz w:val="18"/>
                <w:szCs w:val="18"/>
                <w:lang w:bidi="ar"/>
              </w:rPr>
              <w:t>3-Mus-2897</w:t>
            </w:r>
          </w:p>
        </w:tc>
        <w:tc>
          <w:tcPr>
            <w:tcW w:w="2898" w:type="dxa"/>
            <w:tcBorders>
              <w:tl2br w:val="nil"/>
              <w:tr2bl w:val="nil"/>
            </w:tcBorders>
            <w:vAlign w:val="center"/>
          </w:tcPr>
          <w:p w14:paraId="63A4767C">
            <w:pPr>
              <w:jc w:val="center"/>
              <w:textAlignment w:val="center"/>
              <w:rPr>
                <w:color w:val="FF0000"/>
                <w:kern w:val="0"/>
                <w:sz w:val="18"/>
                <w:szCs w:val="18"/>
                <w:lang w:bidi="ar"/>
              </w:rPr>
            </w:pPr>
            <w:r>
              <w:rPr>
                <w:color w:val="FF0000"/>
                <w:kern w:val="0"/>
                <w:sz w:val="18"/>
                <w:szCs w:val="18"/>
                <w:lang w:bidi="ar"/>
              </w:rPr>
              <w:t>CGGCCUUACUUCAAUCUGUTT</w:t>
            </w:r>
          </w:p>
        </w:tc>
        <w:tc>
          <w:tcPr>
            <w:tcW w:w="3408" w:type="dxa"/>
            <w:tcBorders>
              <w:tl2br w:val="nil"/>
              <w:tr2bl w:val="nil"/>
            </w:tcBorders>
            <w:vAlign w:val="center"/>
          </w:tcPr>
          <w:p w14:paraId="1821C534">
            <w:pPr>
              <w:jc w:val="center"/>
              <w:textAlignment w:val="center"/>
              <w:rPr>
                <w:color w:val="FF0000"/>
                <w:kern w:val="0"/>
                <w:sz w:val="18"/>
                <w:szCs w:val="18"/>
                <w:lang w:bidi="ar"/>
              </w:rPr>
            </w:pPr>
            <w:r>
              <w:rPr>
                <w:color w:val="FF0000"/>
                <w:kern w:val="0"/>
                <w:sz w:val="18"/>
                <w:szCs w:val="18"/>
                <w:lang w:bidi="ar"/>
              </w:rPr>
              <w:t>ACAGAUUGAAGUAAGGCCGTT</w:t>
            </w:r>
          </w:p>
        </w:tc>
      </w:tr>
    </w:tbl>
    <w:p w14:paraId="453031B6">
      <w:pPr>
        <w:spacing w:line="480" w:lineRule="auto"/>
        <w:rPr>
          <w:b/>
          <w:bCs/>
          <w:color w:val="000000" w:themeColor="text1"/>
          <w14:textFill>
            <w14:solidFill>
              <w14:schemeClr w14:val="tx1"/>
            </w14:solidFill>
          </w14:textFill>
        </w:rPr>
      </w:pPr>
    </w:p>
    <w:p w14:paraId="23D099D4">
      <w:pPr>
        <w:spacing w:line="480" w:lineRule="auto"/>
        <w:rPr>
          <w:color w:val="000000" w:themeColor="text1"/>
          <w:lang w:bidi="ar"/>
          <w14:textFill>
            <w14:solidFill>
              <w14:schemeClr w14:val="tx1"/>
            </w14:solidFill>
          </w14:textFill>
        </w:rPr>
      </w:pPr>
      <w:r>
        <w:rPr>
          <w:color w:val="000000" w:themeColor="text1"/>
          <w:lang w:bidi="ar"/>
          <w14:textFill>
            <w14:solidFill>
              <w14:schemeClr w14:val="tx1"/>
            </w14:solidFill>
          </w14:textFill>
        </w:rPr>
        <w:br w:type="page"/>
      </w:r>
    </w:p>
    <w:p w14:paraId="315799CE">
      <w:pPr>
        <w:spacing w:line="480" w:lineRule="auto"/>
        <w:rPr>
          <w:rFonts w:hint="eastAsia"/>
          <w:b/>
          <w:bCs/>
          <w:color w:val="FF0000"/>
        </w:rPr>
      </w:pPr>
    </w:p>
    <w:p w14:paraId="1476E32B">
      <w:pPr>
        <w:spacing w:line="480" w:lineRule="auto"/>
        <w:rPr>
          <w:b/>
          <w:bCs/>
          <w:color w:val="FF0000"/>
        </w:rPr>
      </w:pPr>
      <w:r>
        <w:rPr>
          <w:rFonts w:hint="eastAsia"/>
          <w:b/>
          <w:bCs/>
          <w:color w:val="FF0000"/>
        </w:rPr>
        <w:t>Table</w:t>
      </w:r>
      <w:r>
        <w:rPr>
          <w:b/>
          <w:bCs/>
          <w:color w:val="FF0000"/>
        </w:rPr>
        <w:t xml:space="preserve"> S</w:t>
      </w:r>
      <w:r>
        <w:rPr>
          <w:rFonts w:hint="eastAsia"/>
          <w:b/>
          <w:bCs/>
          <w:color w:val="FF0000"/>
          <w:lang w:val="en-US" w:eastAsia="zh-CN"/>
        </w:rPr>
        <w:t>2</w:t>
      </w:r>
      <w:r>
        <w:rPr>
          <w:b/>
          <w:bCs/>
          <w:color w:val="FF0000"/>
        </w:rPr>
        <w:t>.</w:t>
      </w:r>
      <w:r>
        <w:rPr>
          <w:color w:val="FF0000"/>
        </w:rPr>
        <w:t xml:space="preserve"> </w:t>
      </w:r>
      <w:r>
        <w:rPr>
          <w:b/>
          <w:bCs/>
          <w:color w:val="FF0000"/>
        </w:rPr>
        <w:t>Comparative Analysis of Mn-ER-Cy and Existing Mn-Based Nanocarriers</w:t>
      </w:r>
    </w:p>
    <w:tbl>
      <w:tblPr>
        <w:tblStyle w:val="9"/>
        <w:tblW w:w="9215" w:type="dxa"/>
        <w:tblInd w:w="-29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70"/>
        <w:gridCol w:w="3969"/>
        <w:gridCol w:w="3676"/>
      </w:tblGrid>
      <w:tr w14:paraId="4D855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70" w:type="dxa"/>
            <w:tcBorders>
              <w:top w:val="single" w:color="auto" w:sz="12" w:space="0"/>
              <w:bottom w:val="single" w:color="auto" w:sz="12" w:space="0"/>
            </w:tcBorders>
          </w:tcPr>
          <w:p w14:paraId="5CC1AC46">
            <w:pPr>
              <w:jc w:val="center"/>
              <w:rPr>
                <w:b/>
                <w:bCs/>
                <w:color w:val="FF0000"/>
                <w:szCs w:val="21"/>
              </w:rPr>
            </w:pPr>
            <w:r>
              <w:rPr>
                <w:b/>
                <w:bCs/>
                <w:color w:val="FF0000"/>
                <w:szCs w:val="21"/>
              </w:rPr>
              <w:t>Feature</w:t>
            </w:r>
          </w:p>
        </w:tc>
        <w:tc>
          <w:tcPr>
            <w:tcW w:w="3969" w:type="dxa"/>
            <w:tcBorders>
              <w:top w:val="single" w:color="auto" w:sz="12" w:space="0"/>
              <w:bottom w:val="single" w:color="auto" w:sz="12" w:space="0"/>
            </w:tcBorders>
          </w:tcPr>
          <w:p w14:paraId="0CFAF0A5">
            <w:pPr>
              <w:jc w:val="center"/>
              <w:rPr>
                <w:b/>
                <w:bCs/>
                <w:color w:val="FF0000"/>
                <w:szCs w:val="21"/>
              </w:rPr>
            </w:pPr>
            <w:r>
              <w:rPr>
                <w:b/>
                <w:bCs/>
                <w:color w:val="FF0000"/>
                <w:szCs w:val="21"/>
              </w:rPr>
              <w:t>Mn-based Nanocarriers</w:t>
            </w:r>
          </w:p>
          <w:p w14:paraId="11EE9D0C">
            <w:pPr>
              <w:jc w:val="center"/>
              <w:rPr>
                <w:b/>
                <w:bCs/>
                <w:color w:val="FF0000"/>
                <w:szCs w:val="21"/>
              </w:rPr>
            </w:pPr>
            <w:r>
              <w:rPr>
                <w:rFonts w:hint="eastAsia"/>
                <w:b/>
                <w:bCs/>
                <w:color w:val="FF0000"/>
                <w:szCs w:val="21"/>
              </w:rPr>
              <w:t>previously reported</w:t>
            </w:r>
            <w:r>
              <w:rPr>
                <w:b/>
                <w:bCs/>
                <w:color w:val="FF0000"/>
                <w:szCs w:val="21"/>
              </w:rPr>
              <w:t xml:space="preserve"> </w:t>
            </w:r>
          </w:p>
        </w:tc>
        <w:tc>
          <w:tcPr>
            <w:tcW w:w="3676" w:type="dxa"/>
            <w:tcBorders>
              <w:top w:val="single" w:color="auto" w:sz="12" w:space="0"/>
              <w:bottom w:val="single" w:color="auto" w:sz="12" w:space="0"/>
            </w:tcBorders>
          </w:tcPr>
          <w:p w14:paraId="0A0B8431">
            <w:pPr>
              <w:jc w:val="center"/>
              <w:rPr>
                <w:b/>
                <w:bCs/>
                <w:color w:val="FF0000"/>
                <w:szCs w:val="21"/>
              </w:rPr>
            </w:pPr>
            <w:r>
              <w:rPr>
                <w:b/>
                <w:bCs/>
                <w:color w:val="FF0000"/>
                <w:szCs w:val="21"/>
              </w:rPr>
              <w:t>Mn-ER-Cy</w:t>
            </w:r>
          </w:p>
          <w:p w14:paraId="76DB136E">
            <w:pPr>
              <w:jc w:val="center"/>
              <w:rPr>
                <w:b/>
                <w:bCs/>
                <w:color w:val="FF0000"/>
                <w:szCs w:val="21"/>
              </w:rPr>
            </w:pPr>
            <w:r>
              <w:rPr>
                <w:rFonts w:hint="eastAsia"/>
                <w:b/>
                <w:bCs/>
                <w:color w:val="FF0000"/>
                <w:szCs w:val="21"/>
              </w:rPr>
              <w:t>in this work</w:t>
            </w:r>
          </w:p>
        </w:tc>
      </w:tr>
      <w:tr w14:paraId="59950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70" w:type="dxa"/>
            <w:tcBorders>
              <w:top w:val="single" w:color="auto" w:sz="12" w:space="0"/>
            </w:tcBorders>
          </w:tcPr>
          <w:p w14:paraId="0F34AB49">
            <w:pPr>
              <w:jc w:val="center"/>
              <w:rPr>
                <w:b/>
                <w:bCs/>
                <w:color w:val="FF0000"/>
                <w:szCs w:val="21"/>
              </w:rPr>
            </w:pPr>
            <w:r>
              <w:rPr>
                <w:b/>
                <w:bCs/>
                <w:color w:val="FF0000"/>
                <w:szCs w:val="21"/>
              </w:rPr>
              <w:t>Targeting Ability</w:t>
            </w:r>
          </w:p>
        </w:tc>
        <w:tc>
          <w:tcPr>
            <w:tcW w:w="3969" w:type="dxa"/>
            <w:tcBorders>
              <w:top w:val="single" w:color="auto" w:sz="12" w:space="0"/>
            </w:tcBorders>
          </w:tcPr>
          <w:p w14:paraId="729BD666">
            <w:pPr>
              <w:rPr>
                <w:bCs/>
                <w:color w:val="FF0000"/>
                <w:szCs w:val="21"/>
              </w:rPr>
            </w:pPr>
            <w:r>
              <w:rPr>
                <w:bCs/>
                <w:color w:val="FF0000"/>
                <w:szCs w:val="21"/>
              </w:rPr>
              <w:t>Passive tumor accumulation via the EPR effect or ligand modification (such as cRGD, mannose).</w:t>
            </w:r>
            <w:r>
              <w:rPr>
                <w:rFonts w:hint="eastAsia"/>
                <w:bCs/>
                <w:color w:val="FF0000"/>
                <w:szCs w:val="21"/>
              </w:rPr>
              <w:t xml:space="preserve"> Ref </w:t>
            </w:r>
            <w:r>
              <w:rPr>
                <w:color w:val="FF0000"/>
                <w:sz w:val="21"/>
                <w:szCs w:val="21"/>
              </w:rPr>
              <w:fldChar w:fldCharType="begin">
                <w:fldData xml:space="preserve">PEVuZE5vdGU+PENpdGU+PEF1dGhvcj5aaGFuZzwvQXV0aG9yPjxZZWFyPjIwMjQ8L1llYXI+PFJl
Y051bT44MTY8L1JlY051bT48RGlzcGxheVRleHQ+WzEsIDJdPC9EaXNwbGF5VGV4dD48cmVjb3Jk
PjxyZWMtbnVtYmVyPjgxNjwvcmVjLW51bWJlcj48Zm9yZWlnbi1rZXlzPjxrZXkgYXBwPSJFTiIg
ZGItaWQ9ImYydzVlMHN4b3ZkZDJqZXRwc3R4MjBzNDV4eng5MnpmMnd6MCIgdGltZXN0YW1wPSIx
NzQ1OTE0MTU3Ij44MTY8L2tleT48L2ZvcmVpZ24ta2V5cz48cmVmLXR5cGUgbmFtZT0iSm91cm5h
bCBBcnRpY2xlIj4xNzwvcmVmLXR5cGU+PGNvbnRyaWJ1dG9ycz48YXV0aG9ycz48YXV0aG9yPlpo
YW5nLCBZLjwvYXV0aG9yPjxhdXRob3I+WXUsIFguPC9hdXRob3I+PGF1dGhvcj5MdW8sIEwuPC9h
dXRob3I+PGF1dGhvcj5YdSwgWS48L2F1dGhvcj48YXV0aG9yPlpoYW5nLCBILjwvYXV0aG9yPjxh
dXRob3I+TWFvLCBaLjwvYXV0aG9yPjxhdXRob3I+WmhhbmcsIFkuPC9hdXRob3I+PGF1dGhvcj5Z
YW5nLCBDLjwvYXV0aG9yPjxhdXRob3I+V2FuZywgTC48L2F1dGhvcj48YXV0aG9yPlpoYW5nLCBQ
LjwvYXV0aG9yPjxhdXRob3I+TGksIFMuPC9hdXRob3I+PGF1dGhvcj5PdSwgTS48L2F1dGhvcj48
YXV0aG9yPkx1bywgUi48L2F1dGhvcj48YXV0aG9yPlpodSwgRC48L2F1dGhvcj48YXV0aG9yPkxp
LCBXLjwvYXV0aG9yPjxhdXRob3I+TWVpLCBMLjwvYXV0aG9yPjwvYXV0aG9ycz48L2NvbnRyaWJ1
dG9ycz48YXV0aC1hZGRyZXNzPlN0YXRlIEtleSBMYWJvcmF0b3J5IG9mIEFkdmFuY2VkIE1lZGlj
YWwgTWF0ZXJpYWxzIGFuZCBEZXZpY2VzLCBUaWFuamluIEtleSBMYWJvcmF0b3J5IG9mIEJpb21l
ZGljYWwgTWF0ZXJpYWxzLCBLZXkgTGFib3JhdG9yeSBvZiBCaW9tYXRlcmlhbHMgYW5kIE5hbm90
ZWNobm9sb2d5IGZvciBDYW5jZXIgSW1tdW5vdGhlcmFweSwgSW5zdGl0dXRlIG9mIEJpb21lZGlj
YWwgRW5naW5lZXJpbmcsIENoaW5lc2UgQWNhZGVteSBvZiBNZWRpY2FsIFNjaWVuY2VzIGFuZCBQ
ZWtpbmcgVW5pb24gTWVkaWNhbCBDb2xsZWdlLCBUaWFuamluIDMwMDE5MiwgUFIgQ2hpbmEuJiN4
RDtEZXBhcnRtZW50IG9mIEdlbmVyYWwgUHJhY3RpY2UsIFhpYW5neWEgSG9zcGl0YWwsIENlbnRy
YWwgU291dGggVW5pdmVyc2l0eSwgQ2hhbmdzaGEsIEh1bmFuIDQxMDAwOCwgUFIgQ2hpbmEuJiN4
RDtTdGF0ZSBLZXkgTGFib3JhdG9yeSBvZiBBZHZhbmNlZCBNZWRpY2FsIE1hdGVyaWFscyBhbmQg
RGV2aWNlcywgVGlhbmppbiBLZXkgTGFib3JhdG9yeSBvZiBSYWRpYXRpb24gTWVkaWNpbmUgYW5k
IE1vbGVjdWxhciBOdWNsZWFyIE1lZGljaW5lLCBJbnN0aXR1dGUgb2YgUmFkaWF0aW9uIE1lZGlj
aW5lLCBDaGluZXNlIEFjYWRlbXkgb2YgTWVkaWNhbCBTY2llbmNlcyAmYW1wOyBQZWtpbmcgVW5p
b24gTWVkaWNhbCBDb2xsZWdlLCBUaWFuamluIDMwMDE5MiwgUFIgQ2hpbmEuJiN4RDtTdGF0ZSBL
ZXkgTGFib3JhdG9yeSBvZiBBZHZhbmNlZCBNZWRpY2FsIE1hdGVyaWFscyBhbmQgRGV2aWNlcywg
VGlhbmppbiBLZXkgTGFib3JhdG9yeSBvZiBCaW9tZWRpY2FsIE1hdGVyaWFscywgS2V5IExhYm9y
YXRvcnkgb2YgQmlvbWF0ZXJpYWxzIGFuZCBOYW5vdGVjaG5vbG9neSBmb3IgQ2FuY2VyIEltbXVu
b3RoZXJhcHksIEluc3RpdHV0ZSBvZiBCaW9tZWRpY2FsIEVuZ2luZWVyaW5nLCBDaGluZXNlIEFj
YWRlbXkgb2YgTWVkaWNhbCBTY2llbmNlcyBhbmQgUGVraW5nIFVuaW9uIE1lZGljYWwgQ29sbGVn
ZSwgVGlhbmppbiAzMDAxOTIsIFBSIENoaW5hLiBFbGVjdHJvbmljIGFkZHJlc3M6IHpodWR1bndh
bkBibWUucHVtYy5lZHUuY24uJiN4RDtTdGF0ZSBLZXkgTGFib3JhdG9yeSBvZiBBZHZhbmNlZCBN
ZWRpY2FsIE1hdGVyaWFscyBhbmQgRGV2aWNlcywgVGlhbmppbiBLZXkgTGFib3JhdG9yeSBvZiBC
aW9tZWRpY2FsIE1hdGVyaWFscywgS2V5IExhYm9yYXRvcnkgb2YgQmlvbWF0ZXJpYWxzIGFuZCBO
YW5vdGVjaG5vbG9neSBmb3IgQ2FuY2VyIEltbXVub3RoZXJhcHksIEluc3RpdHV0ZSBvZiBCaW9t
ZWRpY2FsIEVuZ2luZWVyaW5nLCBDaGluZXNlIEFjYWRlbXkgb2YgTWVkaWNhbCBTY2llbmNlcyBh
bmQgUGVraW5nIFVuaW9uIE1lZGljYWwgQ29sbGVnZSwgVGlhbmppbiAzMDAxOTIsIFBSIENoaW5h
LiBFbGVjdHJvbmljIGFkZHJlc3M6IGxpd2VuQGJtZS5wdW1jLmVkdS5jbi4mI3hEO1N0YXRlIEtl
eSBMYWJvcmF0b3J5IG9mIEFkdmFuY2VkIE1lZGljYWwgTWF0ZXJpYWxzIGFuZCBEZXZpY2VzLCBU
aWFuamluIEtleSBMYWJvcmF0b3J5IG9mIEJpb21lZGljYWwgTWF0ZXJpYWxzLCBLZXkgTGFib3Jh
dG9yeSBvZiBCaW9tYXRlcmlhbHMgYW5kIE5hbm90ZWNobm9sb2d5IGZvciBDYW5jZXIgSW1tdW5v
dGhlcmFweSwgSW5zdGl0dXRlIG9mIEJpb21lZGljYWwgRW5naW5lZXJpbmcsIENoaW5lc2UgQWNh
ZGVteSBvZiBNZWRpY2FsIFNjaWVuY2VzIGFuZCBQZWtpbmcgVW5pb24gTWVkaWNhbCBDb2xsZWdl
LCBUaWFuamluIDMwMDE5MiwgUFIgQ2hpbmEuIEVsZWN0cm9uaWMgYWRkcmVzczogbWVpbGluQGJt
ZS5wdW1jLmVkdS5jbi48L2F1dGgtYWRkcmVzcz48dGl0bGVzPjx0aXRsZT5FbmdpbmVlcmVkIG1h
bmdhbmVzZS1CT0RJUFkgY29vcmRpbmF0ZWQgbmFub2FkanV2YW50cyBmb3IgZW5oYW5jZWQgTklS
LUlJIHBob3RvLW1ldGFsbG9pbW11bm90aGVyYXB5PC90aXRsZT48c2Vjb25kYXJ5LXRpdGxlPkog
Q29udHJvbCBSZWxlYXNlPC9zZWNvbmRhcnktdGl0bGU+PGFsdC10aXRsZT5Kb3VybmFsIG9mIGNv
bnRyb2xsZWQgcmVsZWFzZSA6IG9mZmljaWFsIGpvdXJuYWwgb2YgdGhlIENvbnRyb2xsZWQgUmVs
ZWFzZSBTb2NpZXR5PC9hbHQtdGl0bGU+PC90aXRsZXM+PHBlcmlvZGljYWw+PGZ1bGwtdGl0bGU+
SiBDb250cm9sIFJlbGVhc2U8L2Z1bGwtdGl0bGU+PC9wZXJpb2RpY2FsPjxwYWdlcz4xMTE1LTEx
Mjk8L3BhZ2VzPjx2b2x1bWU+Mzc2PC92b2x1bWU+PGVkaXRpb24+MjAyNC8xMS8xMzwvZWRpdGlv
bj48a2V5d29yZHM+PGtleXdvcmQ+QW5pbWFsczwva2V5d29yZD48a2V5d29yZD4qTWFuZ2FuZXNl
L2NoZW1pc3RyeS9hZG1pbmlzdHJhdGlvbiAmYW1wOyBkb3NhZ2U8L2tleXdvcmQ+PGtleXdvcmQ+
KkltbXVub3RoZXJhcHkvbWV0aG9kczwva2V5d29yZD48a2V5d29yZD4qQm9yb24gQ29tcG91bmRz
L2NoZW1pc3RyeS9hZG1pbmlzdHJhdGlvbiAmYW1wOyBkb3NhZ2U8L2tleXdvcmQ+PGtleXdvcmQ+
KkFkanV2YW50cywgSW1tdW5vbG9naWMvYWRtaW5pc3RyYXRpb24gJmFtcDsgZG9zYWdlL3RoZXJh
cGV1dGljIHVzZTwva2V5d29yZD48a2V5d29yZD4qTWljZSwgSW5icmVkIEM1N0JMPC9rZXl3b3Jk
PjxrZXl3b3JkPkZlbWFsZTwva2V5d29yZD48a2V5d29yZD5JbmZyYXJlZCBSYXlzPC9rZXl3b3Jk
PjxrZXl3b3JkPlBob3RvdGhlcmFweS9tZXRob2RzPC9rZXl3b3JkPjxrZXl3b3JkPkNlbGwgTGlu
ZSwgVHVtb3I8L2tleXdvcmQ+PGtleXdvcmQ+TWljZTwva2V5d29yZD48a2V5d29yZD5UdW1vciBN
aWNyb2Vudmlyb25tZW50L2RydWcgZWZmZWN0czwva2V5d29yZD48a2V5d29yZD5QZXB0aWRlcywg
Q3ljbGljL2NoZW1pc3RyeS9hZG1pbmlzdHJhdGlvbiAmYW1wOyBkb3NhZ2U8L2tleXdvcmQ+PGtl
eXdvcmQ+RGVuZHJpdGljIENlbGxzL2ltbXVub2xvZ3k8L2tleXdvcmQ+PGtleXdvcmQ+TmFub3Bh
cnRpY2xlcy9jaGVtaXN0cnk8L2tleXdvcmQ+PGtleXdvcmQ+TWVtYnJhbmUgUHJvdGVpbnM8L2tl
eXdvcmQ+PGtleXdvcmQ+Qm9kaXB5PC9rZXl3b3JkPjxrZXl3b3JkPkNvb3JkaW5hdGlvbiBzZWxm
LWFzc2VtYmx5PC9rZXl3b3JkPjxrZXl3b3JkPk1hbmdhbmVzZSBpb248L2tleXdvcmQ+PGtleXdv
cmQ+TmFub2FkanV2YW50PC9rZXl3b3JkPjxrZXl3b3JkPlBob3RvLW1ldGFsbG9pbW11bm90aGVy
YXB5PC9rZXl3b3JkPjxrZXl3b3JkPlNUSU5HIHBhdGh3YXk8L2tleXdvcmQ+PGtleXdvcmQ+Y29t
cGV0aW5nIGZpbmFuY2lhbCBpbnRlcmVzdHMgb3IgcGVyc29uYWwgcmVsYXRpb25zaGlwcyB0aGF0
IGNvdWxkIGhhdmUgYXBwZWFyZWQ8L2tleXdvcmQ+PGtleXdvcmQ+dG8gaW5mbHVlbmNlIHRoZSB3
b3JrIHJlcG9ydGVkIGluIHRoaXMgcGFwZXIuPC9rZXl3b3JkPjwva2V5d29yZHM+PGRhdGVzPjx5
ZWFyPjIwMjQ8L3llYXI+PHB1Yi1kYXRlcz48ZGF0ZT5EZWM8L2RhdGU+PC9wdWItZGF0ZXM+PC9k
YXRlcz48aXNibj4wMTY4LTM2NTk8L2lzYm4+PGFjY2Vzc2lvbi1udW0+Mzk1MTAyNTU8L2FjY2Vz
c2lvbi1udW0+PHVybHM+PC91cmxzPjxlbGVjdHJvbmljLXJlc291cmNlLW51bT4xMC4xMDE2L2ou
amNvbnJlbC4yMDI0LjExLjAwNTwvZWxlY3Ryb25pYy1yZXNvdXJjZS1udW0+PHJlbW90ZS1kYXRh
YmFzZS1wcm92aWRlcj5OTE08L3JlbW90ZS1kYXRhYmFzZS1wcm92aWRlcj48bGFuZ3VhZ2U+ZW5n
PC9sYW5ndWFnZT48L3JlY29yZD48L0NpdGU+PENpdGU+PEF1dGhvcj5QZW5nPC9BdXRob3I+PFll
YXI+MjAyNTwvWWVhcj48UmVjTnVtPjgxNzwvUmVjTnVtPjxyZWNvcmQ+PHJlYy1udW1iZXI+ODE3
PC9yZWMtbnVtYmVyPjxmb3JlaWduLWtleXM+PGtleSBhcHA9IkVOIiBkYi1pZD0iZjJ3NWUwc3hv
dmRkMmpldHBzdHgyMHM0NXh6eDkyemYyd3owIiB0aW1lc3RhbXA9IjE3NDU5MTQ1NDUiPjgxNzwv
a2V5PjwvZm9yZWlnbi1rZXlzPjxyZWYtdHlwZSBuYW1lPSJKb3VybmFsIEFydGljbGUiPjE3PC9y
ZWYtdHlwZT48Y29udHJpYnV0b3JzPjxhdXRob3JzPjxhdXRob3I+UGVuZywgRC48L2F1dGhvcj48
YXV0aG9yPkNoZW5nLCBMLjwvYXV0aG9yPjxhdXRob3I+VGFuZywgSi48L2F1dGhvcj48YXV0aG9y
PkxpdSwgWi48L2F1dGhvcj48YXV0aG9yPlh1ZSwgWS48L2F1dGhvcj48YXV0aG9yPkxpdSwgSi48
L2F1dGhvcj48L2F1dGhvcnM+PC9jb250cmlidXRvcnM+PGF1dGgtYWRkcmVzcz5TY2hvb2wgb2Yg
QmlvbWVkaWNhbCBFbmdpbmVlcmluZywgU2hlbnpoZW4gQ2FtcHVzIG9mIFN1biBZYXQtU2VuIFVu
aXZlcnNpdHksIE5vLiA2NiwgR29uZ2NoYW5nIFJvYWQsIEd1YW5nbWluZyBEaXN0cmljdCwgU2hl
bnpoZW4sIEd1YW5nZG9uZyA1MTgxMDcsIENoaW5hLjwvYXV0aC1hZGRyZXNzPjx0aXRsZXM+PHRp
dGxlPkVuZ2luZWVyZWQgTksgRXhvc29tZXMgQ2FwdHVyZWQgQW50aWdlbnMgSW4gU2l0dSBmb3Ig
RW5oYW5jZWQgVHVtb3IgSW1tdW5vdGhlcmFweTwvdGl0bGU+PHNlY29uZGFyeS10aXRsZT5BQ1Mg
QXBwbCBNYXRlciBJbnRlcmZhY2VzPC9zZWNvbmRhcnktdGl0bGU+PGFsdC10aXRsZT5BQ1MgYXBw
bGllZCBtYXRlcmlhbHMgJmFtcDsgaW50ZXJmYWNlczwvYWx0LXRpdGxlPjwvdGl0bGVzPjxwZXJp
b2RpY2FsPjxmdWxsLXRpdGxlPkFDUyBBcHBsIE1hdGVyIEludGVyZmFjZXM8L2Z1bGwtdGl0bGU+
PGFiYnItMT5BQ1MgYXBwbGllZCBtYXRlcmlhbHMgJmFtcDsgaW50ZXJmYWNlczwvYWJici0xPjwv
cGVyaW9kaWNhbD48YWx0LXBlcmlvZGljYWw+PGZ1bGwtdGl0bGU+QUNTIEFwcGwgTWF0ZXIgSW50
ZXJmYWNlczwvZnVsbC10aXRsZT48YWJici0xPkFDUyBhcHBsaWVkIG1hdGVyaWFscyAmYW1wOyBp
bnRlcmZhY2VzPC9hYmJyLTE+PC9hbHQtcGVyaW9kaWNhbD48cGFnZXM+MjM3NDAtMjM3NTI8L3Bh
Z2VzPjx2b2x1bWU+MTc8L3ZvbHVtZT48bnVtYmVyPjE2PC9udW1iZXI+PGVkaXRpb24+MjAyNS8w
NC8wOTwvZWRpdGlvbj48a2V5d29yZHM+PGtleXdvcmQ+KkV4b3NvbWVzL2NoZW1pc3RyeS9pbW11
bm9sb2d5L21ldGFib2xpc208L2tleXdvcmQ+PGtleXdvcmQ+KktpbGxlciBDZWxscywgTmF0dXJh
bC9pbW11bm9sb2d5PC9rZXl3b3JkPjxrZXl3b3JkPipJbW11bm90aGVyYXB5PC9rZXl3b3JkPjxr
ZXl3b3JkPkFuaW1hbHM8L2tleXdvcmQ+PGtleXdvcmQ+TWljZTwva2V5d29yZD48a2V5d29yZD4q
QW50aWdlbnMsIE5lb3BsYXNtL2ltbXVub2xvZ3k8L2tleXdvcmQ+PGtleXdvcmQ+SHVtYW5zPC9r
ZXl3b3JkPjxrZXl3b3JkPkNlbGwgTGluZSwgVHVtb3I8L2tleXdvcmQ+PGtleXdvcmQ+Kk5lb3Bs
YXNtcy90aGVyYXB5L2ltbXVub2xvZ3k8L2tleXdvcmQ+PGtleXdvcmQ+RGVuZHJpdGljIENlbGxz
L2ltbXVub2xvZ3k8L2tleXdvcmQ+PGtleXdvcmQ+VHVtb3IgTWljcm9lbnZpcm9ubWVudC9kcnVn
IGVmZmVjdHM8L2tleXdvcmQ+PGtleXdvcmQ+KkFudGluZW9wbGFzdGljIEFnZW50cy9jaGVtaXN0
cnkvcGhhcm1hY29sb2d5L3RoZXJhcGV1dGljIHVzZTwva2V5d29yZD48a2V5d29yZD5NaWNlLCBJ
bmJyZWQgQzU3Qkw8L2tleXdvcmQ+PGtleXdvcmQ+VC1MeW1waG9jeXRlcywgQ3l0b3RveGljL2lt
bXVub2xvZ3k8L2tleXdvcmQ+PGtleXdvcmQ+SWNkPC9rZXl3b3JkPjxrZXl3b3JkPk5LIGNlbGxz
PC9rZXl3b3JkPjxrZXl3b3JkPlNUSU5HIHBhdGh3YXk8L2tleXdvcmQ+PGtleXdvcmQ+YWRhcHRp
dmUgaW1tdW5pdHk8L2tleXdvcmQ+PGtleXdvcmQ+ZXhvc29tZXM8L2tleXdvcmQ+PGtleXdvcmQ+
aW5uYXRlIGltbXVuaXR5PC9rZXl3b3JkPjwva2V5d29yZHM+PGRhdGVzPjx5ZWFyPjIwMjU8L3ll
YXI+PHB1Yi1kYXRlcz48ZGF0ZT5BcHIgMjM8L2RhdGU+PC9wdWItZGF0ZXM+PC9kYXRlcz48aXNi
bj4xOTQ0LTgyNDQ8L2lzYm4+PGFjY2Vzc2lvbi1udW0+NDAyMDIzODg8L2FjY2Vzc2lvbi1udW0+
PHVybHM+PC91cmxzPjxlbGVjdHJvbmljLXJlc291cmNlLW51bT4xMC4xMDIxL2Fjc2FtaS41YzAz
MTk1PC9lbGVjdHJvbmljLXJlc291cmNlLW51bT48cmVtb3RlLWRhdGFiYXNlLXByb3ZpZGVyPk5M
TTwvcmVtb3RlLWRhdGFiYXNlLXByb3ZpZGVyPjxsYW5ndWFnZT5lbmc8L2xhbmd1YWdlPjwvcmVj
b3JkPjwvQ2l0ZT48L0VuZE5vdGU+AGAA
</w:fldData>
              </w:fldChar>
            </w:r>
            <w:r>
              <w:rPr>
                <w:color w:val="FF0000"/>
                <w:sz w:val="21"/>
                <w:szCs w:val="21"/>
              </w:rPr>
              <w:instrText xml:space="preserve"> ADDIN EN.CITE </w:instrText>
            </w:r>
            <w:r>
              <w:rPr>
                <w:color w:val="FF0000"/>
                <w:sz w:val="21"/>
                <w:szCs w:val="21"/>
              </w:rPr>
              <w:fldChar w:fldCharType="begin">
                <w:fldData xml:space="preserve">PEVuZE5vdGU+PENpdGU+PEF1dGhvcj5aaGFuZzwvQXV0aG9yPjxZZWFyPjIwMjQ8L1llYXI+PFJl
Y051bT44MTY8L1JlY051bT48RGlzcGxheVRleHQ+WzEsIDJdPC9EaXNwbGF5VGV4dD48cmVjb3Jk
PjxyZWMtbnVtYmVyPjgxNjwvcmVjLW51bWJlcj48Zm9yZWlnbi1rZXlzPjxrZXkgYXBwPSJFTiIg
ZGItaWQ9ImYydzVlMHN4b3ZkZDJqZXRwc3R4MjBzNDV4eng5MnpmMnd6MCIgdGltZXN0YW1wPSIx
NzQ1OTE0MTU3Ij44MTY8L2tleT48L2ZvcmVpZ24ta2V5cz48cmVmLXR5cGUgbmFtZT0iSm91cm5h
bCBBcnRpY2xlIj4xNzwvcmVmLXR5cGU+PGNvbnRyaWJ1dG9ycz48YXV0aG9ycz48YXV0aG9yPlpo
YW5nLCBZLjwvYXV0aG9yPjxhdXRob3I+WXUsIFguPC9hdXRob3I+PGF1dGhvcj5MdW8sIEwuPC9h
dXRob3I+PGF1dGhvcj5YdSwgWS48L2F1dGhvcj48YXV0aG9yPlpoYW5nLCBILjwvYXV0aG9yPjxh
dXRob3I+TWFvLCBaLjwvYXV0aG9yPjxhdXRob3I+WmhhbmcsIFkuPC9hdXRob3I+PGF1dGhvcj5Z
YW5nLCBDLjwvYXV0aG9yPjxhdXRob3I+V2FuZywgTC48L2F1dGhvcj48YXV0aG9yPlpoYW5nLCBQ
LjwvYXV0aG9yPjxhdXRob3I+TGksIFMuPC9hdXRob3I+PGF1dGhvcj5PdSwgTS48L2F1dGhvcj48
YXV0aG9yPkx1bywgUi48L2F1dGhvcj48YXV0aG9yPlpodSwgRC48L2F1dGhvcj48YXV0aG9yPkxp
LCBXLjwvYXV0aG9yPjxhdXRob3I+TWVpLCBMLjwvYXV0aG9yPjwvYXV0aG9ycz48L2NvbnRyaWJ1
dG9ycz48YXV0aC1hZGRyZXNzPlN0YXRlIEtleSBMYWJvcmF0b3J5IG9mIEFkdmFuY2VkIE1lZGlj
YWwgTWF0ZXJpYWxzIGFuZCBEZXZpY2VzLCBUaWFuamluIEtleSBMYWJvcmF0b3J5IG9mIEJpb21l
ZGljYWwgTWF0ZXJpYWxzLCBLZXkgTGFib3JhdG9yeSBvZiBCaW9tYXRlcmlhbHMgYW5kIE5hbm90
ZWNobm9sb2d5IGZvciBDYW5jZXIgSW1tdW5vdGhlcmFweSwgSW5zdGl0dXRlIG9mIEJpb21lZGlj
YWwgRW5naW5lZXJpbmcsIENoaW5lc2UgQWNhZGVteSBvZiBNZWRpY2FsIFNjaWVuY2VzIGFuZCBQ
ZWtpbmcgVW5pb24gTWVkaWNhbCBDb2xsZWdlLCBUaWFuamluIDMwMDE5MiwgUFIgQ2hpbmEuJiN4
RDtEZXBhcnRtZW50IG9mIEdlbmVyYWwgUHJhY3RpY2UsIFhpYW5neWEgSG9zcGl0YWwsIENlbnRy
YWwgU291dGggVW5pdmVyc2l0eSwgQ2hhbmdzaGEsIEh1bmFuIDQxMDAwOCwgUFIgQ2hpbmEuJiN4
RDtTdGF0ZSBLZXkgTGFib3JhdG9yeSBvZiBBZHZhbmNlZCBNZWRpY2FsIE1hdGVyaWFscyBhbmQg
RGV2aWNlcywgVGlhbmppbiBLZXkgTGFib3JhdG9yeSBvZiBSYWRpYXRpb24gTWVkaWNpbmUgYW5k
IE1vbGVjdWxhciBOdWNsZWFyIE1lZGljaW5lLCBJbnN0aXR1dGUgb2YgUmFkaWF0aW9uIE1lZGlj
aW5lLCBDaGluZXNlIEFjYWRlbXkgb2YgTWVkaWNhbCBTY2llbmNlcyAmYW1wOyBQZWtpbmcgVW5p
b24gTWVkaWNhbCBDb2xsZWdlLCBUaWFuamluIDMwMDE5MiwgUFIgQ2hpbmEuJiN4RDtTdGF0ZSBL
ZXkgTGFib3JhdG9yeSBvZiBBZHZhbmNlZCBNZWRpY2FsIE1hdGVyaWFscyBhbmQgRGV2aWNlcywg
VGlhbmppbiBLZXkgTGFib3JhdG9yeSBvZiBCaW9tZWRpY2FsIE1hdGVyaWFscywgS2V5IExhYm9y
YXRvcnkgb2YgQmlvbWF0ZXJpYWxzIGFuZCBOYW5vdGVjaG5vbG9neSBmb3IgQ2FuY2VyIEltbXVu
b3RoZXJhcHksIEluc3RpdHV0ZSBvZiBCaW9tZWRpY2FsIEVuZ2luZWVyaW5nLCBDaGluZXNlIEFj
YWRlbXkgb2YgTWVkaWNhbCBTY2llbmNlcyBhbmQgUGVraW5nIFVuaW9uIE1lZGljYWwgQ29sbGVn
ZSwgVGlhbmppbiAzMDAxOTIsIFBSIENoaW5hLiBFbGVjdHJvbmljIGFkZHJlc3M6IHpodWR1bndh
bkBibWUucHVtYy5lZHUuY24uJiN4RDtTdGF0ZSBLZXkgTGFib3JhdG9yeSBvZiBBZHZhbmNlZCBN
ZWRpY2FsIE1hdGVyaWFscyBhbmQgRGV2aWNlcywgVGlhbmppbiBLZXkgTGFib3JhdG9yeSBvZiBC
aW9tZWRpY2FsIE1hdGVyaWFscywgS2V5IExhYm9yYXRvcnkgb2YgQmlvbWF0ZXJpYWxzIGFuZCBO
YW5vdGVjaG5vbG9neSBmb3IgQ2FuY2VyIEltbXVub3RoZXJhcHksIEluc3RpdHV0ZSBvZiBCaW9t
ZWRpY2FsIEVuZ2luZWVyaW5nLCBDaGluZXNlIEFjYWRlbXkgb2YgTWVkaWNhbCBTY2llbmNlcyBh
bmQgUGVraW5nIFVuaW9uIE1lZGljYWwgQ29sbGVnZSwgVGlhbmppbiAzMDAxOTIsIFBSIENoaW5h
LiBFbGVjdHJvbmljIGFkZHJlc3M6IGxpd2VuQGJtZS5wdW1jLmVkdS5jbi4mI3hEO1N0YXRlIEtl
eSBMYWJvcmF0b3J5IG9mIEFkdmFuY2VkIE1lZGljYWwgTWF0ZXJpYWxzIGFuZCBEZXZpY2VzLCBU
aWFuamluIEtleSBMYWJvcmF0b3J5IG9mIEJpb21lZGljYWwgTWF0ZXJpYWxzLCBLZXkgTGFib3Jh
dG9yeSBvZiBCaW9tYXRlcmlhbHMgYW5kIE5hbm90ZWNobm9sb2d5IGZvciBDYW5jZXIgSW1tdW5v
dGhlcmFweSwgSW5zdGl0dXRlIG9mIEJpb21lZGljYWwgRW5naW5lZXJpbmcsIENoaW5lc2UgQWNh
ZGVteSBvZiBNZWRpY2FsIFNjaWVuY2VzIGFuZCBQZWtpbmcgVW5pb24gTWVkaWNhbCBDb2xsZWdl
LCBUaWFuamluIDMwMDE5MiwgUFIgQ2hpbmEuIEVsZWN0cm9uaWMgYWRkcmVzczogbWVpbGluQGJt
ZS5wdW1jLmVkdS5jbi48L2F1dGgtYWRkcmVzcz48dGl0bGVzPjx0aXRsZT5FbmdpbmVlcmVkIG1h
bmdhbmVzZS1CT0RJUFkgY29vcmRpbmF0ZWQgbmFub2FkanV2YW50cyBmb3IgZW5oYW5jZWQgTklS
LUlJIHBob3RvLW1ldGFsbG9pbW11bm90aGVyYXB5PC90aXRsZT48c2Vjb25kYXJ5LXRpdGxlPkog
Q29udHJvbCBSZWxlYXNlPC9zZWNvbmRhcnktdGl0bGU+PGFsdC10aXRsZT5Kb3VybmFsIG9mIGNv
bnRyb2xsZWQgcmVsZWFzZSA6IG9mZmljaWFsIGpvdXJuYWwgb2YgdGhlIENvbnRyb2xsZWQgUmVs
ZWFzZSBTb2NpZXR5PC9hbHQtdGl0bGU+PC90aXRsZXM+PHBlcmlvZGljYWw+PGZ1bGwtdGl0bGU+
SiBDb250cm9sIFJlbGVhc2U8L2Z1bGwtdGl0bGU+PC9wZXJpb2RpY2FsPjxwYWdlcz4xMTE1LTEx
Mjk8L3BhZ2VzPjx2b2x1bWU+Mzc2PC92b2x1bWU+PGVkaXRpb24+MjAyNC8xMS8xMzwvZWRpdGlv
bj48a2V5d29yZHM+PGtleXdvcmQ+QW5pbWFsczwva2V5d29yZD48a2V5d29yZD4qTWFuZ2FuZXNl
L2NoZW1pc3RyeS9hZG1pbmlzdHJhdGlvbiAmYW1wOyBkb3NhZ2U8L2tleXdvcmQ+PGtleXdvcmQ+
KkltbXVub3RoZXJhcHkvbWV0aG9kczwva2V5d29yZD48a2V5d29yZD4qQm9yb24gQ29tcG91bmRz
L2NoZW1pc3RyeS9hZG1pbmlzdHJhdGlvbiAmYW1wOyBkb3NhZ2U8L2tleXdvcmQ+PGtleXdvcmQ+
KkFkanV2YW50cywgSW1tdW5vbG9naWMvYWRtaW5pc3RyYXRpb24gJmFtcDsgZG9zYWdlL3RoZXJh
cGV1dGljIHVzZTwva2V5d29yZD48a2V5d29yZD4qTWljZSwgSW5icmVkIEM1N0JMPC9rZXl3b3Jk
PjxrZXl3b3JkPkZlbWFsZTwva2V5d29yZD48a2V5d29yZD5JbmZyYXJlZCBSYXlzPC9rZXl3b3Jk
PjxrZXl3b3JkPlBob3RvdGhlcmFweS9tZXRob2RzPC9rZXl3b3JkPjxrZXl3b3JkPkNlbGwgTGlu
ZSwgVHVtb3I8L2tleXdvcmQ+PGtleXdvcmQ+TWljZTwva2V5d29yZD48a2V5d29yZD5UdW1vciBN
aWNyb2Vudmlyb25tZW50L2RydWcgZWZmZWN0czwva2V5d29yZD48a2V5d29yZD5QZXB0aWRlcywg
Q3ljbGljL2NoZW1pc3RyeS9hZG1pbmlzdHJhdGlvbiAmYW1wOyBkb3NhZ2U8L2tleXdvcmQ+PGtl
eXdvcmQ+RGVuZHJpdGljIENlbGxzL2ltbXVub2xvZ3k8L2tleXdvcmQ+PGtleXdvcmQ+TmFub3Bh
cnRpY2xlcy9jaGVtaXN0cnk8L2tleXdvcmQ+PGtleXdvcmQ+TWVtYnJhbmUgUHJvdGVpbnM8L2tl
eXdvcmQ+PGtleXdvcmQ+Qm9kaXB5PC9rZXl3b3JkPjxrZXl3b3JkPkNvb3JkaW5hdGlvbiBzZWxm
LWFzc2VtYmx5PC9rZXl3b3JkPjxrZXl3b3JkPk1hbmdhbmVzZSBpb248L2tleXdvcmQ+PGtleXdv
cmQ+TmFub2FkanV2YW50PC9rZXl3b3JkPjxrZXl3b3JkPlBob3RvLW1ldGFsbG9pbW11bm90aGVy
YXB5PC9rZXl3b3JkPjxrZXl3b3JkPlNUSU5HIHBhdGh3YXk8L2tleXdvcmQ+PGtleXdvcmQ+Y29t
cGV0aW5nIGZpbmFuY2lhbCBpbnRlcmVzdHMgb3IgcGVyc29uYWwgcmVsYXRpb25zaGlwcyB0aGF0
IGNvdWxkIGhhdmUgYXBwZWFyZWQ8L2tleXdvcmQ+PGtleXdvcmQ+dG8gaW5mbHVlbmNlIHRoZSB3
b3JrIHJlcG9ydGVkIGluIHRoaXMgcGFwZXIuPC9rZXl3b3JkPjwva2V5d29yZHM+PGRhdGVzPjx5
ZWFyPjIwMjQ8L3llYXI+PHB1Yi1kYXRlcz48ZGF0ZT5EZWM8L2RhdGU+PC9wdWItZGF0ZXM+PC9k
YXRlcz48aXNibj4wMTY4LTM2NTk8L2lzYm4+PGFjY2Vzc2lvbi1udW0+Mzk1MTAyNTU8L2FjY2Vz
c2lvbi1udW0+PHVybHM+PC91cmxzPjxlbGVjdHJvbmljLXJlc291cmNlLW51bT4xMC4xMDE2L2ou
amNvbnJlbC4yMDI0LjExLjAwNTwvZWxlY3Ryb25pYy1yZXNvdXJjZS1udW0+PHJlbW90ZS1kYXRh
YmFzZS1wcm92aWRlcj5OTE08L3JlbW90ZS1kYXRhYmFzZS1wcm92aWRlcj48bGFuZ3VhZ2U+ZW5n
PC9sYW5ndWFnZT48L3JlY29yZD48L0NpdGU+PENpdGU+PEF1dGhvcj5QZW5nPC9BdXRob3I+PFll
YXI+MjAyNTwvWWVhcj48UmVjTnVtPjgxNzwvUmVjTnVtPjxyZWNvcmQ+PHJlYy1udW1iZXI+ODE3
PC9yZWMtbnVtYmVyPjxmb3JlaWduLWtleXM+PGtleSBhcHA9IkVOIiBkYi1pZD0iZjJ3NWUwc3hv
dmRkMmpldHBzdHgyMHM0NXh6eDkyemYyd3owIiB0aW1lc3RhbXA9IjE3NDU5MTQ1NDUiPjgxNzwv
a2V5PjwvZm9yZWlnbi1rZXlzPjxyZWYtdHlwZSBuYW1lPSJKb3VybmFsIEFydGljbGUiPjE3PC9y
ZWYtdHlwZT48Y29udHJpYnV0b3JzPjxhdXRob3JzPjxhdXRob3I+UGVuZywgRC48L2F1dGhvcj48
YXV0aG9yPkNoZW5nLCBMLjwvYXV0aG9yPjxhdXRob3I+VGFuZywgSi48L2F1dGhvcj48YXV0aG9y
PkxpdSwgWi48L2F1dGhvcj48YXV0aG9yPlh1ZSwgWS48L2F1dGhvcj48YXV0aG9yPkxpdSwgSi48
L2F1dGhvcj48L2F1dGhvcnM+PC9jb250cmlidXRvcnM+PGF1dGgtYWRkcmVzcz5TY2hvb2wgb2Yg
QmlvbWVkaWNhbCBFbmdpbmVlcmluZywgU2hlbnpoZW4gQ2FtcHVzIG9mIFN1biBZYXQtU2VuIFVu
aXZlcnNpdHksIE5vLiA2NiwgR29uZ2NoYW5nIFJvYWQsIEd1YW5nbWluZyBEaXN0cmljdCwgU2hl
bnpoZW4sIEd1YW5nZG9uZyA1MTgxMDcsIENoaW5hLjwvYXV0aC1hZGRyZXNzPjx0aXRsZXM+PHRp
dGxlPkVuZ2luZWVyZWQgTksgRXhvc29tZXMgQ2FwdHVyZWQgQW50aWdlbnMgSW4gU2l0dSBmb3Ig
RW5oYW5jZWQgVHVtb3IgSW1tdW5vdGhlcmFweTwvdGl0bGU+PHNlY29uZGFyeS10aXRsZT5BQ1Mg
QXBwbCBNYXRlciBJbnRlcmZhY2VzPC9zZWNvbmRhcnktdGl0bGU+PGFsdC10aXRsZT5BQ1MgYXBw
bGllZCBtYXRlcmlhbHMgJmFtcDsgaW50ZXJmYWNlczwvYWx0LXRpdGxlPjwvdGl0bGVzPjxwZXJp
b2RpY2FsPjxmdWxsLXRpdGxlPkFDUyBBcHBsIE1hdGVyIEludGVyZmFjZXM8L2Z1bGwtdGl0bGU+
PGFiYnItMT5BQ1MgYXBwbGllZCBtYXRlcmlhbHMgJmFtcDsgaW50ZXJmYWNlczwvYWJici0xPjwv
cGVyaW9kaWNhbD48YWx0LXBlcmlvZGljYWw+PGZ1bGwtdGl0bGU+QUNTIEFwcGwgTWF0ZXIgSW50
ZXJmYWNlczwvZnVsbC10aXRsZT48YWJici0xPkFDUyBhcHBsaWVkIG1hdGVyaWFscyAmYW1wOyBp
bnRlcmZhY2VzPC9hYmJyLTE+PC9hbHQtcGVyaW9kaWNhbD48cGFnZXM+MjM3NDAtMjM3NTI8L3Bh
Z2VzPjx2b2x1bWU+MTc8L3ZvbHVtZT48bnVtYmVyPjE2PC9udW1iZXI+PGVkaXRpb24+MjAyNS8w
NC8wOTwvZWRpdGlvbj48a2V5d29yZHM+PGtleXdvcmQ+KkV4b3NvbWVzL2NoZW1pc3RyeS9pbW11
bm9sb2d5L21ldGFib2xpc208L2tleXdvcmQ+PGtleXdvcmQ+KktpbGxlciBDZWxscywgTmF0dXJh
bC9pbW11bm9sb2d5PC9rZXl3b3JkPjxrZXl3b3JkPipJbW11bm90aGVyYXB5PC9rZXl3b3JkPjxr
ZXl3b3JkPkFuaW1hbHM8L2tleXdvcmQ+PGtleXdvcmQ+TWljZTwva2V5d29yZD48a2V5d29yZD4q
QW50aWdlbnMsIE5lb3BsYXNtL2ltbXVub2xvZ3k8L2tleXdvcmQ+PGtleXdvcmQ+SHVtYW5zPC9r
ZXl3b3JkPjxrZXl3b3JkPkNlbGwgTGluZSwgVHVtb3I8L2tleXdvcmQ+PGtleXdvcmQ+Kk5lb3Bs
YXNtcy90aGVyYXB5L2ltbXVub2xvZ3k8L2tleXdvcmQ+PGtleXdvcmQ+RGVuZHJpdGljIENlbGxz
L2ltbXVub2xvZ3k8L2tleXdvcmQ+PGtleXdvcmQ+VHVtb3IgTWljcm9lbnZpcm9ubWVudC9kcnVn
IGVmZmVjdHM8L2tleXdvcmQ+PGtleXdvcmQ+KkFudGluZW9wbGFzdGljIEFnZW50cy9jaGVtaXN0
cnkvcGhhcm1hY29sb2d5L3RoZXJhcGV1dGljIHVzZTwva2V5d29yZD48a2V5d29yZD5NaWNlLCBJ
bmJyZWQgQzU3Qkw8L2tleXdvcmQ+PGtleXdvcmQ+VC1MeW1waG9jeXRlcywgQ3l0b3RveGljL2lt
bXVub2xvZ3k8L2tleXdvcmQ+PGtleXdvcmQ+SWNkPC9rZXl3b3JkPjxrZXl3b3JkPk5LIGNlbGxz
PC9rZXl3b3JkPjxrZXl3b3JkPlNUSU5HIHBhdGh3YXk8L2tleXdvcmQ+PGtleXdvcmQ+YWRhcHRp
dmUgaW1tdW5pdHk8L2tleXdvcmQ+PGtleXdvcmQ+ZXhvc29tZXM8L2tleXdvcmQ+PGtleXdvcmQ+
aW5uYXRlIGltbXVuaXR5PC9rZXl3b3JkPjwva2V5d29yZHM+PGRhdGVzPjx5ZWFyPjIwMjU8L3ll
YXI+PHB1Yi1kYXRlcz48ZGF0ZT5BcHIgMjM8L2RhdGU+PC9wdWItZGF0ZXM+PC9kYXRlcz48aXNi
bj4xOTQ0LTgyNDQ8L2lzYm4+PGFjY2Vzc2lvbi1udW0+NDAyMDIzODg8L2FjY2Vzc2lvbi1udW0+
PHVybHM+PC91cmxzPjxlbGVjdHJvbmljLXJlc291cmNlLW51bT4xMC4xMDIxL2Fjc2FtaS41YzAz
MTk1PC9lbGVjdHJvbmljLXJlc291cmNlLW51bT48cmVtb3RlLWRhdGFiYXNlLXByb3ZpZGVyPk5M
TTwvcmVtb3RlLWRhdGFiYXNlLXByb3ZpZGVyPjxsYW5ndWFnZT5lbmc8L2xhbmd1YWdlPjwvcmVj
b3JkPjwvQ2l0ZT48L0VuZE5vdGU+AGAA
</w:fldData>
              </w:fldChar>
            </w:r>
            <w:r>
              <w:rPr>
                <w:color w:val="FF0000"/>
                <w:sz w:val="21"/>
                <w:szCs w:val="21"/>
              </w:rPr>
              <w:instrText xml:space="preserve"> ADDIN EN.CITE.DATA </w:instrText>
            </w:r>
            <w:r>
              <w:rPr>
                <w:color w:val="FF0000"/>
                <w:sz w:val="21"/>
                <w:szCs w:val="21"/>
              </w:rPr>
              <w:fldChar w:fldCharType="end"/>
            </w:r>
            <w:r>
              <w:rPr>
                <w:color w:val="FF0000"/>
                <w:sz w:val="21"/>
                <w:szCs w:val="21"/>
              </w:rPr>
              <w:fldChar w:fldCharType="separate"/>
            </w:r>
            <w:r>
              <w:rPr>
                <w:color w:val="FF0000"/>
                <w:sz w:val="21"/>
                <w:szCs w:val="21"/>
              </w:rPr>
              <w:t>[1, 2]</w:t>
            </w:r>
            <w:r>
              <w:rPr>
                <w:color w:val="FF0000"/>
                <w:sz w:val="21"/>
                <w:szCs w:val="21"/>
              </w:rPr>
              <w:fldChar w:fldCharType="end"/>
            </w:r>
          </w:p>
        </w:tc>
        <w:tc>
          <w:tcPr>
            <w:tcW w:w="3676" w:type="dxa"/>
            <w:tcBorders>
              <w:top w:val="single" w:color="auto" w:sz="12" w:space="0"/>
            </w:tcBorders>
          </w:tcPr>
          <w:p w14:paraId="5F7D00D0">
            <w:pPr>
              <w:rPr>
                <w:bCs/>
                <w:color w:val="FF0000"/>
                <w:szCs w:val="21"/>
              </w:rPr>
            </w:pPr>
            <w:r>
              <w:rPr>
                <w:bCs/>
                <w:color w:val="FF0000"/>
                <w:szCs w:val="21"/>
              </w:rPr>
              <w:t>Active targeting to tumor-cell ER organelles for precise therapy</w:t>
            </w:r>
          </w:p>
        </w:tc>
      </w:tr>
      <w:tr w14:paraId="7A928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70" w:type="dxa"/>
          </w:tcPr>
          <w:p w14:paraId="45F446F8">
            <w:pPr>
              <w:jc w:val="center"/>
              <w:rPr>
                <w:b/>
                <w:bCs/>
                <w:color w:val="FF0000"/>
                <w:szCs w:val="21"/>
              </w:rPr>
            </w:pPr>
            <w:r>
              <w:rPr>
                <w:b/>
                <w:bCs/>
                <w:color w:val="FF0000"/>
                <w:szCs w:val="21"/>
              </w:rPr>
              <w:t>Subcellular Targeting</w:t>
            </w:r>
          </w:p>
        </w:tc>
        <w:tc>
          <w:tcPr>
            <w:tcW w:w="3969" w:type="dxa"/>
          </w:tcPr>
          <w:p w14:paraId="47536858">
            <w:pPr>
              <w:rPr>
                <w:color w:val="FF0000"/>
                <w:sz w:val="21"/>
                <w:szCs w:val="21"/>
              </w:rPr>
            </w:pPr>
            <w:r>
              <w:rPr>
                <w:bCs/>
                <w:color w:val="FF0000"/>
                <w:szCs w:val="21"/>
              </w:rPr>
              <w:t>Limited to general cellular uptake, with low subcellular specificity, A few studies target mitochondria or lysosomes.</w:t>
            </w:r>
            <w:r>
              <w:rPr>
                <w:rFonts w:hint="eastAsia"/>
                <w:bCs/>
                <w:color w:val="FF0000"/>
                <w:szCs w:val="21"/>
              </w:rPr>
              <w:t xml:space="preserve">Ref </w:t>
            </w:r>
            <w:r>
              <w:rPr>
                <w:color w:val="FF0000"/>
                <w:sz w:val="21"/>
                <w:szCs w:val="21"/>
              </w:rPr>
              <w:fldChar w:fldCharType="begin">
                <w:fldData xml:space="preserve">PEVuZE5vdGU+PENpdGU+PEF1dGhvcj5MaTwvQXV0aG9yPjxZZWFyPjIwMjI8L1llYXI+PFJlY051
bT44MTg8L1JlY051bT48RGlzcGxheVRleHQ+WzMsIDRdPC9EaXNwbGF5VGV4dD48cmVjb3JkPjxy
ZWMtbnVtYmVyPjgxODwvcmVjLW51bWJlcj48Zm9yZWlnbi1rZXlzPjxrZXkgYXBwPSJFTiIgZGIt
aWQ9ImYydzVlMHN4b3ZkZDJqZXRwc3R4MjBzNDV4eng5MnpmMnd6MCIgdGltZXN0YW1wPSIxNzQ1
OTE0NjczIj44MTg8L2tleT48L2ZvcmVpZ24ta2V5cz48cmVmLXR5cGUgbmFtZT0iSm91cm5hbCBB
cnRpY2xlIj4xNzwvcmVmLXR5cGU+PGNvbnRyaWJ1dG9ycz48YXV0aG9ycz48YXV0aG9yPkxpLCBT
LjwvYXV0aG9yPjxhdXRob3I+Q2hlbiwgWS48L2F1dGhvcj48YXV0aG9yPkhlLCBQLjwvYXV0aG9y
PjxhdXRob3I+TWEsIFkuPC9hdXRob3I+PGF1dGhvcj5DYWksIFkuPC9hdXRob3I+PGF1dGhvcj5I
b3UsIFguPC9hdXRob3I+PGF1dGhvcj5aaGFuZywgRy48L2F1dGhvcj48YXV0aG9yPlpoYW5nLCBY
LjwvYXV0aG9yPjxhdXRob3I+V2FuZywgWi48L2F1dGhvcj48L2F1dGhvcnM+PC9jb250cmlidXRv
cnM+PGF1dGgtYWRkcmVzcz5TdGF0ZSBLZXkgTGFib3JhdG9yeSBvZiBDaGVtaWNhbCBSZXNvdXJj
ZSBFbmdpbmVlcmluZywgQmVpamluZyBBZHZhbmNlZCBJbm5vdmF0aW9uIENlbnRlciBmb3IgU29m
dCBNYXR0ZXIgU2NpZW5jZSBhbmQgRW5naW5lZXJpbmcsIENvbGxlZ2Ugb2YgQ2hlbWlzdHJ5LCBC
ZWlqaW5nIFVuaXZlcnNpdHkgb2YgQ2hlbWljYWwgVGVjaG5vbG9neSwgQmVpamluZywgMTAwMDI5
LCBQLiBSLiBDaGluYS4mI3hEO1N0YXRlIEtleSBMYWJvcmF0b3J5IG9mIENoZW1pY2FsIFJlc291
cmNlIEVuZ2luZWVyaW5nLCBDb2xsZWdlIG9mIENoZW1pc3RyeSwgQmVpamluZyBVbml2ZXJzaXR5
IG9mIENoZW1pY2FsIFRlY2hub2xvZ3ksIEJlaWppbmcsIDEwMDAyOSwgUC4gUi4gQ2hpbmEuPC9h
dXRoLWFkZHJlc3M+PHRpdGxlcz48dGl0bGU+QWdncmVnYXRpb24tSW5kdWNlZCBFbWlzc2lvbiAo
QUlFKSBQaG90b3NlbnNpdGl6ZXIgQ29tYmluZWQgUG9seWRvcGFtaW5lIE5hbm9tYXRlcmlhbHMg
Zm9yIE9yZ2FuZWxsZS1UYXJnZXRpbmcgUGhvdG9keW5hbWljIGFuZCBQaG90b3RoZXJtYWwgVGhl
cmFweSBieSB0aGUgUmVjb2duaXRpb24gb2YgU2lhbGljIEFjaWQ8L3RpdGxlPjxzZWNvbmRhcnkt
dGl0bGU+QWR2IEhlYWx0aGMgTWF0ZXI8L3NlY29uZGFyeS10aXRsZT48YWx0LXRpdGxlPkFkdmFu
Y2VkIGhlYWx0aGNhcmUgbWF0ZXJpYWxzPC9hbHQtdGl0bGU+PC90aXRsZXM+PHBlcmlvZGljYWw+
PGZ1bGwtdGl0bGU+QWR2IEhlYWx0aGMgTWF0ZXI8L2Z1bGwtdGl0bGU+PC9wZXJpb2RpY2FsPjxw
YWdlcz5lMjIwMDI0MjwvcGFnZXM+PHZvbHVtZT4xMTwvdm9sdW1lPjxudW1iZXI+MTU8L251bWJl
cj48ZWRpdGlvbj4yMDIyLzA1LzI2PC9lZGl0aW9uPjxrZXl3b3Jkcz48a2V5d29yZD5BbmltYWxz
PC9rZXl3b3JkPjxrZXl3b3JkPkh1bWFuczwva2V5d29yZD48a2V5d29yZD5JbmRvbGVzPC9rZXl3
b3JkPjxrZXl3b3JkPk1pY2U8L2tleXdvcmQ+PGtleXdvcmQ+TWljZSwgSW5icmVkIEJBTEIgQzwv
a2V5d29yZD48a2V5d29yZD5NaXRvY2hvbmRyaWE8L2tleXdvcmQ+PGtleXdvcmQ+Ti1BY2V0eWxu
ZXVyYW1pbmljIEFjaWQvdGhlcmFwZXV0aWMgdXNlPC9rZXl3b3JkPjxrZXl3b3JkPipOYW5vc3Ry
dWN0dXJlczwva2V5d29yZD48a2V5d29yZD4qTmVvcGxhc21zL2RydWcgdGhlcmFweTwva2V5d29y
ZD48a2V5d29yZD4qUGhvdG9jaGVtb3RoZXJhcHkvbWV0aG9kczwva2V5d29yZD48a2V5d29yZD5Q
aG90b3NlbnNpdGl6aW5nIEFnZW50cy9waGFybWFjb2xvZ3kvdGhlcmFwZXV0aWMgdXNlPC9rZXl3
b3JkPjxrZXl3b3JkPlBob3RvdGhlcm1hbCBUaGVyYXB5PC9rZXl3b3JkPjxrZXl3b3JkPlBvbHlt
ZXJzPC9rZXl3b3JkPjxrZXl3b3JkPm9yZ2FuZWxsZSB0YXJnZXRpbmc8L2tleXdvcmQ+PGtleXdv
cmQ+cGhvdG9keW5hbWljIHRoZXJhcHk8L2tleXdvcmQ+PGtleXdvcmQ+c2lhbGljIGFjaWQ8L2tl
eXdvcmQ+PC9rZXl3b3Jkcz48ZGF0ZXM+PHllYXI+MjAyMjwveWVhcj48cHViLWRhdGVzPjxkYXRl
PkF1ZzwvZGF0ZT48L3B1Yi1kYXRlcz48L2RhdGVzPjxpc2JuPjIxOTItMjY0MDwvaXNibj48YWNj
ZXNzaW9uLW51bT4zNTYxMzYyMTwvYWNjZXNzaW9uLW51bT48dXJscz48L3VybHM+PGVsZWN0cm9u
aWMtcmVzb3VyY2UtbnVtPjEwLjEwMDIvYWRobS4yMDIyMDAyNDI8L2VsZWN0cm9uaWMtcmVzb3Vy
Y2UtbnVtPjxyZW1vdGUtZGF0YWJhc2UtcHJvdmlkZXI+TkxNPC9yZW1vdGUtZGF0YWJhc2UtcHJv
dmlkZXI+PGxhbmd1YWdlPmVuZzwvbGFuZ3VhZ2U+PC9yZWNvcmQ+PC9DaXRlPjxDaXRlPjxBdXRo
b3I+TGl1PC9BdXRob3I+PFllYXI+MjAyNTwvWWVhcj48UmVjTnVtPjgxOTwvUmVjTnVtPjxyZWNv
cmQ+PHJlYy1udW1iZXI+ODE5PC9yZWMtbnVtYmVyPjxmb3JlaWduLWtleXM+PGtleSBhcHA9IkVO
IiBkYi1pZD0iZjJ3NWUwc3hvdmRkMmpldHBzdHgyMHM0NXh6eDkyemYyd3owIiB0aW1lc3RhbXA9
IjE3NDU5MTQ3MjIiPjgxOTwva2V5PjwvZm9yZWlnbi1rZXlzPjxyZWYtdHlwZSBuYW1lPSJKb3Vy
bmFsIEFydGljbGUiPjE3PC9yZWYtdHlwZT48Y29udHJpYnV0b3JzPjxhdXRob3JzPjxhdXRob3I+
TGl1LCBaLjwvYXV0aG9yPjxhdXRob3I+VGFuZywgWi48L2F1dGhvcj48YXV0aG9yPllpbiwgWS48
L2F1dGhvcj48YXV0aG9yPldhbiwgTS48L2F1dGhvcj48YXV0aG9yPlpoYW4sIEouPC9hdXRob3I+
PGF1dGhvcj5SZW4sIEwuPC9hdXRob3I+PC9hdXRob3JzPjwvY29udHJpYnV0b3JzPjxhdXRoLWFk
ZHJlc3M+U2Nob29sIG9mIE1hdGVyaWFscyBTY2llbmNlIGFuZCBFbmdpbmVlcmluZywgU291dGgg
Q2hpbmEgVW5pdmVyc2l0eSBvZiBUZWNobm9sb2d5LCBHdWFuZ3pob3UsIDUxMDAwNiwgQ2hpbmEu
JiN4RDtOYXRpb25hbCBFbmdpbmVlcmluZyBSZXNlYXJjaCBDZW50ZXIgZm9yIFRpc3N1ZSBSZXN0
b3JhdGlvbiBhbmQgUmVjb25zdHJ1Y3Rpb24sIEd1YW5nemhvdSwgNTEwMDA2LCBDaGluYS4mI3hE
O0RlcGFydG1lbnQgb2YgRGVybWF0b2xvZ3ksIFRoaXJkIEFmZmlsaWF0ZWQgSG9zcGl0YWwgb2Yg
U3VuIFlhdC1zZW4gVW5pdmVyc2l0eSwgR3Vhbmd6aG91LCA1MTA2MzAsIENoaW5hLjwvYXV0aC1h
ZGRyZXNzPjx0aXRsZXM+PHRpdGxlPkEgTWljcm9uZWVkbGUgUGF0Y2ggRGVsaXZlcnMgTWl0b2No
b25kcmlhLSBhbmQgTHlzb3NvbWVzLSBEdWFsIFRhcmdldGluZyBQcm9kcnVnLUxpa2UgUGhvdG9z
ZW5zaXRpemVycyB3aXRoIFJlZ3VsYXRlZCBQaG90b2FjdGl2aXR5IGZvciBQcmVjaXNlIFBob3Rv
ZHluYW1pYyBUaGVyYXB5PC90aXRsZT48c2Vjb25kYXJ5LXRpdGxlPkFkdiBIZWFsdGhjIE1hdGVy
PC9zZWNvbmRhcnktdGl0bGU+PGFsdC10aXRsZT5BZHZhbmNlZCBoZWFsdGhjYXJlIG1hdGVyaWFs
czwvYWx0LXRpdGxlPjwvdGl0bGVzPjxwZXJpb2RpY2FsPjxmdWxsLXRpdGxlPkFkdiBIZWFsdGhj
IE1hdGVyPC9mdWxsLXRpdGxlPjwvcGVyaW9kaWNhbD48cGFnZXM+ZTI0MDM5NTQ8L3BhZ2VzPjx2
b2x1bWU+MTQ8L3ZvbHVtZT48bnVtYmVyPjk8L251bWJlcj48ZWRpdGlvbj4yMDI1LzAyLzE5PC9l
ZGl0aW9uPjxrZXl3b3Jkcz48a2V5d29yZD4qTHlzb3NvbWVzL21ldGFib2xpc20vZHJ1ZyBlZmZl
Y3RzPC9rZXl3b3JkPjxrZXl3b3JkPipQaG90b3NlbnNpdGl6aW5nIEFnZW50cy9waGFybWFjb2xv
Z3kvY2hlbWlzdHJ5PC9rZXl3b3JkPjxrZXl3b3JkPipQaG90b2NoZW1vdGhlcmFweS9tZXRob2Rz
PC9rZXl3b3JkPjxrZXl3b3JkPipQcm9kcnVncy9jaGVtaXN0cnkvcGhhcm1hY29sb2d5PC9rZXl3
b3JkPjxrZXl3b3JkPipNaXRvY2hvbmRyaWEvbWV0YWJvbGlzbS9kcnVnIGVmZmVjdHM8L2tleXdv
cmQ+PGtleXdvcmQ+SHVtYW5zPC9rZXl3b3JkPjxrZXl3b3JkPkFuaW1hbHM8L2tleXdvcmQ+PGtl
eXdvcmQ+TWljZTwva2V5d29yZD48a2V5d29yZD5JbmRvbGVzL2NoZW1pc3RyeS9waGFybWFjb2xv
Z3k8L2tleXdvcmQ+PGtleXdvcmQ+KkRydWcgRGVsaXZlcnkgU3lzdGVtczwva2V5d29yZD48a2V5
d29yZD5OZWVkbGVzPC9rZXl3b3JkPjxrZXl3b3JkPkNlbGwgTGluZSwgVHVtb3I8L2tleXdvcmQ+
PGtleXdvcmQ+TWljZSwgSW5icmVkIEJBTEIgQzwva2V5d29yZD48a2V5d29yZD5Pcmdhbm9tZXRh
bGxpYyBDb21wb3VuZHMvY2hlbWlzdHJ5L3BoYXJtYWNvbG9neTwva2V5d29yZD48a2V5d29yZD5k
dWFsIG9yZ2FuZWxsZSB0YXJnZXRpbmc8L2tleXdvcmQ+PGtleXdvcmQ+aGlnaCBzZWxlY3Rpdml0
eTwva2V5d29yZD48a2V5d29yZD5taWNyb25lZWRsZSBwYXRjaDwva2V5d29yZD48a2V5d29yZD5w
aG90b2R5bmFtaWMgdGhlcmFweTwva2V5d29yZD48a2V5d29yZD5yZWd1bGF0ZWQgcGhvdG9hY3Rp
dml0eTwva2V5d29yZD48L2tleXdvcmRzPjxkYXRlcz48eWVhcj4yMDI1PC95ZWFyPjxwdWItZGF0
ZXM+PGRhdGU+QXByPC9kYXRlPjwvcHViLWRhdGVzPjwvZGF0ZXM+PGlzYm4+MjE5Mi0yNjQwPC9p
c2JuPjxhY2Nlc3Npb24tbnVtPjM5OTY3MzkzPC9hY2Nlc3Npb24tbnVtPjx1cmxzPjwvdXJscz48
ZWxlY3Ryb25pYy1yZXNvdXJjZS1udW0+MTAuMTAwMi9hZGhtLjIwMjQwMzk1NDwvZWxlY3Ryb25p
Yy1yZXNvdXJjZS1udW0+PHJlbW90ZS1kYXRhYmFzZS1wcm92aWRlcj5OTE08L3JlbW90ZS1kYXRh
YmFzZS1wcm92aWRlcj48bGFuZ3VhZ2U+ZW5nPC9sYW5ndWFnZT48L3JlY29yZD48L0NpdGU+PC9F
bmROb3RlPgBAAA==
</w:fldData>
              </w:fldChar>
            </w:r>
            <w:r>
              <w:rPr>
                <w:color w:val="FF0000"/>
                <w:sz w:val="21"/>
                <w:szCs w:val="21"/>
              </w:rPr>
              <w:instrText xml:space="preserve"> ADDIN EN.CITE </w:instrText>
            </w:r>
            <w:r>
              <w:rPr>
                <w:color w:val="FF0000"/>
                <w:sz w:val="21"/>
                <w:szCs w:val="21"/>
              </w:rPr>
              <w:fldChar w:fldCharType="begin">
                <w:fldData xml:space="preserve">PEVuZE5vdGU+PENpdGU+PEF1dGhvcj5MaTwvQXV0aG9yPjxZZWFyPjIwMjI8L1llYXI+PFJlY051
bT44MTg8L1JlY051bT48RGlzcGxheVRleHQ+WzMsIDRdPC9EaXNwbGF5VGV4dD48cmVjb3JkPjxy
ZWMtbnVtYmVyPjgxODwvcmVjLW51bWJlcj48Zm9yZWlnbi1rZXlzPjxrZXkgYXBwPSJFTiIgZGIt
aWQ9ImYydzVlMHN4b3ZkZDJqZXRwc3R4MjBzNDV4eng5MnpmMnd6MCIgdGltZXN0YW1wPSIxNzQ1
OTE0NjczIj44MTg8L2tleT48L2ZvcmVpZ24ta2V5cz48cmVmLXR5cGUgbmFtZT0iSm91cm5hbCBB
cnRpY2xlIj4xNzwvcmVmLXR5cGU+PGNvbnRyaWJ1dG9ycz48YXV0aG9ycz48YXV0aG9yPkxpLCBT
LjwvYXV0aG9yPjxhdXRob3I+Q2hlbiwgWS48L2F1dGhvcj48YXV0aG9yPkhlLCBQLjwvYXV0aG9y
PjxhdXRob3I+TWEsIFkuPC9hdXRob3I+PGF1dGhvcj5DYWksIFkuPC9hdXRob3I+PGF1dGhvcj5I
b3UsIFguPC9hdXRob3I+PGF1dGhvcj5aaGFuZywgRy48L2F1dGhvcj48YXV0aG9yPlpoYW5nLCBY
LjwvYXV0aG9yPjxhdXRob3I+V2FuZywgWi48L2F1dGhvcj48L2F1dGhvcnM+PC9jb250cmlidXRv
cnM+PGF1dGgtYWRkcmVzcz5TdGF0ZSBLZXkgTGFib3JhdG9yeSBvZiBDaGVtaWNhbCBSZXNvdXJj
ZSBFbmdpbmVlcmluZywgQmVpamluZyBBZHZhbmNlZCBJbm5vdmF0aW9uIENlbnRlciBmb3IgU29m
dCBNYXR0ZXIgU2NpZW5jZSBhbmQgRW5naW5lZXJpbmcsIENvbGxlZ2Ugb2YgQ2hlbWlzdHJ5LCBC
ZWlqaW5nIFVuaXZlcnNpdHkgb2YgQ2hlbWljYWwgVGVjaG5vbG9neSwgQmVpamluZywgMTAwMDI5
LCBQLiBSLiBDaGluYS4mI3hEO1N0YXRlIEtleSBMYWJvcmF0b3J5IG9mIENoZW1pY2FsIFJlc291
cmNlIEVuZ2luZWVyaW5nLCBDb2xsZWdlIG9mIENoZW1pc3RyeSwgQmVpamluZyBVbml2ZXJzaXR5
IG9mIENoZW1pY2FsIFRlY2hub2xvZ3ksIEJlaWppbmcsIDEwMDAyOSwgUC4gUi4gQ2hpbmEuPC9h
dXRoLWFkZHJlc3M+PHRpdGxlcz48dGl0bGU+QWdncmVnYXRpb24tSW5kdWNlZCBFbWlzc2lvbiAo
QUlFKSBQaG90b3NlbnNpdGl6ZXIgQ29tYmluZWQgUG9seWRvcGFtaW5lIE5hbm9tYXRlcmlhbHMg
Zm9yIE9yZ2FuZWxsZS1UYXJnZXRpbmcgUGhvdG9keW5hbWljIGFuZCBQaG90b3RoZXJtYWwgVGhl
cmFweSBieSB0aGUgUmVjb2duaXRpb24gb2YgU2lhbGljIEFjaWQ8L3RpdGxlPjxzZWNvbmRhcnkt
dGl0bGU+QWR2IEhlYWx0aGMgTWF0ZXI8L3NlY29uZGFyeS10aXRsZT48YWx0LXRpdGxlPkFkdmFu
Y2VkIGhlYWx0aGNhcmUgbWF0ZXJpYWxzPC9hbHQtdGl0bGU+PC90aXRsZXM+PHBlcmlvZGljYWw+
PGZ1bGwtdGl0bGU+QWR2IEhlYWx0aGMgTWF0ZXI8L2Z1bGwtdGl0bGU+PC9wZXJpb2RpY2FsPjxw
YWdlcz5lMjIwMDI0MjwvcGFnZXM+PHZvbHVtZT4xMTwvdm9sdW1lPjxudW1iZXI+MTU8L251bWJl
cj48ZWRpdGlvbj4yMDIyLzA1LzI2PC9lZGl0aW9uPjxrZXl3b3Jkcz48a2V5d29yZD5BbmltYWxz
PC9rZXl3b3JkPjxrZXl3b3JkPkh1bWFuczwva2V5d29yZD48a2V5d29yZD5JbmRvbGVzPC9rZXl3
b3JkPjxrZXl3b3JkPk1pY2U8L2tleXdvcmQ+PGtleXdvcmQ+TWljZSwgSW5icmVkIEJBTEIgQzwv
a2V5d29yZD48a2V5d29yZD5NaXRvY2hvbmRyaWE8L2tleXdvcmQ+PGtleXdvcmQ+Ti1BY2V0eWxu
ZXVyYW1pbmljIEFjaWQvdGhlcmFwZXV0aWMgdXNlPC9rZXl3b3JkPjxrZXl3b3JkPipOYW5vc3Ry
dWN0dXJlczwva2V5d29yZD48a2V5d29yZD4qTmVvcGxhc21zL2RydWcgdGhlcmFweTwva2V5d29y
ZD48a2V5d29yZD4qUGhvdG9jaGVtb3RoZXJhcHkvbWV0aG9kczwva2V5d29yZD48a2V5d29yZD5Q
aG90b3NlbnNpdGl6aW5nIEFnZW50cy9waGFybWFjb2xvZ3kvdGhlcmFwZXV0aWMgdXNlPC9rZXl3
b3JkPjxrZXl3b3JkPlBob3RvdGhlcm1hbCBUaGVyYXB5PC9rZXl3b3JkPjxrZXl3b3JkPlBvbHlt
ZXJzPC9rZXl3b3JkPjxrZXl3b3JkPm9yZ2FuZWxsZSB0YXJnZXRpbmc8L2tleXdvcmQ+PGtleXdv
cmQ+cGhvdG9keW5hbWljIHRoZXJhcHk8L2tleXdvcmQ+PGtleXdvcmQ+c2lhbGljIGFjaWQ8L2tl
eXdvcmQ+PC9rZXl3b3Jkcz48ZGF0ZXM+PHllYXI+MjAyMjwveWVhcj48cHViLWRhdGVzPjxkYXRl
PkF1ZzwvZGF0ZT48L3B1Yi1kYXRlcz48L2RhdGVzPjxpc2JuPjIxOTItMjY0MDwvaXNibj48YWNj
ZXNzaW9uLW51bT4zNTYxMzYyMTwvYWNjZXNzaW9uLW51bT48dXJscz48L3VybHM+PGVsZWN0cm9u
aWMtcmVzb3VyY2UtbnVtPjEwLjEwMDIvYWRobS4yMDIyMDAyNDI8L2VsZWN0cm9uaWMtcmVzb3Vy
Y2UtbnVtPjxyZW1vdGUtZGF0YWJhc2UtcHJvdmlkZXI+TkxNPC9yZW1vdGUtZGF0YWJhc2UtcHJv
dmlkZXI+PGxhbmd1YWdlPmVuZzwvbGFuZ3VhZ2U+PC9yZWNvcmQ+PC9DaXRlPjxDaXRlPjxBdXRo
b3I+TGl1PC9BdXRob3I+PFllYXI+MjAyNTwvWWVhcj48UmVjTnVtPjgxOTwvUmVjTnVtPjxyZWNv
cmQ+PHJlYy1udW1iZXI+ODE5PC9yZWMtbnVtYmVyPjxmb3JlaWduLWtleXM+PGtleSBhcHA9IkVO
IiBkYi1pZD0iZjJ3NWUwc3hvdmRkMmpldHBzdHgyMHM0NXh6eDkyemYyd3owIiB0aW1lc3RhbXA9
IjE3NDU5MTQ3MjIiPjgxOTwva2V5PjwvZm9yZWlnbi1rZXlzPjxyZWYtdHlwZSBuYW1lPSJKb3Vy
bmFsIEFydGljbGUiPjE3PC9yZWYtdHlwZT48Y29udHJpYnV0b3JzPjxhdXRob3JzPjxhdXRob3I+
TGl1LCBaLjwvYXV0aG9yPjxhdXRob3I+VGFuZywgWi48L2F1dGhvcj48YXV0aG9yPllpbiwgWS48
L2F1dGhvcj48YXV0aG9yPldhbiwgTS48L2F1dGhvcj48YXV0aG9yPlpoYW4sIEouPC9hdXRob3I+
PGF1dGhvcj5SZW4sIEwuPC9hdXRob3I+PC9hdXRob3JzPjwvY29udHJpYnV0b3JzPjxhdXRoLWFk
ZHJlc3M+U2Nob29sIG9mIE1hdGVyaWFscyBTY2llbmNlIGFuZCBFbmdpbmVlcmluZywgU291dGgg
Q2hpbmEgVW5pdmVyc2l0eSBvZiBUZWNobm9sb2d5LCBHdWFuZ3pob3UsIDUxMDAwNiwgQ2hpbmEu
JiN4RDtOYXRpb25hbCBFbmdpbmVlcmluZyBSZXNlYXJjaCBDZW50ZXIgZm9yIFRpc3N1ZSBSZXN0
b3JhdGlvbiBhbmQgUmVjb25zdHJ1Y3Rpb24sIEd1YW5nemhvdSwgNTEwMDA2LCBDaGluYS4mI3hE
O0RlcGFydG1lbnQgb2YgRGVybWF0b2xvZ3ksIFRoaXJkIEFmZmlsaWF0ZWQgSG9zcGl0YWwgb2Yg
U3VuIFlhdC1zZW4gVW5pdmVyc2l0eSwgR3Vhbmd6aG91LCA1MTA2MzAsIENoaW5hLjwvYXV0aC1h
ZGRyZXNzPjx0aXRsZXM+PHRpdGxlPkEgTWljcm9uZWVkbGUgUGF0Y2ggRGVsaXZlcnMgTWl0b2No
b25kcmlhLSBhbmQgTHlzb3NvbWVzLSBEdWFsIFRhcmdldGluZyBQcm9kcnVnLUxpa2UgUGhvdG9z
ZW5zaXRpemVycyB3aXRoIFJlZ3VsYXRlZCBQaG90b2FjdGl2aXR5IGZvciBQcmVjaXNlIFBob3Rv
ZHluYW1pYyBUaGVyYXB5PC90aXRsZT48c2Vjb25kYXJ5LXRpdGxlPkFkdiBIZWFsdGhjIE1hdGVy
PC9zZWNvbmRhcnktdGl0bGU+PGFsdC10aXRsZT5BZHZhbmNlZCBoZWFsdGhjYXJlIG1hdGVyaWFs
czwvYWx0LXRpdGxlPjwvdGl0bGVzPjxwZXJpb2RpY2FsPjxmdWxsLXRpdGxlPkFkdiBIZWFsdGhj
IE1hdGVyPC9mdWxsLXRpdGxlPjwvcGVyaW9kaWNhbD48cGFnZXM+ZTI0MDM5NTQ8L3BhZ2VzPjx2
b2x1bWU+MTQ8L3ZvbHVtZT48bnVtYmVyPjk8L251bWJlcj48ZWRpdGlvbj4yMDI1LzAyLzE5PC9l
ZGl0aW9uPjxrZXl3b3Jkcz48a2V5d29yZD4qTHlzb3NvbWVzL21ldGFib2xpc20vZHJ1ZyBlZmZl
Y3RzPC9rZXl3b3JkPjxrZXl3b3JkPipQaG90b3NlbnNpdGl6aW5nIEFnZW50cy9waGFybWFjb2xv
Z3kvY2hlbWlzdHJ5PC9rZXl3b3JkPjxrZXl3b3JkPipQaG90b2NoZW1vdGhlcmFweS9tZXRob2Rz
PC9rZXl3b3JkPjxrZXl3b3JkPipQcm9kcnVncy9jaGVtaXN0cnkvcGhhcm1hY29sb2d5PC9rZXl3
b3JkPjxrZXl3b3JkPipNaXRvY2hvbmRyaWEvbWV0YWJvbGlzbS9kcnVnIGVmZmVjdHM8L2tleXdv
cmQ+PGtleXdvcmQ+SHVtYW5zPC9rZXl3b3JkPjxrZXl3b3JkPkFuaW1hbHM8L2tleXdvcmQ+PGtl
eXdvcmQ+TWljZTwva2V5d29yZD48a2V5d29yZD5JbmRvbGVzL2NoZW1pc3RyeS9waGFybWFjb2xv
Z3k8L2tleXdvcmQ+PGtleXdvcmQ+KkRydWcgRGVsaXZlcnkgU3lzdGVtczwva2V5d29yZD48a2V5
d29yZD5OZWVkbGVzPC9rZXl3b3JkPjxrZXl3b3JkPkNlbGwgTGluZSwgVHVtb3I8L2tleXdvcmQ+
PGtleXdvcmQ+TWljZSwgSW5icmVkIEJBTEIgQzwva2V5d29yZD48a2V5d29yZD5Pcmdhbm9tZXRh
bGxpYyBDb21wb3VuZHMvY2hlbWlzdHJ5L3BoYXJtYWNvbG9neTwva2V5d29yZD48a2V5d29yZD5k
dWFsIG9yZ2FuZWxsZSB0YXJnZXRpbmc8L2tleXdvcmQ+PGtleXdvcmQ+aGlnaCBzZWxlY3Rpdml0
eTwva2V5d29yZD48a2V5d29yZD5taWNyb25lZWRsZSBwYXRjaDwva2V5d29yZD48a2V5d29yZD5w
aG90b2R5bmFtaWMgdGhlcmFweTwva2V5d29yZD48a2V5d29yZD5yZWd1bGF0ZWQgcGhvdG9hY3Rp
dml0eTwva2V5d29yZD48L2tleXdvcmRzPjxkYXRlcz48eWVhcj4yMDI1PC95ZWFyPjxwdWItZGF0
ZXM+PGRhdGU+QXByPC9kYXRlPjwvcHViLWRhdGVzPjwvZGF0ZXM+PGlzYm4+MjE5Mi0yNjQwPC9p
c2JuPjxhY2Nlc3Npb24tbnVtPjM5OTY3MzkzPC9hY2Nlc3Npb24tbnVtPjx1cmxzPjwvdXJscz48
ZWxlY3Ryb25pYy1yZXNvdXJjZS1udW0+MTAuMTAwMi9hZGhtLjIwMjQwMzk1NDwvZWxlY3Ryb25p
Yy1yZXNvdXJjZS1udW0+PHJlbW90ZS1kYXRhYmFzZS1wcm92aWRlcj5OTE08L3JlbW90ZS1kYXRh
YmFzZS1wcm92aWRlcj48bGFuZ3VhZ2U+ZW5nPC9sYW5ndWFnZT48L3JlY29yZD48L0NpdGU+PC9F
bmROb3RlPgBAAA==
</w:fldData>
              </w:fldChar>
            </w:r>
            <w:r>
              <w:rPr>
                <w:color w:val="FF0000"/>
                <w:sz w:val="21"/>
                <w:szCs w:val="21"/>
              </w:rPr>
              <w:instrText xml:space="preserve"> ADDIN EN.CITE.DATA </w:instrText>
            </w:r>
            <w:r>
              <w:rPr>
                <w:color w:val="FF0000"/>
                <w:sz w:val="21"/>
                <w:szCs w:val="21"/>
              </w:rPr>
              <w:fldChar w:fldCharType="end"/>
            </w:r>
            <w:r>
              <w:rPr>
                <w:color w:val="FF0000"/>
                <w:sz w:val="21"/>
                <w:szCs w:val="21"/>
              </w:rPr>
              <w:fldChar w:fldCharType="separate"/>
            </w:r>
            <w:r>
              <w:rPr>
                <w:color w:val="FF0000"/>
                <w:sz w:val="21"/>
                <w:szCs w:val="21"/>
              </w:rPr>
              <w:t>[3, 4]</w:t>
            </w:r>
            <w:r>
              <w:rPr>
                <w:color w:val="FF0000"/>
                <w:sz w:val="21"/>
                <w:szCs w:val="21"/>
              </w:rPr>
              <w:fldChar w:fldCharType="end"/>
            </w:r>
          </w:p>
        </w:tc>
        <w:tc>
          <w:tcPr>
            <w:tcW w:w="3676" w:type="dxa"/>
          </w:tcPr>
          <w:p w14:paraId="65D6C00C">
            <w:pPr>
              <w:rPr>
                <w:bCs/>
                <w:color w:val="FF0000"/>
                <w:szCs w:val="21"/>
              </w:rPr>
            </w:pPr>
            <w:r>
              <w:rPr>
                <w:bCs/>
                <w:color w:val="FF0000"/>
                <w:szCs w:val="21"/>
              </w:rPr>
              <w:t>Selectively targets the endoplasmic reticulum (ER) of tumor cells.</w:t>
            </w:r>
          </w:p>
        </w:tc>
      </w:tr>
      <w:tr w14:paraId="2A9AD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70" w:type="dxa"/>
          </w:tcPr>
          <w:p w14:paraId="61A61350">
            <w:pPr>
              <w:jc w:val="center"/>
              <w:rPr>
                <w:b/>
                <w:bCs/>
                <w:color w:val="FF0000"/>
                <w:szCs w:val="21"/>
              </w:rPr>
            </w:pPr>
            <w:r>
              <w:rPr>
                <w:b/>
                <w:bCs/>
                <w:color w:val="FF0000"/>
                <w:szCs w:val="21"/>
              </w:rPr>
              <w:t>Photothermal Efficiency</w:t>
            </w:r>
          </w:p>
        </w:tc>
        <w:tc>
          <w:tcPr>
            <w:tcW w:w="3969" w:type="dxa"/>
          </w:tcPr>
          <w:p w14:paraId="3B3FCC97">
            <w:pPr>
              <w:rPr>
                <w:bCs/>
                <w:color w:val="FF0000"/>
                <w:szCs w:val="21"/>
              </w:rPr>
            </w:pPr>
            <w:r>
              <w:rPr>
                <w:bCs/>
                <w:color w:val="FF0000"/>
                <w:szCs w:val="21"/>
              </w:rPr>
              <w:t>Typically below 50% efficiency.</w:t>
            </w:r>
            <w:r>
              <w:rPr>
                <w:rFonts w:hint="eastAsia"/>
                <w:bCs/>
                <w:color w:val="FF0000"/>
                <w:szCs w:val="21"/>
              </w:rPr>
              <w:t xml:space="preserve"> </w:t>
            </w:r>
          </w:p>
          <w:p w14:paraId="19987F3F">
            <w:pPr>
              <w:rPr>
                <w:bCs/>
                <w:color w:val="FF0000"/>
                <w:szCs w:val="21"/>
              </w:rPr>
            </w:pPr>
            <w:r>
              <w:rPr>
                <w:rFonts w:hint="eastAsia"/>
                <w:bCs/>
                <w:color w:val="FF0000"/>
                <w:szCs w:val="21"/>
              </w:rPr>
              <w:t xml:space="preserve">Ref </w:t>
            </w:r>
            <w:r>
              <w:rPr>
                <w:color w:val="FF0000"/>
                <w:sz w:val="21"/>
                <w:szCs w:val="21"/>
              </w:rPr>
              <w:fldChar w:fldCharType="begin">
                <w:fldData xml:space="preserve">PEVuZE5vdGU+PENpdGU+PEF1dGhvcj5TaGVuPC9BdXRob3I+PFllYXI+MjAyMjwvWWVhcj48UmVj
TnVtPjgyMDwvUmVjTnVtPjxEaXNwbGF5VGV4dD5bNSwgNl08L0Rpc3BsYXlUZXh0PjxyZWNvcmQ+
PHJlYy1udW1iZXI+ODIwPC9yZWMtbnVtYmVyPjxmb3JlaWduLWtleXM+PGtleSBhcHA9IkVOIiBk
Yi1pZD0iZjJ3NWUwc3hvdmRkMmpldHBzdHgyMHM0NXh6eDkyemYyd3owIiB0aW1lc3RhbXA9IjE3
NDU5MTQ3ODUiPjgyMDwva2V5PjwvZm9yZWlnbi1rZXlzPjxyZWYtdHlwZSBuYW1lPSJKb3VybmFs
IEFydGljbGUiPjE3PC9yZWYtdHlwZT48Y29udHJpYnV0b3JzPjxhdXRob3JzPjxhdXRob3I+U2hl
biwgWS48L2F1dGhvcj48YXV0aG9yPkxpLCBYLjwvYXV0aG9yPjxhdXRob3I+SHVhbmcsIEguPC9h
dXRob3I+PGF1dGhvcj5MYW4sIFkuPC9hdXRob3I+PGF1dGhvcj5HYW4sIEwuPC9hdXRob3I+PGF1
dGhvcj5IdWFuZywgSi48L2F1dGhvcj48L2F1dGhvcnM+PC9jb250cmlidXRvcnM+PGF1dGgtYWRk
cmVzcz5TdGF0ZSBLZXkgTGFib3JhdG9yeSBvZiBTaWxrd29ybSBHZW5vbWUgQmlvbG9neSwgYW5k
IENob25ncWluZyBLZXkgTGFib3JhdG9yeSBvZiBTb2Z0LU1hdHRlciBNYXRlcmlhbCBDaGVtaXN0
cnkgYW5kIEZ1bmN0aW9uIE1hbnVmYWN0dXJpbmcsIFNjaG9vbCBvZiBDaGVtaXN0cnkgYW5kIENo
ZW1pY2FsIEVuZ2luZWVyaW5nLCBTb3V0aHdlc3QgVW5pdmVyc2l0eSwgQ2hvbmdxaW5nIDQwMDcx
NSwgQ2hpbmEuJiN4RDtEZXBhcnRtZW50IG9mIFJhZGlvbG9neSwgVW5pb24gSG9zcGl0YWwsIFRv
bmdqaSBNZWRpY2FsIENvbGxlZ2UsIEh1YXpob25nIFVuaXZlcnNpdHkgb2YgU2NpZW5jZSBhbmQg
VGVjaG5vbG9neSwgV3VoYW4sIDQzMDAyMiwgQ2hpbmEuJiN4RDtEZXBhcnRtZW50IG9mIFJhZGlv
bG9neSwgVW5pdmVyc2l0eSBvZiBNaW5uZXNvdGEsIDQyMCBEZWxhd2FyZSBTdCBTRSwgTWlubmVh
cG9saXMsIE1OIDU1NDU1LCBVbml0ZWQgU3RhdGVzLiBFbGVjdHJvbmljIGFkZHJlc3M6IGh1YW4x
MDI0QHVtbi5lZHUuJiN4RDtTdGF0ZSBLZXkgTGFib3JhdG9yeSBvZiBTaWxrd29ybSBHZW5vbWUg
QmlvbG9neSwgYW5kIENob25ncWluZyBLZXkgTGFib3JhdG9yeSBvZiBTb2Z0LU1hdHRlciBNYXRl
cmlhbCBDaGVtaXN0cnkgYW5kIEZ1bmN0aW9uIE1hbnVmYWN0dXJpbmcsIFNjaG9vbCBvZiBDaGVt
aXN0cnkgYW5kIENoZW1pY2FsIEVuZ2luZWVyaW5nLCBTb3V0aHdlc3QgVW5pdmVyc2l0eSwgQ2hv
bmdxaW5nIDQwMDcxNSwgQ2hpbmE7IFNjaG9vbCBvZiBDaGVtaXN0cnkgYW5kIENoZW1pY2FsIEVu
Z2luZWVyaW5nLCBFbmdpbmVlcmluZyBSZXNlYXJjaCBDZW50ZXIgb2YgTWF0ZXJpYWxzLU9yaWVu
dGVkIENoZW1pY2FsIEVuZ2luZWVyaW5nIG9mIFhpbmppYW5nIEJpbnR1YW4sIFNoaWhlemkgVW5p
dmVyc2l0eSwgU2hpaGV6aSA4MzIwMDMsIENoaW5hLiBFbGVjdHJvbmljIGFkZHJlc3M6IHN3dWNn
bEBzd3UuZWR1LmNuLiYjeEQ7U3RhdGUgS2V5IExhYm9yYXRvcnkgb2YgU2lsa3dvcm0gR2Vub21l
IEJpb2xvZ3ksIGFuZCBDaG9uZ3FpbmcgS2V5IExhYm9yYXRvcnkgb2YgU29mdC1NYXR0ZXIgTWF0
ZXJpYWwgQ2hlbWlzdHJ5IGFuZCBGdW5jdGlvbiBNYW51ZmFjdHVyaW5nLCBTY2hvb2wgb2YgQ2hl
bWlzdHJ5IGFuZCBDaGVtaWNhbCBFbmdpbmVlcmluZywgU291dGh3ZXN0IFVuaXZlcnNpdHksIENo
b25ncWluZyA0MDA3MTUsIENoaW5hOyBTY2hvb2wgb2YgQ2hlbWlzdHJ5IGFuZCBDaGVtaWNhbCBF
bmdpbmVlcmluZywgRW5naW5lZXJpbmcgUmVzZWFyY2ggQ2VudGVyIG9mIE1hdGVyaWFscy1Pcmll
bnRlZCBDaGVtaWNhbCBFbmdpbmVlcmluZyBvZiBYaW5qaWFuZyBCaW50dWFuLCBTaGloZXppIFVu
aXZlcnNpdHksIFNoaWhlemkgODMyMDAzLCBDaGluYS4gRWxlY3Ryb25pYyBhZGRyZXNzOiBodWFu
Z2ppbjIwMTVAc3d1LmVkdS5jbi48L2F1dGgtYWRkcmVzcz48dGl0bGVzPjx0aXRsZT5FbWJlZGRp
bmcgTW4oMispIGluIHBvbHltZXIgY29hdGluZyBvbiByb2QtbGlrZSBjZWxsdWxvc2UgbmFub2Ny
eXN0YWwgdG8gaW50ZWdyYXRlIE1SSSBhbmQgcGhvdG90aGVybWFsIGZ1bmN0aW9uPC90aXRsZT48
c2Vjb25kYXJ5LXRpdGxlPkNhcmJvaHlkciBQb2x5bTwvc2Vjb25kYXJ5LXRpdGxlPjxhbHQtdGl0
bGU+Q2FyYm9oeWRyYXRlIHBvbHltZXJzPC9hbHQtdGl0bGU+PC90aXRsZXM+PHBlcmlvZGljYWw+
PGZ1bGwtdGl0bGU+Q2FyYm9oeWRyIFBvbHltPC9mdWxsLXRpdGxlPjxhYmJyLTE+Q2FyYm9oeWRy
YXRlIHBvbHltZXJzPC9hYmJyLTE+PC9wZXJpb2RpY2FsPjxhbHQtcGVyaW9kaWNhbD48ZnVsbC10
aXRsZT5DYXJib2h5ZHIgUG9seW08L2Z1bGwtdGl0bGU+PGFiYnItMT5DYXJib2h5ZHJhdGUgcG9s
eW1lcnM8L2FiYnItMT48L2FsdC1wZXJpb2RpY2FsPjxwYWdlcz4xMjAwNjE8L3BhZ2VzPjx2b2x1
bWU+Mjk3PC92b2x1bWU+PGVkaXRpb24+MjAyMi8xMC8wMzwvZWRpdGlvbj48a2V5d29yZHM+PGtl
eXdvcmQ+KkNlbGx1bG9zZTwva2V5d29yZD48a2V5d29yZD5Jb25zPC9rZXl3b3JkPjxrZXl3b3Jk
Pk1hZ25ldGljIFJlc29uYW5jZSBJbWFnaW5nL21ldGhvZHM8L2tleXdvcmQ+PGtleXdvcmQ+Kk5h
bm9wYXJ0aWNsZXMvY2hlbWlzdHJ5PC9rZXl3b3JkPjxrZXl3b3JkPlBvbHltZXJzL2NoZW1pc3Ry
eTwva2V5d29yZD48a2V5d29yZD5CaW8tYmFzZWQgbmFuby1jb250cmFzdDwva2V5d29yZD48a2V5
d29yZD5DZWxsdWxvc2UgbmFub2NyeXN0YWw8L2tleXdvcmQ+PGtleXdvcmQ+TWFnbmV0aWMgcmVz
b25hbmNlIGltYWdpbmc8L2tleXdvcmQ+PGtleXdvcmQ+UGhvdG90aGVybWFsIGZ1bmN0aW9uPC9r
ZXl3b3JkPjxrZXl3b3JkPlJvZC1saWtlIG5hbm9wYXJ0aWNsZTwva2V5d29yZD48a2V5d29yZD5v
ZiBpbnRlcmVzdC48L2tleXdvcmQ+PC9rZXl3b3Jkcz48ZGF0ZXM+PHllYXI+MjAyMjwveWVhcj48
cHViLWRhdGVzPjxkYXRlPkRlYyAxPC9kYXRlPjwvcHViLWRhdGVzPjwvZGF0ZXM+PGlzYm4+MDE0
NC04NjE3PC9pc2JuPjxhY2Nlc3Npb24tbnVtPjM2MTg0MTU1PC9hY2Nlc3Npb24tbnVtPjx1cmxz
PjwvdXJscz48ZWxlY3Ryb25pYy1yZXNvdXJjZS1udW0+MTAuMTAxNi9qLmNhcmJwb2wuMjAyMi4x
MjAwNjE8L2VsZWN0cm9uaWMtcmVzb3VyY2UtbnVtPjxyZW1vdGUtZGF0YWJhc2UtcHJvdmlkZXI+
TkxNPC9yZW1vdGUtZGF0YWJhc2UtcHJvdmlkZXI+PGxhbmd1YWdlPmVuZzwvbGFuZ3VhZ2U+PC9y
ZWNvcmQ+PC9DaXRlPjxDaXRlPjxBdXRob3I+WmhhbzwvQXV0aG9yPjxZZWFyPjIwMjI8L1llYXI+
PFJlY051bT44MjE8L1JlY051bT48cmVjb3JkPjxyZWMtbnVtYmVyPjgyMTwvcmVjLW51bWJlcj48
Zm9yZWlnbi1rZXlzPjxrZXkgYXBwPSJFTiIgZGItaWQ9ImYydzVlMHN4b3ZkZDJqZXRwc3R4MjBz
NDV4eng5MnpmMnd6MCIgdGltZXN0YW1wPSIxNzQ1OTE0ODE1Ij44MjE8L2tleT48L2ZvcmVpZ24t
a2V5cz48cmVmLXR5cGUgbmFtZT0iSm91cm5hbCBBcnRpY2xlIj4xNzwvcmVmLXR5cGU+PGNvbnRy
aWJ1dG9ycz48YXV0aG9ycz48YXV0aG9yPlpoYW8sIFIuPC9hdXRob3I+PGF1dGhvcj5aaHUsIFku
PC9hdXRob3I+PGF1dGhvcj5aaG91LCBKLjwvYXV0aG9yPjxhdXRob3I+TGl1LCBCLjwvYXV0aG9y
PjxhdXRob3I+RHUsIFkuPC9hdXRob3I+PGF1dGhvcj5HYWksIFMuPC9hdXRob3I+PGF1dGhvcj5T
aGVuLCBSLjwvYXV0aG9yPjxhdXRob3I+RmVuZywgTC48L2F1dGhvcj48YXV0aG9yPllhbmcsIFAu
PC9hdXRob3I+PC9hdXRob3JzPjwvY29udHJpYnV0b3JzPjxhdXRoLWFkZHJlc3M+S2V5IExhYm9y
YXRvcnkgb2YgU3VwZXJsaWdodCBNYXRlcmlhbHMgYW5kIFN1cmZhY2UgVGVjaG5vbG9neSwgTWlu
aXN0cnkgb2YgRWR1Y2F0aW9uLCBDb2xsZWdlIG9mIE1hdGVyaWFscyBTY2llbmNlIGFuZCBDaGVt
aWNhbCBFbmdpbmVlcmluZywgSGFyYmluIEVuZ2luZWVyaW5nIFVuaXZlcnNpdHksIEhhcmJpbiwg
MTUwMDAxLCBQLiBSLiBDaGluYS4mI3hEO1lhbnRhaSBSZXNlYXJjaCBJbnN0aXR1dGUsIEhhcmJp
biBFbmdpbmVlcmluZyBVbml2ZXJzaXR5LCBZYW50YWksIDI2NDAwMCwgUC4gUi4gQ2hpbmEuJiN4
RDtMYWJvcmF0b3J5IGZvciBTcGFjZSBFbnZpcm9ubWVudCBhbmQgUGh5c2ljYWwgU2NpZW5jZXMs
IEhhcmJpbiBJbnN0aXR1dGUgb2YgVGVjaG5vbG9neSwgSGFyYmluLCAxNTAwMDEsIFAuIFIuIENo
aW5hLjwvYXV0aC1hZGRyZXNzPjx0aXRsZXM+PHRpdGxlPkR1YWwgR2x1dGF0aGlvbmUgRGVwbGV0
aW9uIEVuaGFuY2VkIEVuenltZSBDYXRhbHl0aWMgQWN0aXZpdHkgZm9yIEh5cGVydGhlcm1pYSBB
c3Npc3RlZCBUdW1vciBUaGVyYXB5IG9uIFNlbWktTWV0YWxsaWMgVlNlKDIpL01uLUNTPC90aXRs
ZT48c2Vjb25kYXJ5LXRpdGxlPkFDUyBOYW5vPC9zZWNvbmRhcnktdGl0bGU+PGFsdC10aXRsZT5B
Q1MgbmFubzwvYWx0LXRpdGxlPjwvdGl0bGVzPjxwZXJpb2RpY2FsPjxmdWxsLXRpdGxlPkFDUyBO
YW5vPC9mdWxsLXRpdGxlPjxhYmJyLTE+QUNTIG5hbm88L2FiYnItMT48L3BlcmlvZGljYWw+PGFs
dC1wZXJpb2RpY2FsPjxmdWxsLXRpdGxlPkFDUyBOYW5vPC9mdWxsLXRpdGxlPjxhYmJyLTE+QUNT
IG5hbm88L2FiYnItMT48L2FsdC1wZXJpb2RpY2FsPjxwYWdlcz4xMDkwNC0xMDkxNzwvcGFnZXM+
PHZvbHVtZT4xNjwvdm9sdW1lPjxudW1iZXI+NzwvbnVtYmVyPjxlZGl0aW9uPjIwMjIvMDcvMDg8
L2VkaXRpb24+PGtleXdvcmRzPjxrZXl3b3JkPkh1bWFuczwva2V5d29yZD48a2V5d29yZD5NYW5n
YW5lc2UvdGhlcmFwZXV0aWMgdXNlPC9rZXl3b3JkPjxrZXl3b3JkPkh5ZHJvZ2VuIFBlcm94aWRl
PC9rZXl3b3JkPjxrZXl3b3JkPipNZXRhbGxvaWRzPC9rZXl3b3JkPjxrZXl3b3JkPkdsdXRhdGhp
b25lPC9rZXl3b3JkPjxrZXl3b3JkPipIeXBlcnRoZXJtaWEsIEluZHVjZWQvbWV0aG9kczwva2V5
d29yZD48a2V5d29yZD5UdW1vciBNaWNyb2Vudmlyb25tZW50PC9rZXl3b3JkPjxrZXl3b3JkPipO
ZW9wbGFzbXMvdGhlcmFweS9kcnVnIHRoZXJhcHk8L2tleXdvcmQ+PGtleXdvcmQ+Q2VsbCBMaW5l
LCBUdW1vcjwva2V5d29yZD48a2V5d29yZD5WU2UyPC9rZXl3b3JkPjxrZXl3b3JkPnBlcm94aWRh
c2UgbWltaWM8L2tleXdvcmQ+PGtleXdvcmQ+cGhvdG90aGVybWFsIHRoZXJhcHk8L2tleXdvcmQ+
PGtleXdvcmQ+c2VtaW1ldGFsbGljIG5hbm9tYXRlcmlhbHM8L2tleXdvcmQ+PC9rZXl3b3Jkcz48
ZGF0ZXM+PHllYXI+MjAyMjwveWVhcj48cHViLWRhdGVzPjxkYXRlPkp1bCAyNjwvZGF0ZT48L3B1
Yi1kYXRlcz48L2RhdGVzPjxpc2JuPjE5MzYtMDg1MTwvaXNibj48YWNjZXNzaW9uLW51bT4zNTc5
NzAxMzwvYWNjZXNzaW9uLW51bT48dXJscz48L3VybHM+PGVsZWN0cm9uaWMtcmVzb3VyY2UtbnVt
PjEwLjEwMjEvYWNzbmFuby4yYzAzMjIyPC9lbGVjdHJvbmljLXJlc291cmNlLW51bT48cmVtb3Rl
LWRhdGFiYXNlLXByb3ZpZGVyPk5MTTwvcmVtb3RlLWRhdGFiYXNlLXByb3ZpZGVyPjxsYW5ndWFn
ZT5lbmc8L2xhbmd1YWdlPjwvcmVjb3JkPjwvQ2l0ZT48L0VuZE5vdGU+AGAA
</w:fldData>
              </w:fldChar>
            </w:r>
            <w:r>
              <w:rPr>
                <w:color w:val="FF0000"/>
                <w:sz w:val="21"/>
                <w:szCs w:val="21"/>
              </w:rPr>
              <w:instrText xml:space="preserve"> ADDIN EN.CITE </w:instrText>
            </w:r>
            <w:r>
              <w:rPr>
                <w:color w:val="FF0000"/>
                <w:sz w:val="21"/>
                <w:szCs w:val="21"/>
              </w:rPr>
              <w:fldChar w:fldCharType="begin">
                <w:fldData xml:space="preserve">PEVuZE5vdGU+PENpdGU+PEF1dGhvcj5TaGVuPC9BdXRob3I+PFllYXI+MjAyMjwvWWVhcj48UmVj
TnVtPjgyMDwvUmVjTnVtPjxEaXNwbGF5VGV4dD5bNSwgNl08L0Rpc3BsYXlUZXh0PjxyZWNvcmQ+
PHJlYy1udW1iZXI+ODIwPC9yZWMtbnVtYmVyPjxmb3JlaWduLWtleXM+PGtleSBhcHA9IkVOIiBk
Yi1pZD0iZjJ3NWUwc3hvdmRkMmpldHBzdHgyMHM0NXh6eDkyemYyd3owIiB0aW1lc3RhbXA9IjE3
NDU5MTQ3ODUiPjgyMDwva2V5PjwvZm9yZWlnbi1rZXlzPjxyZWYtdHlwZSBuYW1lPSJKb3VybmFs
IEFydGljbGUiPjE3PC9yZWYtdHlwZT48Y29udHJpYnV0b3JzPjxhdXRob3JzPjxhdXRob3I+U2hl
biwgWS48L2F1dGhvcj48YXV0aG9yPkxpLCBYLjwvYXV0aG9yPjxhdXRob3I+SHVhbmcsIEguPC9h
dXRob3I+PGF1dGhvcj5MYW4sIFkuPC9hdXRob3I+PGF1dGhvcj5HYW4sIEwuPC9hdXRob3I+PGF1
dGhvcj5IdWFuZywgSi48L2F1dGhvcj48L2F1dGhvcnM+PC9jb250cmlidXRvcnM+PGF1dGgtYWRk
cmVzcz5TdGF0ZSBLZXkgTGFib3JhdG9yeSBvZiBTaWxrd29ybSBHZW5vbWUgQmlvbG9neSwgYW5k
IENob25ncWluZyBLZXkgTGFib3JhdG9yeSBvZiBTb2Z0LU1hdHRlciBNYXRlcmlhbCBDaGVtaXN0
cnkgYW5kIEZ1bmN0aW9uIE1hbnVmYWN0dXJpbmcsIFNjaG9vbCBvZiBDaGVtaXN0cnkgYW5kIENo
ZW1pY2FsIEVuZ2luZWVyaW5nLCBTb3V0aHdlc3QgVW5pdmVyc2l0eSwgQ2hvbmdxaW5nIDQwMDcx
NSwgQ2hpbmEuJiN4RDtEZXBhcnRtZW50IG9mIFJhZGlvbG9neSwgVW5pb24gSG9zcGl0YWwsIFRv
bmdqaSBNZWRpY2FsIENvbGxlZ2UsIEh1YXpob25nIFVuaXZlcnNpdHkgb2YgU2NpZW5jZSBhbmQg
VGVjaG5vbG9neSwgV3VoYW4sIDQzMDAyMiwgQ2hpbmEuJiN4RDtEZXBhcnRtZW50IG9mIFJhZGlv
bG9neSwgVW5pdmVyc2l0eSBvZiBNaW5uZXNvdGEsIDQyMCBEZWxhd2FyZSBTdCBTRSwgTWlubmVh
cG9saXMsIE1OIDU1NDU1LCBVbml0ZWQgU3RhdGVzLiBFbGVjdHJvbmljIGFkZHJlc3M6IGh1YW4x
MDI0QHVtbi5lZHUuJiN4RDtTdGF0ZSBLZXkgTGFib3JhdG9yeSBvZiBTaWxrd29ybSBHZW5vbWUg
QmlvbG9neSwgYW5kIENob25ncWluZyBLZXkgTGFib3JhdG9yeSBvZiBTb2Z0LU1hdHRlciBNYXRl
cmlhbCBDaGVtaXN0cnkgYW5kIEZ1bmN0aW9uIE1hbnVmYWN0dXJpbmcsIFNjaG9vbCBvZiBDaGVt
aXN0cnkgYW5kIENoZW1pY2FsIEVuZ2luZWVyaW5nLCBTb3V0aHdlc3QgVW5pdmVyc2l0eSwgQ2hv
bmdxaW5nIDQwMDcxNSwgQ2hpbmE7IFNjaG9vbCBvZiBDaGVtaXN0cnkgYW5kIENoZW1pY2FsIEVu
Z2luZWVyaW5nLCBFbmdpbmVlcmluZyBSZXNlYXJjaCBDZW50ZXIgb2YgTWF0ZXJpYWxzLU9yaWVu
dGVkIENoZW1pY2FsIEVuZ2luZWVyaW5nIG9mIFhpbmppYW5nIEJpbnR1YW4sIFNoaWhlemkgVW5p
dmVyc2l0eSwgU2hpaGV6aSA4MzIwMDMsIENoaW5hLiBFbGVjdHJvbmljIGFkZHJlc3M6IHN3dWNn
bEBzd3UuZWR1LmNuLiYjeEQ7U3RhdGUgS2V5IExhYm9yYXRvcnkgb2YgU2lsa3dvcm0gR2Vub21l
IEJpb2xvZ3ksIGFuZCBDaG9uZ3FpbmcgS2V5IExhYm9yYXRvcnkgb2YgU29mdC1NYXR0ZXIgTWF0
ZXJpYWwgQ2hlbWlzdHJ5IGFuZCBGdW5jdGlvbiBNYW51ZmFjdHVyaW5nLCBTY2hvb2wgb2YgQ2hl
bWlzdHJ5IGFuZCBDaGVtaWNhbCBFbmdpbmVlcmluZywgU291dGh3ZXN0IFVuaXZlcnNpdHksIENo
b25ncWluZyA0MDA3MTUsIENoaW5hOyBTY2hvb2wgb2YgQ2hlbWlzdHJ5IGFuZCBDaGVtaWNhbCBF
bmdpbmVlcmluZywgRW5naW5lZXJpbmcgUmVzZWFyY2ggQ2VudGVyIG9mIE1hdGVyaWFscy1Pcmll
bnRlZCBDaGVtaWNhbCBFbmdpbmVlcmluZyBvZiBYaW5qaWFuZyBCaW50dWFuLCBTaGloZXppIFVu
aXZlcnNpdHksIFNoaWhlemkgODMyMDAzLCBDaGluYS4gRWxlY3Ryb25pYyBhZGRyZXNzOiBodWFu
Z2ppbjIwMTVAc3d1LmVkdS5jbi48L2F1dGgtYWRkcmVzcz48dGl0bGVzPjx0aXRsZT5FbWJlZGRp
bmcgTW4oMispIGluIHBvbHltZXIgY29hdGluZyBvbiByb2QtbGlrZSBjZWxsdWxvc2UgbmFub2Ny
eXN0YWwgdG8gaW50ZWdyYXRlIE1SSSBhbmQgcGhvdG90aGVybWFsIGZ1bmN0aW9uPC90aXRsZT48
c2Vjb25kYXJ5LXRpdGxlPkNhcmJvaHlkciBQb2x5bTwvc2Vjb25kYXJ5LXRpdGxlPjxhbHQtdGl0
bGU+Q2FyYm9oeWRyYXRlIHBvbHltZXJzPC9hbHQtdGl0bGU+PC90aXRsZXM+PHBlcmlvZGljYWw+
PGZ1bGwtdGl0bGU+Q2FyYm9oeWRyIFBvbHltPC9mdWxsLXRpdGxlPjxhYmJyLTE+Q2FyYm9oeWRy
YXRlIHBvbHltZXJzPC9hYmJyLTE+PC9wZXJpb2RpY2FsPjxhbHQtcGVyaW9kaWNhbD48ZnVsbC10
aXRsZT5DYXJib2h5ZHIgUG9seW08L2Z1bGwtdGl0bGU+PGFiYnItMT5DYXJib2h5ZHJhdGUgcG9s
eW1lcnM8L2FiYnItMT48L2FsdC1wZXJpb2RpY2FsPjxwYWdlcz4xMjAwNjE8L3BhZ2VzPjx2b2x1
bWU+Mjk3PC92b2x1bWU+PGVkaXRpb24+MjAyMi8xMC8wMzwvZWRpdGlvbj48a2V5d29yZHM+PGtl
eXdvcmQ+KkNlbGx1bG9zZTwva2V5d29yZD48a2V5d29yZD5Jb25zPC9rZXl3b3JkPjxrZXl3b3Jk
Pk1hZ25ldGljIFJlc29uYW5jZSBJbWFnaW5nL21ldGhvZHM8L2tleXdvcmQ+PGtleXdvcmQ+Kk5h
bm9wYXJ0aWNsZXMvY2hlbWlzdHJ5PC9rZXl3b3JkPjxrZXl3b3JkPlBvbHltZXJzL2NoZW1pc3Ry
eTwva2V5d29yZD48a2V5d29yZD5CaW8tYmFzZWQgbmFuby1jb250cmFzdDwva2V5d29yZD48a2V5
d29yZD5DZWxsdWxvc2UgbmFub2NyeXN0YWw8L2tleXdvcmQ+PGtleXdvcmQ+TWFnbmV0aWMgcmVz
b25hbmNlIGltYWdpbmc8L2tleXdvcmQ+PGtleXdvcmQ+UGhvdG90aGVybWFsIGZ1bmN0aW9uPC9r
ZXl3b3JkPjxrZXl3b3JkPlJvZC1saWtlIG5hbm9wYXJ0aWNsZTwva2V5d29yZD48a2V5d29yZD5v
ZiBpbnRlcmVzdC48L2tleXdvcmQ+PC9rZXl3b3Jkcz48ZGF0ZXM+PHllYXI+MjAyMjwveWVhcj48
cHViLWRhdGVzPjxkYXRlPkRlYyAxPC9kYXRlPjwvcHViLWRhdGVzPjwvZGF0ZXM+PGlzYm4+MDE0
NC04NjE3PC9pc2JuPjxhY2Nlc3Npb24tbnVtPjM2MTg0MTU1PC9hY2Nlc3Npb24tbnVtPjx1cmxz
PjwvdXJscz48ZWxlY3Ryb25pYy1yZXNvdXJjZS1udW0+MTAuMTAxNi9qLmNhcmJwb2wuMjAyMi4x
MjAwNjE8L2VsZWN0cm9uaWMtcmVzb3VyY2UtbnVtPjxyZW1vdGUtZGF0YWJhc2UtcHJvdmlkZXI+
TkxNPC9yZW1vdGUtZGF0YWJhc2UtcHJvdmlkZXI+PGxhbmd1YWdlPmVuZzwvbGFuZ3VhZ2U+PC9y
ZWNvcmQ+PC9DaXRlPjxDaXRlPjxBdXRob3I+WmhhbzwvQXV0aG9yPjxZZWFyPjIwMjI8L1llYXI+
PFJlY051bT44MjE8L1JlY051bT48cmVjb3JkPjxyZWMtbnVtYmVyPjgyMTwvcmVjLW51bWJlcj48
Zm9yZWlnbi1rZXlzPjxrZXkgYXBwPSJFTiIgZGItaWQ9ImYydzVlMHN4b3ZkZDJqZXRwc3R4MjBz
NDV4eng5MnpmMnd6MCIgdGltZXN0YW1wPSIxNzQ1OTE0ODE1Ij44MjE8L2tleT48L2ZvcmVpZ24t
a2V5cz48cmVmLXR5cGUgbmFtZT0iSm91cm5hbCBBcnRpY2xlIj4xNzwvcmVmLXR5cGU+PGNvbnRy
aWJ1dG9ycz48YXV0aG9ycz48YXV0aG9yPlpoYW8sIFIuPC9hdXRob3I+PGF1dGhvcj5aaHUsIFku
PC9hdXRob3I+PGF1dGhvcj5aaG91LCBKLjwvYXV0aG9yPjxhdXRob3I+TGl1LCBCLjwvYXV0aG9y
PjxhdXRob3I+RHUsIFkuPC9hdXRob3I+PGF1dGhvcj5HYWksIFMuPC9hdXRob3I+PGF1dGhvcj5T
aGVuLCBSLjwvYXV0aG9yPjxhdXRob3I+RmVuZywgTC48L2F1dGhvcj48YXV0aG9yPllhbmcsIFAu
PC9hdXRob3I+PC9hdXRob3JzPjwvY29udHJpYnV0b3JzPjxhdXRoLWFkZHJlc3M+S2V5IExhYm9y
YXRvcnkgb2YgU3VwZXJsaWdodCBNYXRlcmlhbHMgYW5kIFN1cmZhY2UgVGVjaG5vbG9neSwgTWlu
aXN0cnkgb2YgRWR1Y2F0aW9uLCBDb2xsZWdlIG9mIE1hdGVyaWFscyBTY2llbmNlIGFuZCBDaGVt
aWNhbCBFbmdpbmVlcmluZywgSGFyYmluIEVuZ2luZWVyaW5nIFVuaXZlcnNpdHksIEhhcmJpbiwg
MTUwMDAxLCBQLiBSLiBDaGluYS4mI3hEO1lhbnRhaSBSZXNlYXJjaCBJbnN0aXR1dGUsIEhhcmJp
biBFbmdpbmVlcmluZyBVbml2ZXJzaXR5LCBZYW50YWksIDI2NDAwMCwgUC4gUi4gQ2hpbmEuJiN4
RDtMYWJvcmF0b3J5IGZvciBTcGFjZSBFbnZpcm9ubWVudCBhbmQgUGh5c2ljYWwgU2NpZW5jZXMs
IEhhcmJpbiBJbnN0aXR1dGUgb2YgVGVjaG5vbG9neSwgSGFyYmluLCAxNTAwMDEsIFAuIFIuIENo
aW5hLjwvYXV0aC1hZGRyZXNzPjx0aXRsZXM+PHRpdGxlPkR1YWwgR2x1dGF0aGlvbmUgRGVwbGV0
aW9uIEVuaGFuY2VkIEVuenltZSBDYXRhbHl0aWMgQWN0aXZpdHkgZm9yIEh5cGVydGhlcm1pYSBB
c3Npc3RlZCBUdW1vciBUaGVyYXB5IG9uIFNlbWktTWV0YWxsaWMgVlNlKDIpL01uLUNTPC90aXRs
ZT48c2Vjb25kYXJ5LXRpdGxlPkFDUyBOYW5vPC9zZWNvbmRhcnktdGl0bGU+PGFsdC10aXRsZT5B
Q1MgbmFubzwvYWx0LXRpdGxlPjwvdGl0bGVzPjxwZXJpb2RpY2FsPjxmdWxsLXRpdGxlPkFDUyBO
YW5vPC9mdWxsLXRpdGxlPjxhYmJyLTE+QUNTIG5hbm88L2FiYnItMT48L3BlcmlvZGljYWw+PGFs
dC1wZXJpb2RpY2FsPjxmdWxsLXRpdGxlPkFDUyBOYW5vPC9mdWxsLXRpdGxlPjxhYmJyLTE+QUNT
IG5hbm88L2FiYnItMT48L2FsdC1wZXJpb2RpY2FsPjxwYWdlcz4xMDkwNC0xMDkxNzwvcGFnZXM+
PHZvbHVtZT4xNjwvdm9sdW1lPjxudW1iZXI+NzwvbnVtYmVyPjxlZGl0aW9uPjIwMjIvMDcvMDg8
L2VkaXRpb24+PGtleXdvcmRzPjxrZXl3b3JkPkh1bWFuczwva2V5d29yZD48a2V5d29yZD5NYW5n
YW5lc2UvdGhlcmFwZXV0aWMgdXNlPC9rZXl3b3JkPjxrZXl3b3JkPkh5ZHJvZ2VuIFBlcm94aWRl
PC9rZXl3b3JkPjxrZXl3b3JkPipNZXRhbGxvaWRzPC9rZXl3b3JkPjxrZXl3b3JkPkdsdXRhdGhp
b25lPC9rZXl3b3JkPjxrZXl3b3JkPipIeXBlcnRoZXJtaWEsIEluZHVjZWQvbWV0aG9kczwva2V5
d29yZD48a2V5d29yZD5UdW1vciBNaWNyb2Vudmlyb25tZW50PC9rZXl3b3JkPjxrZXl3b3JkPipO
ZW9wbGFzbXMvdGhlcmFweS9kcnVnIHRoZXJhcHk8L2tleXdvcmQ+PGtleXdvcmQ+Q2VsbCBMaW5l
LCBUdW1vcjwva2V5d29yZD48a2V5d29yZD5WU2UyPC9rZXl3b3JkPjxrZXl3b3JkPnBlcm94aWRh
c2UgbWltaWM8L2tleXdvcmQ+PGtleXdvcmQ+cGhvdG90aGVybWFsIHRoZXJhcHk8L2tleXdvcmQ+
PGtleXdvcmQ+c2VtaW1ldGFsbGljIG5hbm9tYXRlcmlhbHM8L2tleXdvcmQ+PC9rZXl3b3Jkcz48
ZGF0ZXM+PHllYXI+MjAyMjwveWVhcj48cHViLWRhdGVzPjxkYXRlPkp1bCAyNjwvZGF0ZT48L3B1
Yi1kYXRlcz48L2RhdGVzPjxpc2JuPjE5MzYtMDg1MTwvaXNibj48YWNjZXNzaW9uLW51bT4zNTc5
NzAxMzwvYWNjZXNzaW9uLW51bT48dXJscz48L3VybHM+PGVsZWN0cm9uaWMtcmVzb3VyY2UtbnVt
PjEwLjEwMjEvYWNzbmFuby4yYzAzMjIyPC9lbGVjdHJvbmljLXJlc291cmNlLW51bT48cmVtb3Rl
LWRhdGFiYXNlLXByb3ZpZGVyPk5MTTwvcmVtb3RlLWRhdGFiYXNlLXByb3ZpZGVyPjxsYW5ndWFn
ZT5lbmc8L2xhbmd1YWdlPjwvcmVjb3JkPjwvQ2l0ZT48L0VuZE5vdGU+AGAA
</w:fldData>
              </w:fldChar>
            </w:r>
            <w:r>
              <w:rPr>
                <w:color w:val="FF0000"/>
                <w:sz w:val="21"/>
                <w:szCs w:val="21"/>
              </w:rPr>
              <w:instrText xml:space="preserve"> ADDIN EN.CITE.DATA </w:instrText>
            </w:r>
            <w:r>
              <w:rPr>
                <w:color w:val="FF0000"/>
                <w:sz w:val="21"/>
                <w:szCs w:val="21"/>
              </w:rPr>
              <w:fldChar w:fldCharType="end"/>
            </w:r>
            <w:r>
              <w:rPr>
                <w:color w:val="FF0000"/>
                <w:sz w:val="21"/>
                <w:szCs w:val="21"/>
              </w:rPr>
              <w:fldChar w:fldCharType="separate"/>
            </w:r>
            <w:r>
              <w:rPr>
                <w:color w:val="FF0000"/>
                <w:sz w:val="21"/>
                <w:szCs w:val="21"/>
              </w:rPr>
              <w:t>[5, 6]</w:t>
            </w:r>
            <w:r>
              <w:rPr>
                <w:color w:val="FF0000"/>
                <w:sz w:val="21"/>
                <w:szCs w:val="21"/>
              </w:rPr>
              <w:fldChar w:fldCharType="end"/>
            </w:r>
          </w:p>
        </w:tc>
        <w:tc>
          <w:tcPr>
            <w:tcW w:w="3676" w:type="dxa"/>
          </w:tcPr>
          <w:p w14:paraId="0A5644D2">
            <w:pPr>
              <w:rPr>
                <w:bCs/>
                <w:color w:val="FF0000"/>
                <w:szCs w:val="21"/>
              </w:rPr>
            </w:pPr>
            <w:r>
              <w:rPr>
                <w:bCs/>
                <w:color w:val="FF0000"/>
                <w:szCs w:val="21"/>
              </w:rPr>
              <w:t>High photothermal conversion efficiency of 51.4% under 808-nm irradiation</w:t>
            </w:r>
          </w:p>
        </w:tc>
      </w:tr>
      <w:tr w14:paraId="4C456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70" w:type="dxa"/>
          </w:tcPr>
          <w:p w14:paraId="104B2D9D">
            <w:pPr>
              <w:jc w:val="center"/>
              <w:rPr>
                <w:b/>
                <w:bCs/>
                <w:color w:val="FF0000"/>
                <w:szCs w:val="21"/>
              </w:rPr>
            </w:pPr>
            <w:r>
              <w:rPr>
                <w:b/>
                <w:bCs/>
                <w:color w:val="FF0000"/>
                <w:szCs w:val="21"/>
              </w:rPr>
              <w:t>Imaging Modalities</w:t>
            </w:r>
          </w:p>
        </w:tc>
        <w:tc>
          <w:tcPr>
            <w:tcW w:w="3969" w:type="dxa"/>
          </w:tcPr>
          <w:p w14:paraId="2F21A186">
            <w:pPr>
              <w:rPr>
                <w:bCs/>
                <w:color w:val="FF0000"/>
                <w:szCs w:val="21"/>
              </w:rPr>
            </w:pPr>
            <w:r>
              <w:rPr>
                <w:bCs/>
                <w:color w:val="FF0000"/>
                <w:szCs w:val="21"/>
              </w:rPr>
              <w:t>Single-modal imaging (usually MRI or CT), or requires the combination of multiple materials to achieve multimodal imaging.</w:t>
            </w:r>
            <w:r>
              <w:rPr>
                <w:rFonts w:hint="eastAsia"/>
                <w:bCs/>
                <w:color w:val="FF0000"/>
                <w:szCs w:val="21"/>
              </w:rPr>
              <w:t xml:space="preserve"> Ref </w:t>
            </w:r>
            <w:bookmarkStart w:id="2" w:name="OLE_LINK24"/>
            <w:bookmarkStart w:id="3" w:name="OLE_LINK23"/>
            <w:r>
              <w:rPr>
                <w:color w:val="FF0000"/>
                <w:sz w:val="21"/>
                <w:szCs w:val="21"/>
              </w:rPr>
              <w:fldChar w:fldCharType="begin">
                <w:fldData xml:space="preserve">PEVuZE5vdGU+PENpdGU+PEF1dGhvcj5IdWFuZzwvQXV0aG9yPjxZZWFyPjIwMjQ8L1llYXI+PFJl
Y051bT44MjI8L1JlY051bT48RGlzcGxheVRleHQ+WzctOV08L0Rpc3BsYXlUZXh0PjxyZWNvcmQ+
PHJlYy1udW1iZXI+ODIyPC9yZWMtbnVtYmVyPjxmb3JlaWduLWtleXM+PGtleSBhcHA9IkVOIiBk
Yi1pZD0iZjJ3NWUwc3hvdmRkMmpldHBzdHgyMHM0NXh6eDkyemYyd3owIiB0aW1lc3RhbXA9IjE3
NDU5MTQ4NjYiPjgyMjwva2V5PjwvZm9yZWlnbi1rZXlzPjxyZWYtdHlwZSBuYW1lPSJKb3VybmFs
IEFydGljbGUiPjE3PC9yZWYtdHlwZT48Y29udHJpYnV0b3JzPjxhdXRob3JzPjxhdXRob3I+SHVh
bmcsIFAuPC9hdXRob3I+PGF1dGhvcj5UYW5nLCBRLjwvYXV0aG9yPjxhdXRob3I+TGksIE0uPC9h
dXRob3I+PGF1dGhvcj5ZYW5nLCBRLjwvYXV0aG9yPjxhdXRob3I+WmhhbmcsIFkuPC9hdXRob3I+
PGF1dGhvcj5MZWksIEwuPC9hdXRob3I+PGF1dGhvcj5MaSwgUy48L2F1dGhvcj48L2F1dGhvcnM+
PC9jb250cmlidXRvcnM+PGF1dGgtYWRkcmVzcz5EZXBhcnRtZW50IG9mIE90b3JoaW5vbGFyeW5n
b2xvZ3kgSGVhZCBhbmQgTmVjayBTdXJnZXJ5LCBUaGUgU2Vjb25kIFhpYW5neWEgSG9zcGl0YWws
IENlbnRyYWwgU291dGggVW5pdmVyc2l0eSwgQ2hhbmdzaGEsIEh1bmFuLCA0MTAwMTEsIENoaW5h
LiYjeEQ7S2V5IExhYm9yYXRvcnkgb2YgQXJ0aWZpY2lhbCBPcmdhbnMgYW5kIENvbXB1dGF0aW9u
YWwgTWVkaWNpbmUgaW4gWmhlamlhbmcgUHJvdmluY2UsIEluc3RpdHV0ZSBvZiBUcmFuc2xhdGlv
bmFsIE1lZGljaW5lLCBaaGVqaWFuZyBTaHVyZW4gVW5pdmVyc2l0eSwgSGFuZ3pob3UsIFpoZWpp
YW5nLCAzMTAwMTUsIENoaW5hLiBsZWlsYW5qaWUxOTg4QDE2My5jb20uJiN4RDtEZXBhcnRtZW50
IG9mIE90b3JoaW5vbGFyeW5nb2xvZ3kgSGVhZCBhbmQgTmVjayBTdXJnZXJ5LCBUaGUgU2Vjb25k
IFhpYW5neWEgSG9zcGl0YWwsIENlbnRyYWwgU291dGggVW5pdmVyc2l0eSwgQ2hhbmdzaGEsIEh1
bmFuLCA0MTAwMTEsIENoaW5hLiBsaXNzZG9jdG9yQGNzdS5lZHUuY24uPC9hdXRoLWFkZHJlc3M+
PHRpdGxlcz48dGl0bGU+TWFuZ2FuZXNlLWRlcml2ZWQgYmlvbWF0ZXJpYWxzIGZvciB0dW1vciBk
aWFnbm9zaXMgYW5kIHRoZXJhcHk8L3RpdGxlPjxzZWNvbmRhcnktdGl0bGU+SiBOYW5vYmlvdGVj
aG5vbG9neTwvc2Vjb25kYXJ5LXRpdGxlPjxhbHQtdGl0bGU+Sm91cm5hbCBvZiBuYW5vYmlvdGVj
aG5vbG9neTwvYWx0LXRpdGxlPjwvdGl0bGVzPjxwZXJpb2RpY2FsPjxmdWxsLXRpdGxlPkogTmFu
b2Jpb3RlY2hub2xvZ3k8L2Z1bGwtdGl0bGU+PGFiYnItMT5Kb3VybmFsIG9mIG5hbm9iaW90ZWNo
bm9sb2d5PC9hYmJyLTE+PC9wZXJpb2RpY2FsPjxhbHQtcGVyaW9kaWNhbD48ZnVsbC10aXRsZT5K
IE5hbm9iaW90ZWNobm9sb2d5PC9mdWxsLXRpdGxlPjxhYmJyLTE+Sm91cm5hbCBvZiBuYW5vYmlv
dGVjaG5vbG9neTwvYWJici0xPjwvYWx0LXBlcmlvZGljYWw+PHBhZ2VzPjMzNTwvcGFnZXM+PHZv
bHVtZT4yMjwvdm9sdW1lPjxudW1iZXI+MTwvbnVtYmVyPjxlZGl0aW9uPjIwMjQvMDYvMTY8L2Vk
aXRpb24+PGtleXdvcmRzPjxrZXl3b3JkPkFuaW1hbHM8L2tleXdvcmQ+PGtleXdvcmQ+SHVtYW5z
PC9rZXl3b3JkPjxrZXl3b3JkPipCaW9jb21wYXRpYmxlIE1hdGVyaWFscy9jaGVtaXN0cnk8L2tl
eXdvcmQ+PGtleXdvcmQ+RHJ1ZyBEZWxpdmVyeSBTeXN0ZW1zL21ldGhvZHM8L2tleXdvcmQ+PGtl
eXdvcmQ+TWFnbmV0aWMgUmVzb25hbmNlIEltYWdpbmcvbWV0aG9kczwva2V5d29yZD48a2V5d29y
ZD4qTWFuZ2FuZXNlL2NoZW1pc3RyeTwva2V5d29yZD48a2V5d29yZD5OYW5vc3RydWN0dXJlcy9j
aGVtaXN0cnkvdGhlcmFwZXV0aWMgdXNlPC9rZXl3b3JkPjxrZXl3b3JkPipOZW9wbGFzbXMvZGlh
Z25vc3RpYyBpbWFnaW5nL2RydWcgdGhlcmFweTwva2V5d29yZD48a2V5d29yZD4qVHVtb3IgTWlj
cm9lbnZpcm9ubWVudDwva2V5d29yZD48a2V5d29yZD5EcnVnIGRlbGl2ZXJ5PC9rZXl3b3JkPjxr
ZXl3b3JkPk1hZ25ldGljIHJlc29uYW5jZSBpbWFnaW5nPC9rZXl3b3JkPjxrZXl3b3JkPk1hbmdh
bmVzZS1kZXJpdmVkIGJpb21hdGVyaWFsczwva2V5d29yZD48a2V5d29yZD5OYW5vbWF0ZXJpYWxz
PC9rZXl3b3JkPjxrZXl3b3JkPlR1bW9yIG1pY3JvZW52aXJvbm1lbnQ8L2tleXdvcmQ+PC9rZXl3
b3Jkcz48ZGF0ZXM+PHllYXI+MjAyNDwveWVhcj48cHViLWRhdGVzPjxkYXRlPkp1biAxNTwvZGF0
ZT48L3B1Yi1kYXRlcz48L2RhdGVzPjxpc2JuPjE0NzctMzE1NTwvaXNibj48YWNjZXNzaW9uLW51
bT4zODg3OTUxOTwvYWNjZXNzaW9uLW51bT48dXJscz48L3VybHM+PGN1c3RvbTI+UE1DMTExNzkz
OTY8L2N1c3RvbTI+PGVsZWN0cm9uaWMtcmVzb3VyY2UtbnVtPjEwLjExODYvczEyOTUxLTAyNC0w
MjYyOS04PC9lbGVjdHJvbmljLXJlc291cmNlLW51bT48cmVtb3RlLWRhdGFiYXNlLXByb3ZpZGVy
Pk5MTTwvcmVtb3RlLWRhdGFiYXNlLXByb3ZpZGVyPjxsYW5ndWFnZT5lbmc8L2xhbmd1YWdlPjwv
cmVjb3JkPjwvQ2l0ZT48Q2l0ZT48QXV0aG9yPlpodTwvQXV0aG9yPjxZZWFyPjIwMjM8L1llYXI+
PFJlY051bT44MjM8L1JlY051bT48cmVjb3JkPjxyZWMtbnVtYmVyPjgyMzwvcmVjLW51bWJlcj48
Zm9yZWlnbi1rZXlzPjxrZXkgYXBwPSJFTiIgZGItaWQ9ImYydzVlMHN4b3ZkZDJqZXRwc3R4MjBz
NDV4eng5MnpmMnd6MCIgdGltZXN0YW1wPSIxNzQ1OTE0ODk2Ij44MjM8L2tleT48L2ZvcmVpZ24t
a2V5cz48cmVmLXR5cGUgbmFtZT0iSm91cm5hbCBBcnRpY2xlIj4xNzwvcmVmLXR5cGU+PGNvbnRy
aWJ1dG9ycz48YXV0aG9ycz48YXV0aG9yPlpodSwgQi48L2F1dGhvcj48YXV0aG9yPlpoYW5nLCBN
LjwvYXV0aG9yPjxhdXRob3I+Q2hlbiwgUS48L2F1dGhvcj48YXV0aG9yPkxpLCBaLjwvYXV0aG9y
PjxhdXRob3I+Q2hlbiwgUy48L2F1dGhvcj48YXV0aG9yPlpodSwgSi48L2F1dGhvcj48L2F1dGhv
cnM+PC9jb250cmlidXRvcnM+PGF1dGgtYWRkcmVzcz5TdGF0ZSBLZXkgTGFib3JhdG9yeSBvZiBN
YXRlcmlhbHMgUHJvY2Vzc2luZyBhbmQgTW9sZCBUZWNobm9sb2d5LCBhbmQgS2V5IExhYm9yYXRv
cnkgb2YgTWF0ZXJpYWxzIENoZW1pc3RyeSBmb3IgRW5lcmd5IENvbnZlcnNpb24gYW5kIFN0b3Jh
Z2Ugb2YgTWluaXN0cnkgb2YgRWR1Y2F0aW9uIChIVVNUKSwgU2Nob29sIG9mIENoZW1pc3RyeSBh
bmQgQ2hlbWljYWwgRW5naW5lZXJpbmcsIEh1YXpob25nIFVuaXZlcnNpdHkgb2YgU2NpZW5jZSBh
bmQgVGVjaG5vbG9neSAoSFVTVCksIFd1aGFuIDQzMDA3NCwgSHViZWksIFBSIENoaW5hLiBqdHpo
dUBtYWlsLmh1c3QuZWR1LmNuLjwvYXV0aC1hZGRyZXNzPjx0aXRsZXM+PHRpdGxlPlN0YXJ2YXRp
b24tYXNzaXN0ZWQgYW5kIHBob3RvdGhlcm1hbC10aHJpdmluZyBjb21iaW5lZCBjaGVtby9jaGVt
b2R5bmFtaWMgY2FuY2VyIHRoZXJhcHkgd2l0aCBQVC9NUiBiaW1vZGFsIGltYWdpbmc8L3RpdGxl
PjxzZWNvbmRhcnktdGl0bGU+QmlvbWF0ZXIgU2NpPC9zZWNvbmRhcnktdGl0bGU+PGFsdC10aXRs
ZT5CaW9tYXRlcmlhbHMgc2NpZW5jZTwvYWx0LXRpdGxlPjwvdGl0bGVzPjxwZXJpb2RpY2FsPjxm
dWxsLXRpdGxlPkJpb21hdGVyIFNjaTwvZnVsbC10aXRsZT48L3BlcmlvZGljYWw+PHBhZ2VzPjIx
MjktMjEzODwvcGFnZXM+PHZvbHVtZT4xMTwvdm9sdW1lPjxudW1iZXI+NjwvbnVtYmVyPjxlZGl0
aW9uPjIwMjMvMDIvMDI8L2VkaXRpb24+PGtleXdvcmRzPjxrZXl3b3JkPkh1bWFuczwva2V5d29y
ZD48a2V5d29yZD5SZWFjdGl2ZSBPeHlnZW4gU3BlY2llczwva2V5d29yZD48a2V5d29yZD5IeWRy
b2dlbiBQZXJveGlkZTwva2V5d29yZD48a2V5d29yZD4qTmVvcGxhc21zL2RpYWdub3N0aWMgaW1h
Z2luZy9kcnVnIHRoZXJhcHk8L2tleXdvcmQ+PGtleXdvcmQ+UGhvdG90aGVyYXB5L21ldGhvZHM8
L2tleXdvcmQ+PGtleXdvcmQ+TWFnbmV0aWMgUmVzb25hbmNlIEltYWdpbmc8L2tleXdvcmQ+PGtl
eXdvcmQ+TWV0aG90cmV4YXRlPC9rZXl3b3JkPjxrZXl3b3JkPkNlbGwgTGluZSwgVHVtb3I8L2tl
eXdvcmQ+PGtleXdvcmQ+Kk5hbm9wYXJ0aWNsZXM8L2tleXdvcmQ+PGtleXdvcmQ+VHVtb3IgTWlj
cm9lbnZpcm9ubWVudDwva2V5d29yZD48L2tleXdvcmRzPjxkYXRlcz48eWVhcj4yMDIzPC95ZWFy
PjxwdWItZGF0ZXM+PGRhdGU+TWFyIDE0PC9kYXRlPjwvcHViLWRhdGVzPjwvZGF0ZXM+PGlzYm4+
MjA0Ny00ODMwPC9pc2JuPjxhY2Nlc3Npb24tbnVtPjM2NzIzMzUwPC9hY2Nlc3Npb24tbnVtPjx1
cmxzPjwvdXJscz48ZWxlY3Ryb25pYy1yZXNvdXJjZS1udW0+MTAuMTAzOS9kMmJtMDE5NDRiPC9l
bGVjdHJvbmljLXJlc291cmNlLW51bT48cmVtb3RlLWRhdGFiYXNlLXByb3ZpZGVyPk5MTTwvcmVt
b3RlLWRhdGFiYXNlLXByb3ZpZGVyPjxsYW5ndWFnZT5lbmc8L2xhbmd1YWdlPjwvcmVjb3JkPjwv
Q2l0ZT48Q2l0ZT48QXV0aG9yPlhpZTwvQXV0aG9yPjxZZWFyPjIwMjI8L1llYXI+PFJlY051bT44
MjQ8L1JlY051bT48cmVjb3JkPjxyZWMtbnVtYmVyPjgyNDwvcmVjLW51bWJlcj48Zm9yZWlnbi1r
ZXlzPjxrZXkgYXBwPSJFTiIgZGItaWQ9ImYydzVlMHN4b3ZkZDJqZXRwc3R4MjBzNDV4eng5Mnpm
Mnd6MCIgdGltZXN0YW1wPSIxNzQ1OTE0OTI1Ij44MjQ8L2tleT48L2ZvcmVpZ24ta2V5cz48cmVm
LXR5cGUgbmFtZT0iSm91cm5hbCBBcnRpY2xlIj4xNzwvcmVmLXR5cGU+PGNvbnRyaWJ1dG9ycz48
YXV0aG9ycz48YXV0aG9yPlhpZSwgWC48L2F1dGhvcj48YXV0aG9yPkxpdSwgVy48L2F1dGhvcj48
YXV0aG9yPlpodSwgVy48L2F1dGhvcj48YXV0aG9yPlpoYW5nLCBHLjwvYXV0aG9yPjxhdXRob3I+
RGFpLCBZLjwvYXV0aG9yPjxhdXRob3I+V3UsIEouPC9hdXRob3I+PGF1dGhvcj5OaWUsIEguPC9h
dXRob3I+PGF1dGhvcj5MZWksIEwuPC9hdXRob3I+PC9hdXRob3JzPjwvY29udHJpYnV0b3JzPjxh
dXRoLWFkZHJlc3M+RGVwYXJ0bWVudCBvZiBPcnRob2RvbnRpY3MsIFhpYW5neWEgU3RvbWF0b2xv
Z2ljYWwgSG9zcGl0YWwsIENlbnRyYWwgU291dGggVW5pdmVyc2l0eSwgQ2hhbmdzaGEsIENoaW5h
LiYjeEQ7RGVwYXJ0bWVudCBvZiBCaW9tZWRpY2FsIFNjaWVuY2VzLCBDb2xsZWdlIG9mIEJpb2xv
Z3ksIEh1bmFuIFVuaXZlcnNpdHksIENoYW5nc2hhLCBDaGluYS48L2F1dGgtYWRkcmVzcz48dGl0
bGVzPjx0aXRsZT5BIGNlbGwgcGVuZXRyYXRpbmcgcGVwdGlkZS1tb2RpZmllZCBtYWduZXRpYy9m
bHVvcmVzY2VudCBwcm9iZSBmb3IgaW4gdml2byB0cmFja2luZyBvZiBtZXNlbmNoeW1hbCBzdGVt
IGNlbGxzPC90aXRsZT48c2Vjb25kYXJ5LXRpdGxlPkogQmlvbWVkIE1hdGVyIFJlcyBBPC9zZWNv
bmRhcnktdGl0bGU+PGFsdC10aXRsZT5Kb3VybmFsIG9mIGJpb21lZGljYWwgbWF0ZXJpYWxzIHJl
c2VhcmNoLiBQYXJ0IEE8L2FsdC10aXRsZT48L3RpdGxlcz48cGVyaW9kaWNhbD48ZnVsbC10aXRs
ZT5KIEJpb21lZCBNYXRlciBSZXMgQTwvZnVsbC10aXRsZT48YWJici0xPkpvdXJuYWwgb2YgYmlv
bWVkaWNhbCBtYXRlcmlhbHMgcmVzZWFyY2guIFBhcnQgQTwvYWJici0xPjwvcGVyaW9kaWNhbD48
YWx0LXBlcmlvZGljYWw+PGZ1bGwtdGl0bGU+SiBCaW9tZWQgTWF0ZXIgUmVzIEE8L2Z1bGwtdGl0
bGU+PGFiYnItMT5Kb3VybmFsIG9mIGJpb21lZGljYWwgbWF0ZXJpYWxzIHJlc2VhcmNoLiBQYXJ0
IEE8L2FiYnItMT48L2FsdC1wZXJpb2RpY2FsPjxwYWdlcz4xODgxLTE4OTE8L3BhZ2VzPjx2b2x1
bWU+MTEwPC92b2x1bWU+PG51bWJlcj4xMjwvbnVtYmVyPjxlZGl0aW9uPjIwMjIvMDcvMjA8L2Vk
aXRpb24+PGtleXdvcmRzPjxrZXl3b3JkPkFuaW1hbHM8L2tleXdvcmQ+PGtleXdvcmQ+KkNlbGwt
UGVuZXRyYXRpbmcgUGVwdGlkZXM8L2tleXdvcmQ+PGtleXdvcmQ+Rmx1b3Jlc2NlbnQgRHllczwv
a2V5d29yZD48a2V5d29yZD5NYWduZXRpYyBQaGVub21lbmE8L2tleXdvcmQ+PGtleXdvcmQ+TWFn
bmV0aWMgUmVzb25hbmNlIEltYWdpbmcvbWV0aG9kczwva2V5d29yZD48a2V5d29yZD4qTWVzZW5j
aHltYWwgU3RlbSBDZWxsczwva2V5d29yZD48a2V5d29yZD5NaWNlPC9rZXl3b3JkPjxrZXl3b3Jk
PipOYW5vcGFydGljbGVzPC9rZXl3b3JkPjxrZXl3b3JkPlNpbGljb24gRGlveGlkZTwva2V5d29y
ZD48a2V5d29yZD5NbiBkb3Bpbmc8L2tleXdvcmQ+PGtleXdvcmQ+Y2VsbCBwZW5ldHJhdGluZyBw
ZXB0aWRlPC9rZXl3b3JkPjxrZXl3b3JkPmluIHZpdm8gdHJhY2tpbmc8L2tleXdvcmQ+PGtleXdv
cmQ+bWVzZW5jaHltYWwgc3RlbSBjZWxsPC9rZXl3b3JkPjxrZXl3b3JkPnVwY29udmVyc2lvbiBu
YW5vcGFydGljbGU8L2tleXdvcmQ+PC9rZXl3b3Jkcz48ZGF0ZXM+PHllYXI+MjAyMjwveWVhcj48
cHViLWRhdGVzPjxkYXRlPkRlYzwvZGF0ZT48L3B1Yi1kYXRlcz48L2RhdGVzPjxpc2JuPjE1NDkt
MzI5NjwvaXNibj48YWNjZXNzaW9uLW51bT4zNTg1MjM4NTwvYWNjZXNzaW9uLW51bT48dXJscz48
L3VybHM+PGVsZWN0cm9uaWMtcmVzb3VyY2UtbnVtPjEwLjEwMDIvamJtLmEuMzc0MjA8L2VsZWN0
cm9uaWMtcmVzb3VyY2UtbnVtPjxyZW1vdGUtZGF0YWJhc2UtcHJvdmlkZXI+TkxNPC9yZW1vdGUt
ZGF0YWJhc2UtcHJvdmlkZXI+PGxhbmd1YWdlPmVuZzwvbGFuZ3VhZ2U+PC9yZWNvcmQ+PC9DaXRl
PjwvRW5kTm90ZT4A
</w:fldData>
              </w:fldChar>
            </w:r>
            <w:r>
              <w:rPr>
                <w:color w:val="FF0000"/>
                <w:sz w:val="21"/>
                <w:szCs w:val="21"/>
              </w:rPr>
              <w:instrText xml:space="preserve"> ADDIN EN.CITE </w:instrText>
            </w:r>
            <w:r>
              <w:rPr>
                <w:color w:val="FF0000"/>
                <w:sz w:val="21"/>
                <w:szCs w:val="21"/>
              </w:rPr>
              <w:fldChar w:fldCharType="begin">
                <w:fldData xml:space="preserve">PEVuZE5vdGU+PENpdGU+PEF1dGhvcj5IdWFuZzwvQXV0aG9yPjxZZWFyPjIwMjQ8L1llYXI+PFJl
Y051bT44MjI8L1JlY051bT48RGlzcGxheVRleHQ+WzctOV08L0Rpc3BsYXlUZXh0PjxyZWNvcmQ+
PHJlYy1udW1iZXI+ODIyPC9yZWMtbnVtYmVyPjxmb3JlaWduLWtleXM+PGtleSBhcHA9IkVOIiBk
Yi1pZD0iZjJ3NWUwc3hvdmRkMmpldHBzdHgyMHM0NXh6eDkyemYyd3owIiB0aW1lc3RhbXA9IjE3
NDU5MTQ4NjYiPjgyMjwva2V5PjwvZm9yZWlnbi1rZXlzPjxyZWYtdHlwZSBuYW1lPSJKb3VybmFs
IEFydGljbGUiPjE3PC9yZWYtdHlwZT48Y29udHJpYnV0b3JzPjxhdXRob3JzPjxhdXRob3I+SHVh
bmcsIFAuPC9hdXRob3I+PGF1dGhvcj5UYW5nLCBRLjwvYXV0aG9yPjxhdXRob3I+TGksIE0uPC9h
dXRob3I+PGF1dGhvcj5ZYW5nLCBRLjwvYXV0aG9yPjxhdXRob3I+WmhhbmcsIFkuPC9hdXRob3I+
PGF1dGhvcj5MZWksIEwuPC9hdXRob3I+PGF1dGhvcj5MaSwgUy48L2F1dGhvcj48L2F1dGhvcnM+
PC9jb250cmlidXRvcnM+PGF1dGgtYWRkcmVzcz5EZXBhcnRtZW50IG9mIE90b3JoaW5vbGFyeW5n
b2xvZ3kgSGVhZCBhbmQgTmVjayBTdXJnZXJ5LCBUaGUgU2Vjb25kIFhpYW5neWEgSG9zcGl0YWws
IENlbnRyYWwgU291dGggVW5pdmVyc2l0eSwgQ2hhbmdzaGEsIEh1bmFuLCA0MTAwMTEsIENoaW5h
LiYjeEQ7S2V5IExhYm9yYXRvcnkgb2YgQXJ0aWZpY2lhbCBPcmdhbnMgYW5kIENvbXB1dGF0aW9u
YWwgTWVkaWNpbmUgaW4gWmhlamlhbmcgUHJvdmluY2UsIEluc3RpdHV0ZSBvZiBUcmFuc2xhdGlv
bmFsIE1lZGljaW5lLCBaaGVqaWFuZyBTaHVyZW4gVW5pdmVyc2l0eSwgSGFuZ3pob3UsIFpoZWpp
YW5nLCAzMTAwMTUsIENoaW5hLiBsZWlsYW5qaWUxOTg4QDE2My5jb20uJiN4RDtEZXBhcnRtZW50
IG9mIE90b3JoaW5vbGFyeW5nb2xvZ3kgSGVhZCBhbmQgTmVjayBTdXJnZXJ5LCBUaGUgU2Vjb25k
IFhpYW5neWEgSG9zcGl0YWwsIENlbnRyYWwgU291dGggVW5pdmVyc2l0eSwgQ2hhbmdzaGEsIEh1
bmFuLCA0MTAwMTEsIENoaW5hLiBsaXNzZG9jdG9yQGNzdS5lZHUuY24uPC9hdXRoLWFkZHJlc3M+
PHRpdGxlcz48dGl0bGU+TWFuZ2FuZXNlLWRlcml2ZWQgYmlvbWF0ZXJpYWxzIGZvciB0dW1vciBk
aWFnbm9zaXMgYW5kIHRoZXJhcHk8L3RpdGxlPjxzZWNvbmRhcnktdGl0bGU+SiBOYW5vYmlvdGVj
aG5vbG9neTwvc2Vjb25kYXJ5LXRpdGxlPjxhbHQtdGl0bGU+Sm91cm5hbCBvZiBuYW5vYmlvdGVj
aG5vbG9neTwvYWx0LXRpdGxlPjwvdGl0bGVzPjxwZXJpb2RpY2FsPjxmdWxsLXRpdGxlPkogTmFu
b2Jpb3RlY2hub2xvZ3k8L2Z1bGwtdGl0bGU+PGFiYnItMT5Kb3VybmFsIG9mIG5hbm9iaW90ZWNo
bm9sb2d5PC9hYmJyLTE+PC9wZXJpb2RpY2FsPjxhbHQtcGVyaW9kaWNhbD48ZnVsbC10aXRsZT5K
IE5hbm9iaW90ZWNobm9sb2d5PC9mdWxsLXRpdGxlPjxhYmJyLTE+Sm91cm5hbCBvZiBuYW5vYmlv
dGVjaG5vbG9neTwvYWJici0xPjwvYWx0LXBlcmlvZGljYWw+PHBhZ2VzPjMzNTwvcGFnZXM+PHZv
bHVtZT4yMjwvdm9sdW1lPjxudW1iZXI+MTwvbnVtYmVyPjxlZGl0aW9uPjIwMjQvMDYvMTY8L2Vk
aXRpb24+PGtleXdvcmRzPjxrZXl3b3JkPkFuaW1hbHM8L2tleXdvcmQ+PGtleXdvcmQ+SHVtYW5z
PC9rZXl3b3JkPjxrZXl3b3JkPipCaW9jb21wYXRpYmxlIE1hdGVyaWFscy9jaGVtaXN0cnk8L2tl
eXdvcmQ+PGtleXdvcmQ+RHJ1ZyBEZWxpdmVyeSBTeXN0ZW1zL21ldGhvZHM8L2tleXdvcmQ+PGtl
eXdvcmQ+TWFnbmV0aWMgUmVzb25hbmNlIEltYWdpbmcvbWV0aG9kczwva2V5d29yZD48a2V5d29y
ZD4qTWFuZ2FuZXNlL2NoZW1pc3RyeTwva2V5d29yZD48a2V5d29yZD5OYW5vc3RydWN0dXJlcy9j
aGVtaXN0cnkvdGhlcmFwZXV0aWMgdXNlPC9rZXl3b3JkPjxrZXl3b3JkPipOZW9wbGFzbXMvZGlh
Z25vc3RpYyBpbWFnaW5nL2RydWcgdGhlcmFweTwva2V5d29yZD48a2V5d29yZD4qVHVtb3IgTWlj
cm9lbnZpcm9ubWVudDwva2V5d29yZD48a2V5d29yZD5EcnVnIGRlbGl2ZXJ5PC9rZXl3b3JkPjxr
ZXl3b3JkPk1hZ25ldGljIHJlc29uYW5jZSBpbWFnaW5nPC9rZXl3b3JkPjxrZXl3b3JkPk1hbmdh
bmVzZS1kZXJpdmVkIGJpb21hdGVyaWFsczwva2V5d29yZD48a2V5d29yZD5OYW5vbWF0ZXJpYWxz
PC9rZXl3b3JkPjxrZXl3b3JkPlR1bW9yIG1pY3JvZW52aXJvbm1lbnQ8L2tleXdvcmQ+PC9rZXl3
b3Jkcz48ZGF0ZXM+PHllYXI+MjAyNDwveWVhcj48cHViLWRhdGVzPjxkYXRlPkp1biAxNTwvZGF0
ZT48L3B1Yi1kYXRlcz48L2RhdGVzPjxpc2JuPjE0NzctMzE1NTwvaXNibj48YWNjZXNzaW9uLW51
bT4zODg3OTUxOTwvYWNjZXNzaW9uLW51bT48dXJscz48L3VybHM+PGN1c3RvbTI+UE1DMTExNzkz
OTY8L2N1c3RvbTI+PGVsZWN0cm9uaWMtcmVzb3VyY2UtbnVtPjEwLjExODYvczEyOTUxLTAyNC0w
MjYyOS04PC9lbGVjdHJvbmljLXJlc291cmNlLW51bT48cmVtb3RlLWRhdGFiYXNlLXByb3ZpZGVy
Pk5MTTwvcmVtb3RlLWRhdGFiYXNlLXByb3ZpZGVyPjxsYW5ndWFnZT5lbmc8L2xhbmd1YWdlPjwv
cmVjb3JkPjwvQ2l0ZT48Q2l0ZT48QXV0aG9yPlpodTwvQXV0aG9yPjxZZWFyPjIwMjM8L1llYXI+
PFJlY051bT44MjM8L1JlY051bT48cmVjb3JkPjxyZWMtbnVtYmVyPjgyMzwvcmVjLW51bWJlcj48
Zm9yZWlnbi1rZXlzPjxrZXkgYXBwPSJFTiIgZGItaWQ9ImYydzVlMHN4b3ZkZDJqZXRwc3R4MjBz
NDV4eng5MnpmMnd6MCIgdGltZXN0YW1wPSIxNzQ1OTE0ODk2Ij44MjM8L2tleT48L2ZvcmVpZ24t
a2V5cz48cmVmLXR5cGUgbmFtZT0iSm91cm5hbCBBcnRpY2xlIj4xNzwvcmVmLXR5cGU+PGNvbnRy
aWJ1dG9ycz48YXV0aG9ycz48YXV0aG9yPlpodSwgQi48L2F1dGhvcj48YXV0aG9yPlpoYW5nLCBN
LjwvYXV0aG9yPjxhdXRob3I+Q2hlbiwgUS48L2F1dGhvcj48YXV0aG9yPkxpLCBaLjwvYXV0aG9y
PjxhdXRob3I+Q2hlbiwgUy48L2F1dGhvcj48YXV0aG9yPlpodSwgSi48L2F1dGhvcj48L2F1dGhv
cnM+PC9jb250cmlidXRvcnM+PGF1dGgtYWRkcmVzcz5TdGF0ZSBLZXkgTGFib3JhdG9yeSBvZiBN
YXRlcmlhbHMgUHJvY2Vzc2luZyBhbmQgTW9sZCBUZWNobm9sb2d5LCBhbmQgS2V5IExhYm9yYXRv
cnkgb2YgTWF0ZXJpYWxzIENoZW1pc3RyeSBmb3IgRW5lcmd5IENvbnZlcnNpb24gYW5kIFN0b3Jh
Z2Ugb2YgTWluaXN0cnkgb2YgRWR1Y2F0aW9uIChIVVNUKSwgU2Nob29sIG9mIENoZW1pc3RyeSBh
bmQgQ2hlbWljYWwgRW5naW5lZXJpbmcsIEh1YXpob25nIFVuaXZlcnNpdHkgb2YgU2NpZW5jZSBh
bmQgVGVjaG5vbG9neSAoSFVTVCksIFd1aGFuIDQzMDA3NCwgSHViZWksIFBSIENoaW5hLiBqdHpo
dUBtYWlsLmh1c3QuZWR1LmNuLjwvYXV0aC1hZGRyZXNzPjx0aXRsZXM+PHRpdGxlPlN0YXJ2YXRp
b24tYXNzaXN0ZWQgYW5kIHBob3RvdGhlcm1hbC10aHJpdmluZyBjb21iaW5lZCBjaGVtby9jaGVt
b2R5bmFtaWMgY2FuY2VyIHRoZXJhcHkgd2l0aCBQVC9NUiBiaW1vZGFsIGltYWdpbmc8L3RpdGxl
PjxzZWNvbmRhcnktdGl0bGU+QmlvbWF0ZXIgU2NpPC9zZWNvbmRhcnktdGl0bGU+PGFsdC10aXRs
ZT5CaW9tYXRlcmlhbHMgc2NpZW5jZTwvYWx0LXRpdGxlPjwvdGl0bGVzPjxwZXJpb2RpY2FsPjxm
dWxsLXRpdGxlPkJpb21hdGVyIFNjaTwvZnVsbC10aXRsZT48L3BlcmlvZGljYWw+PHBhZ2VzPjIx
MjktMjEzODwvcGFnZXM+PHZvbHVtZT4xMTwvdm9sdW1lPjxudW1iZXI+NjwvbnVtYmVyPjxlZGl0
aW9uPjIwMjMvMDIvMDI8L2VkaXRpb24+PGtleXdvcmRzPjxrZXl3b3JkPkh1bWFuczwva2V5d29y
ZD48a2V5d29yZD5SZWFjdGl2ZSBPeHlnZW4gU3BlY2llczwva2V5d29yZD48a2V5d29yZD5IeWRy
b2dlbiBQZXJveGlkZTwva2V5d29yZD48a2V5d29yZD4qTmVvcGxhc21zL2RpYWdub3N0aWMgaW1h
Z2luZy9kcnVnIHRoZXJhcHk8L2tleXdvcmQ+PGtleXdvcmQ+UGhvdG90aGVyYXB5L21ldGhvZHM8
L2tleXdvcmQ+PGtleXdvcmQ+TWFnbmV0aWMgUmVzb25hbmNlIEltYWdpbmc8L2tleXdvcmQ+PGtl
eXdvcmQ+TWV0aG90cmV4YXRlPC9rZXl3b3JkPjxrZXl3b3JkPkNlbGwgTGluZSwgVHVtb3I8L2tl
eXdvcmQ+PGtleXdvcmQ+Kk5hbm9wYXJ0aWNsZXM8L2tleXdvcmQ+PGtleXdvcmQ+VHVtb3IgTWlj
cm9lbnZpcm9ubWVudDwva2V5d29yZD48L2tleXdvcmRzPjxkYXRlcz48eWVhcj4yMDIzPC95ZWFy
PjxwdWItZGF0ZXM+PGRhdGU+TWFyIDE0PC9kYXRlPjwvcHViLWRhdGVzPjwvZGF0ZXM+PGlzYm4+
MjA0Ny00ODMwPC9pc2JuPjxhY2Nlc3Npb24tbnVtPjM2NzIzMzUwPC9hY2Nlc3Npb24tbnVtPjx1
cmxzPjwvdXJscz48ZWxlY3Ryb25pYy1yZXNvdXJjZS1udW0+MTAuMTAzOS9kMmJtMDE5NDRiPC9l
bGVjdHJvbmljLXJlc291cmNlLW51bT48cmVtb3RlLWRhdGFiYXNlLXByb3ZpZGVyPk5MTTwvcmVt
b3RlLWRhdGFiYXNlLXByb3ZpZGVyPjxsYW5ndWFnZT5lbmc8L2xhbmd1YWdlPjwvcmVjb3JkPjwv
Q2l0ZT48Q2l0ZT48QXV0aG9yPlhpZTwvQXV0aG9yPjxZZWFyPjIwMjI8L1llYXI+PFJlY051bT44
MjQ8L1JlY051bT48cmVjb3JkPjxyZWMtbnVtYmVyPjgyNDwvcmVjLW51bWJlcj48Zm9yZWlnbi1r
ZXlzPjxrZXkgYXBwPSJFTiIgZGItaWQ9ImYydzVlMHN4b3ZkZDJqZXRwc3R4MjBzNDV4eng5Mnpm
Mnd6MCIgdGltZXN0YW1wPSIxNzQ1OTE0OTI1Ij44MjQ8L2tleT48L2ZvcmVpZ24ta2V5cz48cmVm
LXR5cGUgbmFtZT0iSm91cm5hbCBBcnRpY2xlIj4xNzwvcmVmLXR5cGU+PGNvbnRyaWJ1dG9ycz48
YXV0aG9ycz48YXV0aG9yPlhpZSwgWC48L2F1dGhvcj48YXV0aG9yPkxpdSwgVy48L2F1dGhvcj48
YXV0aG9yPlpodSwgVy48L2F1dGhvcj48YXV0aG9yPlpoYW5nLCBHLjwvYXV0aG9yPjxhdXRob3I+
RGFpLCBZLjwvYXV0aG9yPjxhdXRob3I+V3UsIEouPC9hdXRob3I+PGF1dGhvcj5OaWUsIEguPC9h
dXRob3I+PGF1dGhvcj5MZWksIEwuPC9hdXRob3I+PC9hdXRob3JzPjwvY29udHJpYnV0b3JzPjxh
dXRoLWFkZHJlc3M+RGVwYXJ0bWVudCBvZiBPcnRob2RvbnRpY3MsIFhpYW5neWEgU3RvbWF0b2xv
Z2ljYWwgSG9zcGl0YWwsIENlbnRyYWwgU291dGggVW5pdmVyc2l0eSwgQ2hhbmdzaGEsIENoaW5h
LiYjeEQ7RGVwYXJ0bWVudCBvZiBCaW9tZWRpY2FsIFNjaWVuY2VzLCBDb2xsZWdlIG9mIEJpb2xv
Z3ksIEh1bmFuIFVuaXZlcnNpdHksIENoYW5nc2hhLCBDaGluYS48L2F1dGgtYWRkcmVzcz48dGl0
bGVzPjx0aXRsZT5BIGNlbGwgcGVuZXRyYXRpbmcgcGVwdGlkZS1tb2RpZmllZCBtYWduZXRpYy9m
bHVvcmVzY2VudCBwcm9iZSBmb3IgaW4gdml2byB0cmFja2luZyBvZiBtZXNlbmNoeW1hbCBzdGVt
IGNlbGxzPC90aXRsZT48c2Vjb25kYXJ5LXRpdGxlPkogQmlvbWVkIE1hdGVyIFJlcyBBPC9zZWNv
bmRhcnktdGl0bGU+PGFsdC10aXRsZT5Kb3VybmFsIG9mIGJpb21lZGljYWwgbWF0ZXJpYWxzIHJl
c2VhcmNoLiBQYXJ0IEE8L2FsdC10aXRsZT48L3RpdGxlcz48cGVyaW9kaWNhbD48ZnVsbC10aXRs
ZT5KIEJpb21lZCBNYXRlciBSZXMgQTwvZnVsbC10aXRsZT48YWJici0xPkpvdXJuYWwgb2YgYmlv
bWVkaWNhbCBtYXRlcmlhbHMgcmVzZWFyY2guIFBhcnQgQTwvYWJici0xPjwvcGVyaW9kaWNhbD48
YWx0LXBlcmlvZGljYWw+PGZ1bGwtdGl0bGU+SiBCaW9tZWQgTWF0ZXIgUmVzIEE8L2Z1bGwtdGl0
bGU+PGFiYnItMT5Kb3VybmFsIG9mIGJpb21lZGljYWwgbWF0ZXJpYWxzIHJlc2VhcmNoLiBQYXJ0
IEE8L2FiYnItMT48L2FsdC1wZXJpb2RpY2FsPjxwYWdlcz4xODgxLTE4OTE8L3BhZ2VzPjx2b2x1
bWU+MTEwPC92b2x1bWU+PG51bWJlcj4xMjwvbnVtYmVyPjxlZGl0aW9uPjIwMjIvMDcvMjA8L2Vk
aXRpb24+PGtleXdvcmRzPjxrZXl3b3JkPkFuaW1hbHM8L2tleXdvcmQ+PGtleXdvcmQ+KkNlbGwt
UGVuZXRyYXRpbmcgUGVwdGlkZXM8L2tleXdvcmQ+PGtleXdvcmQ+Rmx1b3Jlc2NlbnQgRHllczwv
a2V5d29yZD48a2V5d29yZD5NYWduZXRpYyBQaGVub21lbmE8L2tleXdvcmQ+PGtleXdvcmQ+TWFn
bmV0aWMgUmVzb25hbmNlIEltYWdpbmcvbWV0aG9kczwva2V5d29yZD48a2V5d29yZD4qTWVzZW5j
aHltYWwgU3RlbSBDZWxsczwva2V5d29yZD48a2V5d29yZD5NaWNlPC9rZXl3b3JkPjxrZXl3b3Jk
PipOYW5vcGFydGljbGVzPC9rZXl3b3JkPjxrZXl3b3JkPlNpbGljb24gRGlveGlkZTwva2V5d29y
ZD48a2V5d29yZD5NbiBkb3Bpbmc8L2tleXdvcmQ+PGtleXdvcmQ+Y2VsbCBwZW5ldHJhdGluZyBw
ZXB0aWRlPC9rZXl3b3JkPjxrZXl3b3JkPmluIHZpdm8gdHJhY2tpbmc8L2tleXdvcmQ+PGtleXdv
cmQ+bWVzZW5jaHltYWwgc3RlbSBjZWxsPC9rZXl3b3JkPjxrZXl3b3JkPnVwY29udmVyc2lvbiBu
YW5vcGFydGljbGU8L2tleXdvcmQ+PC9rZXl3b3Jkcz48ZGF0ZXM+PHllYXI+MjAyMjwveWVhcj48
cHViLWRhdGVzPjxkYXRlPkRlYzwvZGF0ZT48L3B1Yi1kYXRlcz48L2RhdGVzPjxpc2JuPjE1NDkt
MzI5NjwvaXNibj48YWNjZXNzaW9uLW51bT4zNTg1MjM4NTwvYWNjZXNzaW9uLW51bT48dXJscz48
L3VybHM+PGVsZWN0cm9uaWMtcmVzb3VyY2UtbnVtPjEwLjEwMDIvamJtLmEuMzc0MjA8L2VsZWN0
cm9uaWMtcmVzb3VyY2UtbnVtPjxyZW1vdGUtZGF0YWJhc2UtcHJvdmlkZXI+TkxNPC9yZW1vdGUt
ZGF0YWJhc2UtcHJvdmlkZXI+PGxhbmd1YWdlPmVuZzwvbGFuZ3VhZ2U+PC9yZWNvcmQ+PC9DaXRl
PjwvRW5kTm90ZT4A
</w:fldData>
              </w:fldChar>
            </w:r>
            <w:r>
              <w:rPr>
                <w:color w:val="FF0000"/>
                <w:sz w:val="21"/>
                <w:szCs w:val="21"/>
              </w:rPr>
              <w:instrText xml:space="preserve"> ADDIN EN.CITE.DATA </w:instrText>
            </w:r>
            <w:r>
              <w:rPr>
                <w:color w:val="FF0000"/>
                <w:sz w:val="21"/>
                <w:szCs w:val="21"/>
              </w:rPr>
              <w:fldChar w:fldCharType="end"/>
            </w:r>
            <w:r>
              <w:rPr>
                <w:color w:val="FF0000"/>
                <w:sz w:val="21"/>
                <w:szCs w:val="21"/>
              </w:rPr>
              <w:fldChar w:fldCharType="separate"/>
            </w:r>
            <w:r>
              <w:rPr>
                <w:color w:val="FF0000"/>
                <w:sz w:val="21"/>
                <w:szCs w:val="21"/>
              </w:rPr>
              <w:t>[7-9]</w:t>
            </w:r>
            <w:r>
              <w:rPr>
                <w:color w:val="FF0000"/>
                <w:sz w:val="21"/>
                <w:szCs w:val="21"/>
              </w:rPr>
              <w:fldChar w:fldCharType="end"/>
            </w:r>
            <w:bookmarkEnd w:id="2"/>
            <w:bookmarkEnd w:id="3"/>
          </w:p>
        </w:tc>
        <w:tc>
          <w:tcPr>
            <w:tcW w:w="3676" w:type="dxa"/>
          </w:tcPr>
          <w:p w14:paraId="383E6214">
            <w:pPr>
              <w:rPr>
                <w:bCs/>
                <w:color w:val="FF0000"/>
                <w:szCs w:val="21"/>
              </w:rPr>
            </w:pPr>
            <w:r>
              <w:rPr>
                <w:bCs/>
                <w:color w:val="FF0000"/>
                <w:szCs w:val="21"/>
              </w:rPr>
              <w:t>Dual-modal imaging: Near-infrared fluorescence (NIRF) and photoacoustic imaging.</w:t>
            </w:r>
          </w:p>
        </w:tc>
      </w:tr>
      <w:tr w14:paraId="7D2C3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70" w:type="dxa"/>
            <w:tcBorders>
              <w:bottom w:val="single" w:color="auto" w:sz="12" w:space="0"/>
            </w:tcBorders>
          </w:tcPr>
          <w:p w14:paraId="1ECB0B14">
            <w:pPr>
              <w:jc w:val="center"/>
              <w:rPr>
                <w:b/>
                <w:bCs/>
                <w:color w:val="FF0000"/>
                <w:szCs w:val="21"/>
              </w:rPr>
            </w:pPr>
            <w:r>
              <w:rPr>
                <w:b/>
                <w:bCs/>
                <w:color w:val="FF0000"/>
                <w:szCs w:val="21"/>
              </w:rPr>
              <w:t>Antitumor Mechanism</w:t>
            </w:r>
          </w:p>
        </w:tc>
        <w:tc>
          <w:tcPr>
            <w:tcW w:w="3969" w:type="dxa"/>
            <w:tcBorders>
              <w:bottom w:val="single" w:color="auto" w:sz="12" w:space="0"/>
            </w:tcBorders>
          </w:tcPr>
          <w:p w14:paraId="6E74C3A6">
            <w:pPr>
              <w:rPr>
                <w:bCs/>
                <w:color w:val="FF0000"/>
                <w:szCs w:val="21"/>
              </w:rPr>
            </w:pPr>
            <w:r>
              <w:rPr>
                <w:bCs/>
                <w:color w:val="FF0000"/>
                <w:szCs w:val="21"/>
              </w:rPr>
              <w:t>Limited to a single therapeutic modality (chemotherapy, PTT, etc.), or requires the combination with chemotherapeutic drugs for synergistic effects.</w:t>
            </w:r>
            <w:r>
              <w:rPr>
                <w:rFonts w:hint="eastAsia"/>
                <w:bCs/>
                <w:color w:val="FF0000"/>
                <w:szCs w:val="21"/>
              </w:rPr>
              <w:t xml:space="preserve"> Ref </w:t>
            </w:r>
            <w:r>
              <w:rPr>
                <w:color w:val="FF0000"/>
                <w:sz w:val="21"/>
                <w:szCs w:val="21"/>
              </w:rPr>
              <w:fldChar w:fldCharType="begin">
                <w:fldData xml:space="preserve">PEVuZE5vdGU+PENpdGU+PEF1dGhvcj5MaXU8L0F1dGhvcj48WWVhcj4yMDI1PC9ZZWFyPjxSZWNO
dW0+ODI1PC9SZWNOdW0+PERpc3BsYXlUZXh0PlsxMCwgMTFdPC9EaXNwbGF5VGV4dD48cmVjb3Jk
PjxyZWMtbnVtYmVyPjgyNTwvcmVjLW51bWJlcj48Zm9yZWlnbi1rZXlzPjxrZXkgYXBwPSJFTiIg
ZGItaWQ9ImYydzVlMHN4b3ZkZDJqZXRwc3R4MjBzNDV4eng5MnpmMnd6MCIgdGltZXN0YW1wPSIx
NzQ1OTg4NjU2Ij44MjU8L2tleT48L2ZvcmVpZ24ta2V5cz48cmVmLXR5cGUgbmFtZT0iSm91cm5h
bCBBcnRpY2xlIj4xNzwvcmVmLXR5cGU+PGNvbnRyaWJ1dG9ycz48YXV0aG9ycz48YXV0aG9yPkxp
dSwgWi48L2F1dGhvcj48YXV0aG9yPkRlbmcsIFguPC9hdXRob3I+PGF1dGhvcj5XYW5nLCBaLjwv
YXV0aG9yPjxhdXRob3I+R3VvLCBZLjwvYXV0aG9yPjxhdXRob3I+SGFtZWVkLCBNLiBNLiBBLjwv
YXV0aG9yPjxhdXRob3I+RWwtTmV3ZWh5LCBNLjwvYXV0aG9yPjxhdXRob3I+WmhhbmcsIEouPC9h
dXRob3I+PGF1dGhvcj5TaGksIFguPC9hdXRob3I+PGF1dGhvcj5TaGVuLCBNLjwvYXV0aG9yPjwv
YXV0aG9ycz48L2NvbnRyaWJ1dG9ycz48YXV0aC1hZGRyZXNzPlN0YXRlIEtleSBMYWJvcmF0b3J5
IG9mIEFkdmFuY2VkIEZpYmVyIE1hdGVyaWFscywgU2hhbmdoYWkgRW5naW5lZXJpbmcgUmVzZWFy
Y2ggQ2VudGVyIG9mIE5hbm8tQmlvbWF0ZXJpYWxzIGFuZCBSZWdlbmVyYXRpdmUgTWVkaWNpbmUs
IENvbGxlZ2Ugb2YgQmlvbG9naWNhbCBTY2llbmNlIGFuZCBNZWRpY2FsIEVuZ2luZWVyaW5nLCBE
b25naHVhIFVuaXZlcnNpdHksIFNoYW5naGFpIDIwMTYyMCwgQ2hpbmEuIHhzaGlAZGh1LmVkdS5j
bi4mI3hEO0RlcGFydG1lbnQgb2YgQ2hlbWlzdHJ5LCBDb2xsZWdlIG9mIFNjaWVuY2UsIEtpbmcg
U2F1ZCBVbml2ZXJzaXR5LCBQLk8uIEJveCAyNDU1LCBSaXlhZGggMTE0NTEsIFNhdWRpIEFyYWJp
YS4mI3hEO0RlcGFydG1lbnQgb2YgT25jb2xvZ3ksIFRvbmdyZW4gSG9zcGl0YWwsIFNoYW5naGFp
IEppYW8gVG9uZyBVbml2ZXJzaXR5IFNjaG9vbCBvZiBNZWRpY2luZSwgU2hhbmdoYWkgMjAwMzM2
LCBDaGluYS4gcm9idXN0emhhbmcxNjhAYWxpeXVuLmNvbS48L2F1dGgtYWRkcmVzcz48dGl0bGVz
Pjx0aXRsZT5BIGJpb21pbWV0aWMgdGhlcmFwZXV0aWMgbmFub3ZhY2NpbmUgYmFzZWQgb24gZGVu
ZHJpbWVyLWRydWcgY29uanVnYXRlcyBjb2F0ZWQgd2l0aCBtZXRhbC1waGVub2xpYyBuZXR3b3Jr
cyBmb3IgY29tYmluYXRpb24gdGhlcmFweSBvZiBuYXNvcGhhcnluZ2VhbCBjYXJjaW5vbWE6IGFu
IGluIHZpdHJvIGludmVzdGlnYXRpb248L3RpdGxlPjxzZWNvbmRhcnktdGl0bGU+SiBNYXRlciBD
aGVtIEI8L3NlY29uZGFyeS10aXRsZT48YWx0LXRpdGxlPkpvdXJuYWwgb2YgbWF0ZXJpYWxzIGNo
ZW1pc3RyeS4gQjwvYWx0LXRpdGxlPjwvdGl0bGVzPjxwZXJpb2RpY2FsPjxmdWxsLXRpdGxlPkog
TWF0ZXIgQ2hlbSBCPC9mdWxsLXRpdGxlPjxhYmJyLTE+Sm91cm5hbCBvZiBtYXRlcmlhbHMgY2hl
bWlzdHJ5LiBCPC9hYmJyLTE+PC9wZXJpb2RpY2FsPjxhbHQtcGVyaW9kaWNhbD48ZnVsbC10aXRs
ZT5KIE1hdGVyIENoZW0gQjwvZnVsbC10aXRsZT48YWJici0xPkpvdXJuYWwgb2YgbWF0ZXJpYWxz
IGNoZW1pc3RyeS4gQjwvYWJici0xPjwvYWx0LXBlcmlvZGljYWw+PGVkaXRpb24+MjAyNS8wNC8x
NzwvZWRpdGlvbj48ZGF0ZXM+PHllYXI+MjAyNTwveWVhcj48cHViLWRhdGVzPjxkYXRlPkFwciAx
NzwvZGF0ZT48L3B1Yi1kYXRlcz48L2RhdGVzPjxpc2JuPjIwNTAtNzUweDwvaXNibj48YWNjZXNz
aW9uLW51bT40MDI0MTQ3MjwvYWNjZXNzaW9uLW51bT48dXJscz48L3VybHM+PGVsZWN0cm9uaWMt
cmVzb3VyY2UtbnVtPjEwLjEwMzkvZDV0YjAwMjI2ZTwvZWxlY3Ryb25pYy1yZXNvdXJjZS1udW0+
PHJlbW90ZS1kYXRhYmFzZS1wcm92aWRlcj5OTE08L3JlbW90ZS1kYXRhYmFzZS1wcm92aWRlcj48
bGFuZ3VhZ2U+ZW5nPC9sYW5ndWFnZT48L3JlY29yZD48L0NpdGU+PENpdGU+PEF1dGhvcj5IZW5n
PC9BdXRob3I+PFllYXI+MjAyMzwvWWVhcj48UmVjTnVtPjgyODwvUmVjTnVtPjxyZWNvcmQ+PHJl
Yy1udW1iZXI+ODI4PC9yZWMtbnVtYmVyPjxmb3JlaWduLWtleXM+PGtleSBhcHA9IkVOIiBkYi1p
ZD0iZjJ3NWUwc3hvdmRkMmpldHBzdHgyMHM0NXh6eDkyemYyd3owIiB0aW1lc3RhbXA9IjE3NDU5
ODk1MDIiPjgyODwva2V5PjwvZm9yZWlnbi1rZXlzPjxyZWYtdHlwZSBuYW1lPSJKb3VybmFsIEFy
dGljbGUiPjE3PC9yZWYtdHlwZT48Y29udHJpYnV0b3JzPjxhdXRob3JzPjxhdXRob3I+SGVuZywg
Qy48L2F1dGhvcj48YXV0aG9yPkxpdSwgVy48L2F1dGhvcj48YXV0aG9yPlpoZW5nLCBYLjwvYXV0
aG9yPjxhdXRob3I+TWEsIFguPC9hdXRob3I+PGF1dGhvcj5IdWksIEouPC9hdXRob3I+PGF1dGhv
cj5GYW4sIEQuPC9hdXRob3I+PC9hdXRob3JzPjwvY29udHJpYnV0b3JzPjxhdXRoLWFkZHJlc3M+
U2hhYW54aSBLZXkgTGFib3JhdG9yeSBvZiBEZWdyYWRhYmxlIEJpb21lZGljYWwgTWF0ZXJpYWxz
LCBTaGFhbnhpIFImYW1wO0QgQ2VudGVyIG9mIEJpb21hdGVyaWFscyBhbmQgRmVybWVudGF0aW9u
IEVuZ2luZWVyaW5nLCBTY2hvb2wgb2YgQ2hlbWljYWwgRW5naW5lZXJpbmcsIE5vcnRod2VzdCBV
bml2ZXJzaXR5LCBYaSZhcG9zO2FuLCBTaGFhbnhpLCA3MTAwNjksIENoaW5hLiYjeEQ7QmlvdGVj
aC4gJmFtcDsgQmlvbWVkLiBSZXNlYXJjaCBJbnN0aXR1dGUsIE5vcnRod2VzdCBVbml2ZXJzaXR5
LCBUYWliYWkgTm9ydGggUm9hZCAyMjksIFhpJmFwb3M7YW4sIFNoYWFueGksIDcxMDA2OSwgQ2hp
bmEuJiN4RDtTaGFhbnhpIEtleSBMYWJvcmF0b3J5IG9mIERlZ3JhZGFibGUgQmlvbWVkaWNhbCBN
YXRlcmlhbHMsIFNoYWFueGkgUiZhbXA7RCBDZW50ZXIgb2YgQmlvbWF0ZXJpYWxzIGFuZCBGZXJt
ZW50YXRpb24gRW5naW5lZXJpbmcsIFNjaG9vbCBvZiBDaGVtaWNhbCBFbmdpbmVlcmluZywgTm9y
dGh3ZXN0IFVuaXZlcnNpdHksIFhpJmFwb3M7YW4sIFNoYWFueGksIDcxMDA2OSwgQ2hpbmEuIEVs
ZWN0cm9uaWMgYWRkcmVzczogenkxMjlAbnd1LmVkdS5jbi4mI3hEO1NoYWFueGkgS2V5IExhYm9y
YXRvcnkgb2YgRGVncmFkYWJsZSBCaW9tZWRpY2FsIE1hdGVyaWFscywgU2hhYW54aSBSJmFtcDtE
IENlbnRlciBvZiBCaW9tYXRlcmlhbHMgYW5kIEZlcm1lbnRhdGlvbiBFbmdpbmVlcmluZywgU2No
b29sIG9mIENoZW1pY2FsIEVuZ2luZWVyaW5nLCBOb3J0aHdlc3QgVW5pdmVyc2l0eSwgWGkmYXBv
czthbiwgU2hhYW54aSwgNzEwMDY5LCBDaGluYTsgQmlvdGVjaC4gJmFtcDsgQmlvbWVkLiBSZXNl
YXJjaCBJbnN0aXR1dGUsIE5vcnRod2VzdCBVbml2ZXJzaXR5LCBUYWliYWkgTm9ydGggUm9hZCAy
MjksIFhpJmFwb3M7YW4sIFNoYWFueGksIDcxMDA2OSwgQ2hpbmEuJiN4RDtTaGFhbnhpIEtleSBM
YWJvcmF0b3J5IG9mIERlZ3JhZGFibGUgQmlvbWVkaWNhbCBNYXRlcmlhbHMsIFNoYWFueGkgUiZh
bXA7RCBDZW50ZXIgb2YgQmlvbWF0ZXJpYWxzIGFuZCBGZXJtZW50YXRpb24gRW5naW5lZXJpbmcs
IFNjaG9vbCBvZiBDaGVtaWNhbCBFbmdpbmVlcmluZywgTm9ydGh3ZXN0IFVuaXZlcnNpdHksIFhp
JmFwb3M7YW4sIFNoYWFueGksIDcxMDA2OSwgQ2hpbmE7IEJpb3RlY2guICZhbXA7IEJpb21lZC4g
UmVzZWFyY2ggSW5zdGl0dXRlLCBOb3J0aHdlc3QgVW5pdmVyc2l0eSwgVGFpYmFpIE5vcnRoIFJv
YWQgMjI5LCBYaSZhcG9zO2FuLCBTaGFhbnhpLCA3MTAwNjksIENoaW5hLiBFbGVjdHJvbmljIGFk
ZHJlc3M6IGZhbmRhaWRpQG53dS5lZHUuY24uPC9hdXRoLWFkZHJlc3M+PHRpdGxlcz48dGl0bGU+
RG9wYW1pbmUgYW5kIEROQSBmdW5jdGlvbmFsaXplZCBtYW5nYW5lc2Ugd2hpdGxvY2tpdGUgbmFu
b2NyeXN0YWxzIGZvciBtYWduZXRpYyByZXNvbmFuY2UgaW1hZ2luZyBhbmQgY2hlbW8tcGhvdG90
aGVybWFsIHRoZXJhcHkgb2YgdHVtb3JzPC90aXRsZT48c2Vjb25kYXJ5LXRpdGxlPkNvbGxvaWRz
IFN1cmYgQiBCaW9pbnRlcmZhY2VzPC9zZWNvbmRhcnktdGl0bGU+PGFsdC10aXRsZT5Db2xsb2lk
cyBhbmQgc3VyZmFjZXMuIEIsIEJpb2ludGVyZmFjZXM8L2FsdC10aXRsZT48L3RpdGxlcz48cGVy
aW9kaWNhbD48ZnVsbC10aXRsZT5Db2xsb2lkcyBTdXJmIEIgQmlvaW50ZXJmYWNlczwvZnVsbC10
aXRsZT48YWJici0xPkNvbGxvaWRzIGFuZCBzdXJmYWNlcy4gQiwgQmlvaW50ZXJmYWNlczwvYWJi
ci0xPjwvcGVyaW9kaWNhbD48YWx0LXBlcmlvZGljYWw+PGZ1bGwtdGl0bGU+Q29sbG9pZHMgU3Vy
ZiBCIEJpb2ludGVyZmFjZXM8L2Z1bGwtdGl0bGU+PGFiYnItMT5Db2xsb2lkcyBhbmQgc3VyZmFj
ZXMuIEIsIEJpb2ludGVyZmFjZXM8L2FiYnItMT48L2FsdC1wZXJpb2RpY2FsPjxwYWdlcz4xMTMx
MjA8L3BhZ2VzPjx2b2x1bWU+MjIyPC92b2x1bWU+PGVkaXRpb24+MjAyMy8wMS8wNTwvZWRpdGlv
bj48a2V5d29yZHM+PGtleXdvcmQ+QW5pbWFsczwva2V5d29yZD48a2V5d29yZD5NaWNlPC9rZXl3
b3JkPjxrZXl3b3JkPk1hbmdhbmVzZTwva2V5d29yZD48a2V5d29yZD5Eb3BhbWluZTwva2V5d29y
ZD48a2V5d29yZD5Eb3hvcnViaWNpbi9jaGVtaXN0cnk8L2tleXdvcmQ+PGtleXdvcmQ+UGhvdG90
aGVybWFsIFRoZXJhcHk8L2tleXdvcmQ+PGtleXdvcmQ+TWljZSwgTnVkZTwva2V5d29yZD48a2V5
d29yZD5QaG90b3RoZXJhcHkvbWV0aG9kczwva2V5d29yZD48a2V5d29yZD4qTmVvcGxhc21zL3Bh
dGhvbG9neTwva2V5d29yZD48a2V5d29yZD4qTmFub3BhcnRpY2xlcy9jaGVtaXN0cnk8L2tleXdv
cmQ+PGtleXdvcmQ+TWFnbmV0aWMgUmVzb25hbmNlIEltYWdpbmcvbWV0aG9kczwva2V5d29yZD48
a2V5d29yZD5DaGVtby1waG90b3RoZXJtYWwgdGhlcmFweTwva2V5d29yZD48a2V5d29yZD5IcERO
QTwva2V5d29yZD48a2V5d29yZD5NUkkgaW1hZ2luZzwva2V5d29yZD48a2V5d29yZD5Nbi1XSCBO
UHM8L2tleXdvcmQ+PGtleXdvcmQ+UERBPC9rZXl3b3JkPjxrZXl3b3JkPmNvbXBldGluZyBmaW5h
bmNpYWwgaW50ZXJlc3RzIG9yIHBlcnNvbmFsIHJlbGF0aW9uc2hpcHMgdGhhdCBjb3VsZCBoYXZl
IGFwcGVhcmVkPC9rZXl3b3JkPjxrZXl3b3JkPnRvIGluZmx1ZW5jZSB0aGUgd29yayByZXBvcnRl
ZCBpbiB0aGlzIHBhcGVyLjwva2V5d29yZD48L2tleXdvcmRzPjxkYXRlcz48eWVhcj4yMDIzPC95
ZWFyPjxwdWItZGF0ZXM+PGRhdGU+RmViPC9kYXRlPjwvcHViLWRhdGVzPjwvZGF0ZXM+PGlzYm4+
MDkyNy03NzY1PC9pc2JuPjxhY2Nlc3Npb24tbnVtPjM2NTk5MTg4PC9hY2Nlc3Npb24tbnVtPjx1
cmxzPjwvdXJscz48ZWxlY3Ryb25pYy1yZXNvdXJjZS1udW0+MTAuMTAxNi9qLmNvbHN1cmZiLjIw
MjIuMTEzMTIwPC9lbGVjdHJvbmljLXJlc291cmNlLW51bT48cmVtb3RlLWRhdGFiYXNlLXByb3Zp
ZGVyPk5MTTwvcmVtb3RlLWRhdGFiYXNlLXByb3ZpZGVyPjxsYW5ndWFnZT5lbmc8L2xhbmd1YWdl
PjwvcmVjb3JkPjwvQ2l0ZT48L0VuZE5vdGU+
</w:fldData>
              </w:fldChar>
            </w:r>
            <w:r>
              <w:rPr>
                <w:color w:val="FF0000"/>
                <w:sz w:val="21"/>
                <w:szCs w:val="21"/>
              </w:rPr>
              <w:instrText xml:space="preserve"> ADDIN EN.CITE </w:instrText>
            </w:r>
            <w:r>
              <w:rPr>
                <w:color w:val="FF0000"/>
                <w:sz w:val="21"/>
                <w:szCs w:val="21"/>
              </w:rPr>
              <w:fldChar w:fldCharType="begin">
                <w:fldData xml:space="preserve">PEVuZE5vdGU+PENpdGU+PEF1dGhvcj5MaXU8L0F1dGhvcj48WWVhcj4yMDI1PC9ZZWFyPjxSZWNO
dW0+ODI1PC9SZWNOdW0+PERpc3BsYXlUZXh0PlsxMCwgMTFdPC9EaXNwbGF5VGV4dD48cmVjb3Jk
PjxyZWMtbnVtYmVyPjgyNTwvcmVjLW51bWJlcj48Zm9yZWlnbi1rZXlzPjxrZXkgYXBwPSJFTiIg
ZGItaWQ9ImYydzVlMHN4b3ZkZDJqZXRwc3R4MjBzNDV4eng5MnpmMnd6MCIgdGltZXN0YW1wPSIx
NzQ1OTg4NjU2Ij44MjU8L2tleT48L2ZvcmVpZ24ta2V5cz48cmVmLXR5cGUgbmFtZT0iSm91cm5h
bCBBcnRpY2xlIj4xNzwvcmVmLXR5cGU+PGNvbnRyaWJ1dG9ycz48YXV0aG9ycz48YXV0aG9yPkxp
dSwgWi48L2F1dGhvcj48YXV0aG9yPkRlbmcsIFguPC9hdXRob3I+PGF1dGhvcj5XYW5nLCBaLjwv
YXV0aG9yPjxhdXRob3I+R3VvLCBZLjwvYXV0aG9yPjxhdXRob3I+SGFtZWVkLCBNLiBNLiBBLjwv
YXV0aG9yPjxhdXRob3I+RWwtTmV3ZWh5LCBNLjwvYXV0aG9yPjxhdXRob3I+WmhhbmcsIEouPC9h
dXRob3I+PGF1dGhvcj5TaGksIFguPC9hdXRob3I+PGF1dGhvcj5TaGVuLCBNLjwvYXV0aG9yPjwv
YXV0aG9ycz48L2NvbnRyaWJ1dG9ycz48YXV0aC1hZGRyZXNzPlN0YXRlIEtleSBMYWJvcmF0b3J5
IG9mIEFkdmFuY2VkIEZpYmVyIE1hdGVyaWFscywgU2hhbmdoYWkgRW5naW5lZXJpbmcgUmVzZWFy
Y2ggQ2VudGVyIG9mIE5hbm8tQmlvbWF0ZXJpYWxzIGFuZCBSZWdlbmVyYXRpdmUgTWVkaWNpbmUs
IENvbGxlZ2Ugb2YgQmlvbG9naWNhbCBTY2llbmNlIGFuZCBNZWRpY2FsIEVuZ2luZWVyaW5nLCBE
b25naHVhIFVuaXZlcnNpdHksIFNoYW5naGFpIDIwMTYyMCwgQ2hpbmEuIHhzaGlAZGh1LmVkdS5j
bi4mI3hEO0RlcGFydG1lbnQgb2YgQ2hlbWlzdHJ5LCBDb2xsZWdlIG9mIFNjaWVuY2UsIEtpbmcg
U2F1ZCBVbml2ZXJzaXR5LCBQLk8uIEJveCAyNDU1LCBSaXlhZGggMTE0NTEsIFNhdWRpIEFyYWJp
YS4mI3hEO0RlcGFydG1lbnQgb2YgT25jb2xvZ3ksIFRvbmdyZW4gSG9zcGl0YWwsIFNoYW5naGFp
IEppYW8gVG9uZyBVbml2ZXJzaXR5IFNjaG9vbCBvZiBNZWRpY2luZSwgU2hhbmdoYWkgMjAwMzM2
LCBDaGluYS4gcm9idXN0emhhbmcxNjhAYWxpeXVuLmNvbS48L2F1dGgtYWRkcmVzcz48dGl0bGVz
Pjx0aXRsZT5BIGJpb21pbWV0aWMgdGhlcmFwZXV0aWMgbmFub3ZhY2NpbmUgYmFzZWQgb24gZGVu
ZHJpbWVyLWRydWcgY29uanVnYXRlcyBjb2F0ZWQgd2l0aCBtZXRhbC1waGVub2xpYyBuZXR3b3Jr
cyBmb3IgY29tYmluYXRpb24gdGhlcmFweSBvZiBuYXNvcGhhcnluZ2VhbCBjYXJjaW5vbWE6IGFu
IGluIHZpdHJvIGludmVzdGlnYXRpb248L3RpdGxlPjxzZWNvbmRhcnktdGl0bGU+SiBNYXRlciBD
aGVtIEI8L3NlY29uZGFyeS10aXRsZT48YWx0LXRpdGxlPkpvdXJuYWwgb2YgbWF0ZXJpYWxzIGNo
ZW1pc3RyeS4gQjwvYWx0LXRpdGxlPjwvdGl0bGVzPjxwZXJpb2RpY2FsPjxmdWxsLXRpdGxlPkog
TWF0ZXIgQ2hlbSBCPC9mdWxsLXRpdGxlPjxhYmJyLTE+Sm91cm5hbCBvZiBtYXRlcmlhbHMgY2hl
bWlzdHJ5LiBCPC9hYmJyLTE+PC9wZXJpb2RpY2FsPjxhbHQtcGVyaW9kaWNhbD48ZnVsbC10aXRs
ZT5KIE1hdGVyIENoZW0gQjwvZnVsbC10aXRsZT48YWJici0xPkpvdXJuYWwgb2YgbWF0ZXJpYWxz
IGNoZW1pc3RyeS4gQjwvYWJici0xPjwvYWx0LXBlcmlvZGljYWw+PGVkaXRpb24+MjAyNS8wNC8x
NzwvZWRpdGlvbj48ZGF0ZXM+PHllYXI+MjAyNTwveWVhcj48cHViLWRhdGVzPjxkYXRlPkFwciAx
NzwvZGF0ZT48L3B1Yi1kYXRlcz48L2RhdGVzPjxpc2JuPjIwNTAtNzUweDwvaXNibj48YWNjZXNz
aW9uLW51bT40MDI0MTQ3MjwvYWNjZXNzaW9uLW51bT48dXJscz48L3VybHM+PGVsZWN0cm9uaWMt
cmVzb3VyY2UtbnVtPjEwLjEwMzkvZDV0YjAwMjI2ZTwvZWxlY3Ryb25pYy1yZXNvdXJjZS1udW0+
PHJlbW90ZS1kYXRhYmFzZS1wcm92aWRlcj5OTE08L3JlbW90ZS1kYXRhYmFzZS1wcm92aWRlcj48
bGFuZ3VhZ2U+ZW5nPC9sYW5ndWFnZT48L3JlY29yZD48L0NpdGU+PENpdGU+PEF1dGhvcj5IZW5n
PC9BdXRob3I+PFllYXI+MjAyMzwvWWVhcj48UmVjTnVtPjgyODwvUmVjTnVtPjxyZWNvcmQ+PHJl
Yy1udW1iZXI+ODI4PC9yZWMtbnVtYmVyPjxmb3JlaWduLWtleXM+PGtleSBhcHA9IkVOIiBkYi1p
ZD0iZjJ3NWUwc3hvdmRkMmpldHBzdHgyMHM0NXh6eDkyemYyd3owIiB0aW1lc3RhbXA9IjE3NDU5
ODk1MDIiPjgyODwva2V5PjwvZm9yZWlnbi1rZXlzPjxyZWYtdHlwZSBuYW1lPSJKb3VybmFsIEFy
dGljbGUiPjE3PC9yZWYtdHlwZT48Y29udHJpYnV0b3JzPjxhdXRob3JzPjxhdXRob3I+SGVuZywg
Qy48L2F1dGhvcj48YXV0aG9yPkxpdSwgVy48L2F1dGhvcj48YXV0aG9yPlpoZW5nLCBYLjwvYXV0
aG9yPjxhdXRob3I+TWEsIFguPC9hdXRob3I+PGF1dGhvcj5IdWksIEouPC9hdXRob3I+PGF1dGhv
cj5GYW4sIEQuPC9hdXRob3I+PC9hdXRob3JzPjwvY29udHJpYnV0b3JzPjxhdXRoLWFkZHJlc3M+
U2hhYW54aSBLZXkgTGFib3JhdG9yeSBvZiBEZWdyYWRhYmxlIEJpb21lZGljYWwgTWF0ZXJpYWxz
LCBTaGFhbnhpIFImYW1wO0QgQ2VudGVyIG9mIEJpb21hdGVyaWFscyBhbmQgRmVybWVudGF0aW9u
IEVuZ2luZWVyaW5nLCBTY2hvb2wgb2YgQ2hlbWljYWwgRW5naW5lZXJpbmcsIE5vcnRod2VzdCBV
bml2ZXJzaXR5LCBYaSZhcG9zO2FuLCBTaGFhbnhpLCA3MTAwNjksIENoaW5hLiYjeEQ7QmlvdGVj
aC4gJmFtcDsgQmlvbWVkLiBSZXNlYXJjaCBJbnN0aXR1dGUsIE5vcnRod2VzdCBVbml2ZXJzaXR5
LCBUYWliYWkgTm9ydGggUm9hZCAyMjksIFhpJmFwb3M7YW4sIFNoYWFueGksIDcxMDA2OSwgQ2hp
bmEuJiN4RDtTaGFhbnhpIEtleSBMYWJvcmF0b3J5IG9mIERlZ3JhZGFibGUgQmlvbWVkaWNhbCBN
YXRlcmlhbHMsIFNoYWFueGkgUiZhbXA7RCBDZW50ZXIgb2YgQmlvbWF0ZXJpYWxzIGFuZCBGZXJt
ZW50YXRpb24gRW5naW5lZXJpbmcsIFNjaG9vbCBvZiBDaGVtaWNhbCBFbmdpbmVlcmluZywgTm9y
dGh3ZXN0IFVuaXZlcnNpdHksIFhpJmFwb3M7YW4sIFNoYWFueGksIDcxMDA2OSwgQ2hpbmEuIEVs
ZWN0cm9uaWMgYWRkcmVzczogenkxMjlAbnd1LmVkdS5jbi4mI3hEO1NoYWFueGkgS2V5IExhYm9y
YXRvcnkgb2YgRGVncmFkYWJsZSBCaW9tZWRpY2FsIE1hdGVyaWFscywgU2hhYW54aSBSJmFtcDtE
IENlbnRlciBvZiBCaW9tYXRlcmlhbHMgYW5kIEZlcm1lbnRhdGlvbiBFbmdpbmVlcmluZywgU2No
b29sIG9mIENoZW1pY2FsIEVuZ2luZWVyaW5nLCBOb3J0aHdlc3QgVW5pdmVyc2l0eSwgWGkmYXBv
czthbiwgU2hhYW54aSwgNzEwMDY5LCBDaGluYTsgQmlvdGVjaC4gJmFtcDsgQmlvbWVkLiBSZXNl
YXJjaCBJbnN0aXR1dGUsIE5vcnRod2VzdCBVbml2ZXJzaXR5LCBUYWliYWkgTm9ydGggUm9hZCAy
MjksIFhpJmFwb3M7YW4sIFNoYWFueGksIDcxMDA2OSwgQ2hpbmEuJiN4RDtTaGFhbnhpIEtleSBM
YWJvcmF0b3J5IG9mIERlZ3JhZGFibGUgQmlvbWVkaWNhbCBNYXRlcmlhbHMsIFNoYWFueGkgUiZh
bXA7RCBDZW50ZXIgb2YgQmlvbWF0ZXJpYWxzIGFuZCBGZXJtZW50YXRpb24gRW5naW5lZXJpbmcs
IFNjaG9vbCBvZiBDaGVtaWNhbCBFbmdpbmVlcmluZywgTm9ydGh3ZXN0IFVuaXZlcnNpdHksIFhp
JmFwb3M7YW4sIFNoYWFueGksIDcxMDA2OSwgQ2hpbmE7IEJpb3RlY2guICZhbXA7IEJpb21lZC4g
UmVzZWFyY2ggSW5zdGl0dXRlLCBOb3J0aHdlc3QgVW5pdmVyc2l0eSwgVGFpYmFpIE5vcnRoIFJv
YWQgMjI5LCBYaSZhcG9zO2FuLCBTaGFhbnhpLCA3MTAwNjksIENoaW5hLiBFbGVjdHJvbmljIGFk
ZHJlc3M6IGZhbmRhaWRpQG53dS5lZHUuY24uPC9hdXRoLWFkZHJlc3M+PHRpdGxlcz48dGl0bGU+
RG9wYW1pbmUgYW5kIEROQSBmdW5jdGlvbmFsaXplZCBtYW5nYW5lc2Ugd2hpdGxvY2tpdGUgbmFu
b2NyeXN0YWxzIGZvciBtYWduZXRpYyByZXNvbmFuY2UgaW1hZ2luZyBhbmQgY2hlbW8tcGhvdG90
aGVybWFsIHRoZXJhcHkgb2YgdHVtb3JzPC90aXRsZT48c2Vjb25kYXJ5LXRpdGxlPkNvbGxvaWRz
IFN1cmYgQiBCaW9pbnRlcmZhY2VzPC9zZWNvbmRhcnktdGl0bGU+PGFsdC10aXRsZT5Db2xsb2lk
cyBhbmQgc3VyZmFjZXMuIEIsIEJpb2ludGVyZmFjZXM8L2FsdC10aXRsZT48L3RpdGxlcz48cGVy
aW9kaWNhbD48ZnVsbC10aXRsZT5Db2xsb2lkcyBTdXJmIEIgQmlvaW50ZXJmYWNlczwvZnVsbC10
aXRsZT48YWJici0xPkNvbGxvaWRzIGFuZCBzdXJmYWNlcy4gQiwgQmlvaW50ZXJmYWNlczwvYWJi
ci0xPjwvcGVyaW9kaWNhbD48YWx0LXBlcmlvZGljYWw+PGZ1bGwtdGl0bGU+Q29sbG9pZHMgU3Vy
ZiBCIEJpb2ludGVyZmFjZXM8L2Z1bGwtdGl0bGU+PGFiYnItMT5Db2xsb2lkcyBhbmQgc3VyZmFj
ZXMuIEIsIEJpb2ludGVyZmFjZXM8L2FiYnItMT48L2FsdC1wZXJpb2RpY2FsPjxwYWdlcz4xMTMx
MjA8L3BhZ2VzPjx2b2x1bWU+MjIyPC92b2x1bWU+PGVkaXRpb24+MjAyMy8wMS8wNTwvZWRpdGlv
bj48a2V5d29yZHM+PGtleXdvcmQ+QW5pbWFsczwva2V5d29yZD48a2V5d29yZD5NaWNlPC9rZXl3
b3JkPjxrZXl3b3JkPk1hbmdhbmVzZTwva2V5d29yZD48a2V5d29yZD5Eb3BhbWluZTwva2V5d29y
ZD48a2V5d29yZD5Eb3hvcnViaWNpbi9jaGVtaXN0cnk8L2tleXdvcmQ+PGtleXdvcmQ+UGhvdG90
aGVybWFsIFRoZXJhcHk8L2tleXdvcmQ+PGtleXdvcmQ+TWljZSwgTnVkZTwva2V5d29yZD48a2V5
d29yZD5QaG90b3RoZXJhcHkvbWV0aG9kczwva2V5d29yZD48a2V5d29yZD4qTmVvcGxhc21zL3Bh
dGhvbG9neTwva2V5d29yZD48a2V5d29yZD4qTmFub3BhcnRpY2xlcy9jaGVtaXN0cnk8L2tleXdv
cmQ+PGtleXdvcmQ+TWFnbmV0aWMgUmVzb25hbmNlIEltYWdpbmcvbWV0aG9kczwva2V5d29yZD48
a2V5d29yZD5DaGVtby1waG90b3RoZXJtYWwgdGhlcmFweTwva2V5d29yZD48a2V5d29yZD5IcERO
QTwva2V5d29yZD48a2V5d29yZD5NUkkgaW1hZ2luZzwva2V5d29yZD48a2V5d29yZD5Nbi1XSCBO
UHM8L2tleXdvcmQ+PGtleXdvcmQ+UERBPC9rZXl3b3JkPjxrZXl3b3JkPmNvbXBldGluZyBmaW5h
bmNpYWwgaW50ZXJlc3RzIG9yIHBlcnNvbmFsIHJlbGF0aW9uc2hpcHMgdGhhdCBjb3VsZCBoYXZl
IGFwcGVhcmVkPC9rZXl3b3JkPjxrZXl3b3JkPnRvIGluZmx1ZW5jZSB0aGUgd29yayByZXBvcnRl
ZCBpbiB0aGlzIHBhcGVyLjwva2V5d29yZD48L2tleXdvcmRzPjxkYXRlcz48eWVhcj4yMDIzPC95
ZWFyPjxwdWItZGF0ZXM+PGRhdGU+RmViPC9kYXRlPjwvcHViLWRhdGVzPjwvZGF0ZXM+PGlzYm4+
MDkyNy03NzY1PC9pc2JuPjxhY2Nlc3Npb24tbnVtPjM2NTk5MTg4PC9hY2Nlc3Npb24tbnVtPjx1
cmxzPjwvdXJscz48ZWxlY3Ryb25pYy1yZXNvdXJjZS1udW0+MTAuMTAxNi9qLmNvbHN1cmZiLjIw
MjIuMTEzMTIwPC9lbGVjdHJvbmljLXJlc291cmNlLW51bT48cmVtb3RlLWRhdGFiYXNlLXByb3Zp
ZGVyPk5MTTwvcmVtb3RlLWRhdGFiYXNlLXByb3ZpZGVyPjxsYW5ndWFnZT5lbmc8L2xhbmd1YWdl
PjwvcmVjb3JkPjwvQ2l0ZT48L0VuZE5vdGU+
</w:fldData>
              </w:fldChar>
            </w:r>
            <w:r>
              <w:rPr>
                <w:color w:val="FF0000"/>
                <w:sz w:val="21"/>
                <w:szCs w:val="21"/>
              </w:rPr>
              <w:instrText xml:space="preserve"> ADDIN EN.CITE.DATA </w:instrText>
            </w:r>
            <w:r>
              <w:rPr>
                <w:color w:val="FF0000"/>
                <w:sz w:val="21"/>
                <w:szCs w:val="21"/>
              </w:rPr>
              <w:fldChar w:fldCharType="end"/>
            </w:r>
            <w:r>
              <w:rPr>
                <w:color w:val="FF0000"/>
                <w:sz w:val="21"/>
                <w:szCs w:val="21"/>
              </w:rPr>
              <w:fldChar w:fldCharType="separate"/>
            </w:r>
            <w:r>
              <w:rPr>
                <w:color w:val="FF0000"/>
                <w:sz w:val="21"/>
                <w:szCs w:val="21"/>
              </w:rPr>
              <w:t>[10, 11]</w:t>
            </w:r>
            <w:r>
              <w:rPr>
                <w:color w:val="FF0000"/>
                <w:sz w:val="21"/>
                <w:szCs w:val="21"/>
              </w:rPr>
              <w:fldChar w:fldCharType="end"/>
            </w:r>
          </w:p>
        </w:tc>
        <w:tc>
          <w:tcPr>
            <w:tcW w:w="3676" w:type="dxa"/>
            <w:tcBorders>
              <w:bottom w:val="single" w:color="auto" w:sz="12" w:space="0"/>
            </w:tcBorders>
          </w:tcPr>
          <w:p w14:paraId="108298CA">
            <w:pPr>
              <w:rPr>
                <w:bCs/>
                <w:color w:val="FF0000"/>
                <w:szCs w:val="21"/>
              </w:rPr>
            </w:pPr>
            <w:r>
              <w:rPr>
                <w:bCs/>
                <w:color w:val="FF0000"/>
                <w:szCs w:val="21"/>
              </w:rPr>
              <w:t>Multifunctional therapy combining PTT, PDT, and Mn²⁺-mediated CDT.</w:t>
            </w:r>
          </w:p>
        </w:tc>
      </w:tr>
    </w:tbl>
    <w:p w14:paraId="3B17A08C">
      <w:pPr>
        <w:spacing w:line="480" w:lineRule="auto"/>
        <w:rPr>
          <w:b/>
          <w:bCs/>
          <w:color w:val="000000" w:themeColor="text1"/>
          <w14:textFill>
            <w14:solidFill>
              <w14:schemeClr w14:val="tx1"/>
            </w14:solidFill>
          </w14:textFill>
        </w:rPr>
      </w:pPr>
    </w:p>
    <w:p w14:paraId="58E91553">
      <w:pPr>
        <w:spacing w:line="480" w:lineRule="auto"/>
        <w:rPr>
          <w:color w:val="000000" w:themeColor="text1"/>
          <w:lang w:bidi="ar"/>
          <w14:textFill>
            <w14:solidFill>
              <w14:schemeClr w14:val="tx1"/>
            </w14:solidFill>
          </w14:textFill>
        </w:rPr>
      </w:pPr>
      <w:r>
        <w:rPr>
          <w:color w:val="000000" w:themeColor="text1"/>
          <w:lang w:bidi="ar"/>
          <w14:textFill>
            <w14:solidFill>
              <w14:schemeClr w14:val="tx1"/>
            </w14:solidFill>
          </w14:textFill>
        </w:rPr>
        <w:br w:type="page"/>
      </w:r>
    </w:p>
    <w:p w14:paraId="0A4EAE44">
      <w:pPr>
        <w:spacing w:line="480" w:lineRule="auto"/>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Supplementary Materials and Methods</w:t>
      </w:r>
    </w:p>
    <w:p w14:paraId="21F145E1">
      <w:pPr>
        <w:widowControl w:val="0"/>
        <w:spacing w:line="480" w:lineRule="auto"/>
        <w:rPr>
          <w:b/>
          <w:bCs/>
          <w:color w:val="000000" w:themeColor="text1"/>
          <w:lang w:bidi="ar"/>
          <w14:textFill>
            <w14:solidFill>
              <w14:schemeClr w14:val="tx1"/>
            </w14:solidFill>
          </w14:textFill>
        </w:rPr>
      </w:pPr>
    </w:p>
    <w:p w14:paraId="568DA9FF">
      <w:pPr>
        <w:widowControl w:val="0"/>
        <w:spacing w:line="480" w:lineRule="auto"/>
        <w:rPr>
          <w:b/>
          <w:bCs/>
          <w:color w:val="000000" w:themeColor="text1"/>
          <w14:textFill>
            <w14:solidFill>
              <w14:schemeClr w14:val="tx1"/>
            </w14:solidFill>
          </w14:textFill>
        </w:rPr>
      </w:pPr>
      <w:r>
        <w:rPr>
          <w:b/>
          <w:bCs/>
          <w:color w:val="000000" w:themeColor="text1"/>
          <w:lang w:bidi="ar"/>
          <w14:textFill>
            <w14:solidFill>
              <w14:schemeClr w14:val="tx1"/>
            </w14:solidFill>
          </w14:textFill>
        </w:rPr>
        <w:t>Material characterization</w:t>
      </w:r>
    </w:p>
    <w:p w14:paraId="374A9A01">
      <w:pPr>
        <w:widowControl w:val="0"/>
        <w:spacing w:line="480" w:lineRule="auto"/>
        <w:rPr>
          <w:color w:val="000000" w:themeColor="text1"/>
          <w14:textFill>
            <w14:solidFill>
              <w14:schemeClr w14:val="tx1"/>
            </w14:solidFill>
          </w14:textFill>
        </w:rPr>
      </w:pPr>
      <w:r>
        <w:rPr>
          <w:color w:val="000000" w:themeColor="text1"/>
          <w:lang w:bidi="ar"/>
          <w14:textFill>
            <w14:solidFill>
              <w14:schemeClr w14:val="tx1"/>
            </w14:solidFill>
          </w14:textFill>
        </w:rPr>
        <w:t>The morphology of the synthesized Nanocubes (NCs) was characterized using transmission electron microscopy (TEM, JEOL JEM-F200, Japan) and high-angle annular dark field scanning transmission electron microscopy (HAADF-STEM, JEOL JEM 2100F). Fourier transform infrared spectroscopy (FTIR, Thermo Fisher Scientific Nicolet iS5, USA) was employed for the qualitative and quantitative analysis of functional groups in ER-Cy, MnCO₃, and Mn-ER-Cy. X-ray powder diffraction (XRD, Rigaku Ultima IV, Japan) was used to determine the composition by examining the spatial distribution patterns and intensities of diffraction lines in these materials. X-ray photoelectron spectroscopy (XPS, Thermo Scientific K-Alpha, USA) provided a semi-quantitative analysis of elemental composition and chemical states. Additionally, energy-dispersive spectroscopy (EDS, Oxford X80T, UK) assessed elemental concentration and distribution. A UV-visible spectrophotometer (UV-3600, Shimadzu, Japan) and a fluorescence spectrophotometer (Thermo Fisher, USA) were utilized to analyze the UV-Vis-NIR absorption and fluorescence emission spectra of Mn-ER-Cy.</w:t>
      </w:r>
    </w:p>
    <w:p w14:paraId="5FE55122">
      <w:pPr>
        <w:spacing w:line="480" w:lineRule="auto"/>
        <w:rPr>
          <w:b/>
          <w:bCs/>
          <w:color w:val="000000" w:themeColor="text1"/>
          <w:lang w:bidi="ar"/>
          <w14:textFill>
            <w14:solidFill>
              <w14:schemeClr w14:val="tx1"/>
            </w14:solidFill>
          </w14:textFill>
        </w:rPr>
      </w:pPr>
    </w:p>
    <w:p w14:paraId="417136C9">
      <w:pPr>
        <w:spacing w:line="480" w:lineRule="auto"/>
        <w:rPr>
          <w:b/>
          <w:bCs/>
          <w:color w:val="000000" w:themeColor="text1"/>
          <w:lang w:bidi="ar"/>
          <w14:textFill>
            <w14:solidFill>
              <w14:schemeClr w14:val="tx1"/>
            </w14:solidFill>
          </w14:textFill>
        </w:rPr>
      </w:pPr>
      <w:r>
        <w:rPr>
          <w:rFonts w:hint="eastAsia"/>
          <w:b/>
          <w:bCs/>
          <w:color w:val="000000" w:themeColor="text1"/>
          <w:lang w:bidi="ar"/>
          <w14:textFill>
            <w14:solidFill>
              <w14:schemeClr w14:val="tx1"/>
            </w14:solidFill>
          </w14:textFill>
        </w:rPr>
        <w:t>Dynamic light scattering method (DLS) and zeta potential</w:t>
      </w:r>
    </w:p>
    <w:p w14:paraId="1AAECF5B">
      <w:pPr>
        <w:spacing w:line="480" w:lineRule="auto"/>
        <w:rPr>
          <w:color w:val="000000" w:themeColor="text1"/>
          <w:shd w:val="clear" w:color="auto" w:fill="FFFFFF"/>
          <w14:textFill>
            <w14:solidFill>
              <w14:schemeClr w14:val="tx1"/>
            </w14:solidFill>
          </w14:textFill>
        </w:rPr>
      </w:pPr>
      <w:r>
        <w:rPr>
          <w:color w:val="000000" w:themeColor="text1"/>
          <w:shd w:val="clear" w:color="auto" w:fill="FFFFFF"/>
          <w14:textFill>
            <w14:solidFill>
              <w14:schemeClr w14:val="tx1"/>
            </w14:solidFill>
          </w14:textFill>
        </w:rPr>
        <w:t>MnCO</w:t>
      </w:r>
      <w:r>
        <w:rPr>
          <w:color w:val="000000" w:themeColor="text1"/>
          <w:shd w:val="clear" w:color="auto" w:fill="FFFFFF"/>
          <w:vertAlign w:val="subscript"/>
          <w14:textFill>
            <w14:solidFill>
              <w14:schemeClr w14:val="tx1"/>
            </w14:solidFill>
          </w14:textFill>
        </w:rPr>
        <w:t>3</w:t>
      </w:r>
      <w:r>
        <w:rPr>
          <w:color w:val="000000" w:themeColor="text1"/>
          <w:shd w:val="clear" w:color="auto" w:fill="FFFFFF"/>
          <w14:textFill>
            <w14:solidFill>
              <w14:schemeClr w14:val="tx1"/>
            </w14:solidFill>
          </w14:textFill>
        </w:rPr>
        <w:t xml:space="preserve"> and Mn-ER-Cy </w:t>
      </w:r>
      <w:r>
        <w:rPr>
          <w:rFonts w:hint="eastAsia"/>
          <w:color w:val="000000" w:themeColor="text1"/>
          <w:shd w:val="clear" w:color="auto" w:fill="FFFFFF"/>
          <w14:textFill>
            <w14:solidFill>
              <w14:schemeClr w14:val="tx1"/>
            </w14:solidFill>
          </w14:textFill>
        </w:rPr>
        <w:t>were d</w:t>
      </w:r>
      <w:r>
        <w:rPr>
          <w:color w:val="000000" w:themeColor="text1"/>
          <w:shd w:val="clear" w:color="auto" w:fill="FFFFFF"/>
          <w14:textFill>
            <w14:solidFill>
              <w14:schemeClr w14:val="tx1"/>
            </w14:solidFill>
          </w14:textFill>
        </w:rPr>
        <w:t>isperse</w:t>
      </w:r>
      <w:r>
        <w:rPr>
          <w:rFonts w:hint="eastAsia"/>
          <w:color w:val="000000" w:themeColor="text1"/>
          <w:shd w:val="clear" w:color="auto" w:fill="FFFFFF"/>
          <w14:textFill>
            <w14:solidFill>
              <w14:schemeClr w14:val="tx1"/>
            </w14:solidFill>
          </w14:textFill>
        </w:rPr>
        <w:t>d</w:t>
      </w:r>
      <w:r>
        <w:rPr>
          <w:color w:val="000000" w:themeColor="text1"/>
          <w:shd w:val="clear" w:color="auto" w:fill="FFFFFF"/>
          <w14:textFill>
            <w14:solidFill>
              <w14:schemeClr w14:val="tx1"/>
            </w14:solidFill>
          </w14:textFill>
        </w:rPr>
        <w:t xml:space="preserve"> in deionized water at a concentration of 50 μg/mL, and sonicate for 5 minutes to achieve thorough dispersion. Then, the hydrated particle size and zeta potential of the nanoparticles </w:t>
      </w:r>
      <w:r>
        <w:rPr>
          <w:rFonts w:hint="eastAsia"/>
          <w:color w:val="000000" w:themeColor="text1"/>
          <w:shd w:val="clear" w:color="auto" w:fill="FFFFFF"/>
          <w14:textFill>
            <w14:solidFill>
              <w14:schemeClr w14:val="tx1"/>
            </w14:solidFill>
          </w14:textFill>
        </w:rPr>
        <w:t xml:space="preserve">were detected </w:t>
      </w:r>
      <w:r>
        <w:rPr>
          <w:color w:val="000000" w:themeColor="text1"/>
          <w:shd w:val="clear" w:color="auto" w:fill="FFFFFF"/>
          <w14:textFill>
            <w14:solidFill>
              <w14:schemeClr w14:val="tx1"/>
            </w14:solidFill>
          </w14:textFill>
        </w:rPr>
        <w:t>using the Malvern Nano-ZS90 dynamic light scattering particle size analyzer.</w:t>
      </w:r>
    </w:p>
    <w:p w14:paraId="18B0C5C1">
      <w:pPr>
        <w:spacing w:line="480" w:lineRule="auto"/>
        <w:rPr>
          <w:b/>
          <w:bCs/>
          <w:color w:val="000000" w:themeColor="text1"/>
          <w:lang w:bidi="ar"/>
          <w14:textFill>
            <w14:solidFill>
              <w14:schemeClr w14:val="tx1"/>
            </w14:solidFill>
          </w14:textFill>
        </w:rPr>
      </w:pPr>
      <w:r>
        <w:rPr>
          <w:rFonts w:hint="eastAsia"/>
          <w:b/>
          <w:bCs/>
          <w:color w:val="000000" w:themeColor="text1"/>
          <w:lang w:bidi="ar"/>
          <w14:textFill>
            <w14:solidFill>
              <w14:schemeClr w14:val="tx1"/>
            </w14:solidFill>
          </w14:textFill>
        </w:rPr>
        <w:t>Cell viability assay</w:t>
      </w:r>
    </w:p>
    <w:p w14:paraId="0A64804B">
      <w:pPr>
        <w:spacing w:line="480" w:lineRule="auto"/>
        <w:rPr>
          <w:b/>
          <w:bCs/>
          <w:color w:val="000000" w:themeColor="text1"/>
          <w:lang w:bidi="ar"/>
          <w14:textFill>
            <w14:solidFill>
              <w14:schemeClr w14:val="tx1"/>
            </w14:solidFill>
          </w14:textFill>
        </w:rPr>
      </w:pPr>
      <w:r>
        <w:rPr>
          <w:color w:val="000000" w:themeColor="text1"/>
          <w14:textFill>
            <w14:solidFill>
              <w14:schemeClr w14:val="tx1"/>
            </w14:solidFill>
          </w14:textFill>
        </w:rPr>
        <w:t>4T-1 cells were seeded at a density of 5000 cells per well into a 96-well plate and incubated with different concentrations (0, 12.5, 25, 50, 100, 200 μg/mL) of Mn-ER-Cy for 24 hours. Additionally, to evaluate the phototoxicity of Mn-ER-Cy, the cells were co-incubated with the drug for 4 hours followed by exposure to 808</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nm NIR laser irradiation (0.8 W/cm²) for 5 minutes, and then continued to culture for another 24 hours. Cell viability was assessed using CCK-8 reagent (HY-K0301, MedChem Express) according to the manufacturer's instructions. The relative cell viability was calculated using the following formula: Relative cell viability (%) = (OD_sample - OD_blank) / (OD_control - OD_blank) × 100%.</w:t>
      </w:r>
    </w:p>
    <w:p w14:paraId="4C9A7A76">
      <w:pPr>
        <w:widowControl w:val="0"/>
        <w:spacing w:line="480" w:lineRule="auto"/>
        <w:rPr>
          <w:color w:val="000000" w:themeColor="text1"/>
          <w:lang w:bidi="ar"/>
          <w14:textFill>
            <w14:solidFill>
              <w14:schemeClr w14:val="tx1"/>
            </w14:solidFill>
          </w14:textFill>
        </w:rPr>
      </w:pPr>
    </w:p>
    <w:p w14:paraId="5D58EA11">
      <w:pPr>
        <w:spacing w:line="480" w:lineRule="auto"/>
        <w:rPr>
          <w:b/>
          <w:bCs/>
          <w:color w:val="000000" w:themeColor="text1"/>
          <w:lang w:bidi="ar"/>
          <w14:textFill>
            <w14:solidFill>
              <w14:schemeClr w14:val="tx1"/>
            </w14:solidFill>
          </w14:textFill>
        </w:rPr>
      </w:pPr>
      <w:r>
        <w:rPr>
          <w:rFonts w:hint="eastAsia"/>
          <w:b/>
          <w:bCs/>
          <w:color w:val="000000" w:themeColor="text1"/>
          <w:lang w:bidi="ar"/>
          <w14:textFill>
            <w14:solidFill>
              <w14:schemeClr w14:val="tx1"/>
            </w14:solidFill>
          </w14:textFill>
        </w:rPr>
        <w:t>Live and dead assay</w:t>
      </w:r>
    </w:p>
    <w:p w14:paraId="3E7DB193">
      <w:pPr>
        <w:spacing w:line="480" w:lineRule="auto"/>
        <w:rPr>
          <w:color w:val="000000" w:themeColor="text1"/>
          <w14:textFill>
            <w14:solidFill>
              <w14:schemeClr w14:val="tx1"/>
            </w14:solidFill>
          </w14:textFill>
        </w:rPr>
      </w:pPr>
      <w:r>
        <w:rPr>
          <w:color w:val="000000" w:themeColor="text1"/>
          <w14:textFill>
            <w14:solidFill>
              <w14:schemeClr w14:val="tx1"/>
            </w14:solidFill>
          </w14:textFill>
        </w:rPr>
        <w:t>4T-1 cells were seeded at a density of 3×10^5 cells per well into a 6-well plate. After 24 hours of treatment, the old medium was removed, and the wells were washed three times with PBS. Subsequently, 1 mL of Calcein-AM/Propidium iodide (C542, Dojindo) working solution was added to each well, and incubation was continued at 37 °C for 1 hour. Cells were then observed under a fluorescence microscope for viability, with live cells appearing green and dead cells appearing red. (Calcein-AM</w:t>
      </w:r>
      <w:r>
        <w:rPr>
          <w:color w:val="000000" w:themeColor="text1"/>
          <w:vertAlign w:val="subscript"/>
          <w14:textFill>
            <w14:solidFill>
              <w14:schemeClr w14:val="tx1"/>
            </w14:solidFill>
          </w14:textFill>
        </w:rPr>
        <w:t>Ex/Em</w:t>
      </w:r>
      <w:r>
        <w:rPr>
          <w:color w:val="000000" w:themeColor="text1"/>
          <w14:textFill>
            <w14:solidFill>
              <w14:schemeClr w14:val="tx1"/>
            </w14:solidFill>
          </w14:textFill>
        </w:rPr>
        <w:t>=494 nm/517 nm, PI</w:t>
      </w:r>
      <w:r>
        <w:rPr>
          <w:color w:val="000000" w:themeColor="text1"/>
          <w:vertAlign w:val="subscript"/>
          <w14:textFill>
            <w14:solidFill>
              <w14:schemeClr w14:val="tx1"/>
            </w14:solidFill>
          </w14:textFill>
        </w:rPr>
        <w:t>Ex/Em</w:t>
      </w:r>
      <w:r>
        <w:rPr>
          <w:color w:val="000000" w:themeColor="text1"/>
          <w14:textFill>
            <w14:solidFill>
              <w14:schemeClr w14:val="tx1"/>
            </w14:solidFill>
          </w14:textFill>
        </w:rPr>
        <w:t>=535 nm/617 nm.)</w:t>
      </w:r>
    </w:p>
    <w:p w14:paraId="771222B3">
      <w:pPr>
        <w:spacing w:line="480" w:lineRule="auto"/>
        <w:rPr>
          <w:color w:val="000000" w:themeColor="text1"/>
          <w:lang w:bidi="ar"/>
          <w14:textFill>
            <w14:solidFill>
              <w14:schemeClr w14:val="tx1"/>
            </w14:solidFill>
          </w14:textFill>
        </w:rPr>
      </w:pPr>
    </w:p>
    <w:p w14:paraId="0DCA261D">
      <w:pPr>
        <w:spacing w:line="480" w:lineRule="auto"/>
        <w:rPr>
          <w:b/>
          <w:bCs/>
          <w:color w:val="000000" w:themeColor="text1"/>
          <w:lang w:bidi="ar"/>
          <w14:textFill>
            <w14:solidFill>
              <w14:schemeClr w14:val="tx1"/>
            </w14:solidFill>
          </w14:textFill>
        </w:rPr>
      </w:pPr>
      <w:r>
        <w:rPr>
          <w:rFonts w:hint="eastAsia"/>
          <w:b/>
          <w:bCs/>
          <w:color w:val="000000" w:themeColor="text1"/>
          <w:lang w:bidi="ar"/>
          <w14:textFill>
            <w14:solidFill>
              <w14:schemeClr w14:val="tx1"/>
            </w14:solidFill>
          </w14:textFill>
        </w:rPr>
        <w:t>Colony formation assay</w:t>
      </w:r>
    </w:p>
    <w:p w14:paraId="66DA5395">
      <w:pPr>
        <w:spacing w:line="48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4T-1 cells were seeded into a 6-well plate and treated according to the experimental groups for 24 hours. Subsequently, the cells were digested with trypsin and re-seeded into a new 6-well plate at a density of 1,000 cells per well. The cells were cultured under standard conditions, and the culture medium was replaced every three days. Once the control group exhibited distinguishable colonies, the cells were fixed with 4% paraformaldehyde for 30 minutes and then stained with crystal violet for 20 minutes. After staining, the cells were washed with running water for 5 minutes and allowed to dry. Finally, images of the colonies were captured, and colony counts were conducted using ImageJ software, defining colonies as clusters of more than 50 cells.</w:t>
      </w:r>
    </w:p>
    <w:p w14:paraId="60C5727D">
      <w:pPr>
        <w:widowControl w:val="0"/>
        <w:spacing w:line="480" w:lineRule="auto"/>
        <w:rPr>
          <w:color w:val="000000" w:themeColor="text1"/>
          <w:lang w:bidi="ar"/>
          <w14:textFill>
            <w14:solidFill>
              <w14:schemeClr w14:val="tx1"/>
            </w14:solidFill>
          </w14:textFill>
        </w:rPr>
      </w:pPr>
    </w:p>
    <w:p w14:paraId="11C60CD0">
      <w:pPr>
        <w:widowControl w:val="0"/>
        <w:spacing w:line="480" w:lineRule="auto"/>
        <w:rPr>
          <w:b/>
          <w:bCs/>
          <w:color w:val="000000" w:themeColor="text1"/>
          <w14:textFill>
            <w14:solidFill>
              <w14:schemeClr w14:val="tx1"/>
            </w14:solidFill>
          </w14:textFill>
        </w:rPr>
      </w:pPr>
      <w:r>
        <w:rPr>
          <w:b/>
          <w:bCs/>
          <w:color w:val="000000" w:themeColor="text1"/>
          <w:lang w:bidi="ar"/>
          <w14:textFill>
            <w14:solidFill>
              <w14:schemeClr w14:val="tx1"/>
            </w14:solidFill>
          </w14:textFill>
        </w:rPr>
        <w:t xml:space="preserve">Mitochondrial </w:t>
      </w:r>
      <w:r>
        <w:rPr>
          <w:rFonts w:hint="eastAsia"/>
          <w:b/>
          <w:bCs/>
          <w:color w:val="000000" w:themeColor="text1"/>
          <w:lang w:bidi="ar"/>
          <w14:textFill>
            <w14:solidFill>
              <w14:schemeClr w14:val="tx1"/>
            </w14:solidFill>
          </w14:textFill>
        </w:rPr>
        <w:t>m</w:t>
      </w:r>
      <w:r>
        <w:rPr>
          <w:b/>
          <w:bCs/>
          <w:color w:val="000000" w:themeColor="text1"/>
          <w:lang w:bidi="ar"/>
          <w14:textFill>
            <w14:solidFill>
              <w14:schemeClr w14:val="tx1"/>
            </w14:solidFill>
          </w14:textFill>
        </w:rPr>
        <w:t xml:space="preserve">embrane </w:t>
      </w:r>
      <w:r>
        <w:rPr>
          <w:rFonts w:hint="eastAsia"/>
          <w:b/>
          <w:bCs/>
          <w:color w:val="000000" w:themeColor="text1"/>
          <w:lang w:bidi="ar"/>
          <w14:textFill>
            <w14:solidFill>
              <w14:schemeClr w14:val="tx1"/>
            </w14:solidFill>
          </w14:textFill>
        </w:rPr>
        <w:t>p</w:t>
      </w:r>
      <w:r>
        <w:rPr>
          <w:b/>
          <w:bCs/>
          <w:color w:val="000000" w:themeColor="text1"/>
          <w:lang w:bidi="ar"/>
          <w14:textFill>
            <w14:solidFill>
              <w14:schemeClr w14:val="tx1"/>
            </w14:solidFill>
          </w14:textFill>
        </w:rPr>
        <w:t xml:space="preserve">otential </w:t>
      </w:r>
      <w:r>
        <w:rPr>
          <w:rFonts w:hint="eastAsia"/>
          <w:b/>
          <w:bCs/>
          <w:color w:val="000000" w:themeColor="text1"/>
          <w:lang w:bidi="ar"/>
          <w14:textFill>
            <w14:solidFill>
              <w14:schemeClr w14:val="tx1"/>
            </w14:solidFill>
          </w14:textFill>
        </w:rPr>
        <w:t>a</w:t>
      </w:r>
      <w:r>
        <w:rPr>
          <w:b/>
          <w:bCs/>
          <w:color w:val="000000" w:themeColor="text1"/>
          <w:lang w:bidi="ar"/>
          <w14:textFill>
            <w14:solidFill>
              <w14:schemeClr w14:val="tx1"/>
            </w14:solidFill>
          </w14:textFill>
        </w:rPr>
        <w:t>ssay</w:t>
      </w:r>
    </w:p>
    <w:p w14:paraId="20451456">
      <w:pPr>
        <w:widowControl w:val="0"/>
        <w:spacing w:line="480" w:lineRule="auto"/>
        <w:rPr>
          <w:color w:val="000000" w:themeColor="text1"/>
          <w:lang w:bidi="ar"/>
          <w14:textFill>
            <w14:solidFill>
              <w14:schemeClr w14:val="tx1"/>
            </w14:solidFill>
          </w14:textFill>
        </w:rPr>
      </w:pPr>
      <w:r>
        <w:rPr>
          <w:color w:val="000000" w:themeColor="text1"/>
          <w:lang w:bidi="ar"/>
          <w14:textFill>
            <w14:solidFill>
              <w14:schemeClr w14:val="tx1"/>
            </w14:solidFill>
          </w14:textFill>
        </w:rPr>
        <w:t>4T-1 cells were seeded in a 6-well plate at a density of 2 × 10^5 cells per well and subjected to the designated treatments. Afterward, 1 mL of JC-1 working solution, diluted 1:200, was added and incubated for 20 minutes at 37 °C. Following incubation, the cells were washed twice with 1X JC-1 staining buffer, after which 1 mL of cell culture medium was added. Changes in mitochondrial membrane potential were then observed using a fluorescence microscope (JC-1 monomers Ex/Em = 514 nm/529 nm; JC-1 aggregates Ex/Em = 585 nm/590 nm).</w:t>
      </w:r>
    </w:p>
    <w:p w14:paraId="232539C5">
      <w:pPr>
        <w:widowControl w:val="0"/>
        <w:spacing w:line="480" w:lineRule="auto"/>
        <w:rPr>
          <w:color w:val="000000" w:themeColor="text1"/>
          <w14:textFill>
            <w14:solidFill>
              <w14:schemeClr w14:val="tx1"/>
            </w14:solidFill>
          </w14:textFill>
        </w:rPr>
      </w:pPr>
    </w:p>
    <w:p w14:paraId="1529ECB4">
      <w:pPr>
        <w:spacing w:line="480" w:lineRule="auto"/>
        <w:rPr>
          <w:b/>
          <w:bCs/>
          <w:color w:val="000000" w:themeColor="text1"/>
          <w:lang w:bidi="ar"/>
          <w14:textFill>
            <w14:solidFill>
              <w14:schemeClr w14:val="tx1"/>
            </w14:solidFill>
          </w14:textFill>
        </w:rPr>
      </w:pPr>
      <w:r>
        <w:rPr>
          <w:b/>
          <w:bCs/>
          <w:color w:val="000000" w:themeColor="text1"/>
          <w:lang w:bidi="ar"/>
          <w14:textFill>
            <w14:solidFill>
              <w14:schemeClr w14:val="tx1"/>
            </w14:solidFill>
          </w14:textFill>
        </w:rPr>
        <w:t>Wound scratch assay</w:t>
      </w:r>
    </w:p>
    <w:p w14:paraId="0376651B">
      <w:pPr>
        <w:spacing w:line="480" w:lineRule="auto"/>
        <w:rPr>
          <w:color w:val="000000" w:themeColor="text1"/>
          <w14:textFill>
            <w14:solidFill>
              <w14:schemeClr w14:val="tx1"/>
            </w14:solidFill>
          </w14:textFill>
        </w:rPr>
      </w:pPr>
      <w:r>
        <w:rPr>
          <w:color w:val="000000" w:themeColor="text1"/>
          <w:lang w:bidi="ar"/>
          <w14:textFill>
            <w14:solidFill>
              <w14:schemeClr w14:val="tx1"/>
            </w14:solidFill>
          </w14:textFill>
        </w:rPr>
        <w:t>Following the designated treatments</w:t>
      </w:r>
      <w:r>
        <w:rPr>
          <w:rFonts w:hint="eastAsia"/>
          <w:color w:val="000000" w:themeColor="text1"/>
          <w14:textFill>
            <w14:solidFill>
              <w14:schemeClr w14:val="tx1"/>
            </w14:solidFill>
          </w14:textFill>
        </w:rPr>
        <w:t>, 4T-1 cells were seeded in a 6-well plate. When the cells reached 90% confluence, vertical scratches were created on the cell surface using a sterile pipette tip. The cells were then washed three times with PBS to remove any detached cells. Subsequently, 1 mL of complete culture medium was added, and photographs were captured under an inverted microscope to document the initial scratch position and width (0 hours). After a 24-hour incubation period, a second set of images of the cell scratches was obtained. Scratch areas at both 0 hours and 24 hours were analyzed using ImageJ software to calculate the scratch healing rate for each experimental group.</w:t>
      </w:r>
    </w:p>
    <w:p w14:paraId="701171DB">
      <w:pPr>
        <w:spacing w:line="480" w:lineRule="auto"/>
        <w:rPr>
          <w:color w:val="000000" w:themeColor="text1"/>
          <w:lang w:bidi="ar"/>
          <w14:textFill>
            <w14:solidFill>
              <w14:schemeClr w14:val="tx1"/>
            </w14:solidFill>
          </w14:textFill>
        </w:rPr>
      </w:pPr>
    </w:p>
    <w:p w14:paraId="6849CF79">
      <w:pPr>
        <w:spacing w:line="480" w:lineRule="auto"/>
        <w:rPr>
          <w:b/>
          <w:bCs/>
          <w:color w:val="000000" w:themeColor="text1"/>
          <w:lang w:bidi="ar"/>
          <w14:textFill>
            <w14:solidFill>
              <w14:schemeClr w14:val="tx1"/>
            </w14:solidFill>
          </w14:textFill>
        </w:rPr>
      </w:pPr>
      <w:r>
        <w:rPr>
          <w:rFonts w:hint="eastAsia"/>
          <w:b/>
          <w:bCs/>
          <w:color w:val="000000" w:themeColor="text1"/>
          <w:lang w:bidi="ar"/>
          <w14:textFill>
            <w14:solidFill>
              <w14:schemeClr w14:val="tx1"/>
            </w14:solidFill>
          </w14:textFill>
        </w:rPr>
        <w:t>Cell invasion assay</w:t>
      </w:r>
    </w:p>
    <w:p w14:paraId="63ADE927">
      <w:pPr>
        <w:spacing w:line="480" w:lineRule="auto"/>
        <w:rPr>
          <w:color w:val="000000" w:themeColor="text1"/>
          <w:lang w:bidi="ar"/>
          <w14:textFill>
            <w14:solidFill>
              <w14:schemeClr w14:val="tx1"/>
            </w14:solidFill>
          </w14:textFill>
        </w:rPr>
      </w:pPr>
      <w:r>
        <w:rPr>
          <w:color w:val="000000" w:themeColor="text1"/>
          <w:lang w:bidi="ar"/>
          <w14:textFill>
            <w14:solidFill>
              <w14:schemeClr w14:val="tx1"/>
            </w14:solidFill>
          </w14:textFill>
        </w:rPr>
        <w:t>Following the designated treatments, 4T-1 cells were resuspended in serum-free DMEM at a concentration of 2 × 10^5 cells/mL. A total of 300 μL of the suspension was added to the upper chamber of Matrigel-coated Transwell plates, with 600 μL of DMEM containing 10% FBS in the lower chamber. The plates were incubated in a cell culture incubator for 24 hours.</w:t>
      </w:r>
      <w:r>
        <w:rPr>
          <w:rFonts w:hint="eastAsia"/>
          <w:color w:val="000000" w:themeColor="text1"/>
          <w:lang w:bidi="ar"/>
          <w14:textFill>
            <w14:solidFill>
              <w14:schemeClr w14:val="tx1"/>
            </w14:solidFill>
          </w14:textFill>
        </w:rPr>
        <w:t xml:space="preserve"> </w:t>
      </w:r>
      <w:r>
        <w:rPr>
          <w:color w:val="000000" w:themeColor="text1"/>
          <w:lang w:bidi="ar"/>
          <w14:textFill>
            <w14:solidFill>
              <w14:schemeClr w14:val="tx1"/>
            </w14:solidFill>
          </w14:textFill>
        </w:rPr>
        <w:t xml:space="preserve">After incubation, the chambers were fixed in 4% paraformaldehyde at room temperature for 10 minutes. Subsequently, 1 mL of 0.5% crystal violet was added for 20 minutes of staining, followed by three washes with PBS to remove excess dye. After air drying, images were captured under a microscope, and the number of </w:t>
      </w:r>
      <w:r>
        <w:rPr>
          <w:rFonts w:hint="eastAsia"/>
          <w:color w:val="000000" w:themeColor="text1"/>
          <w:lang w:bidi="ar"/>
          <w14:textFill>
            <w14:solidFill>
              <w14:schemeClr w14:val="tx1"/>
            </w14:solidFill>
          </w14:textFill>
        </w:rPr>
        <w:t>invasive</w:t>
      </w:r>
      <w:r>
        <w:rPr>
          <w:color w:val="000000" w:themeColor="text1"/>
          <w:lang w:bidi="ar"/>
          <w14:textFill>
            <w14:solidFill>
              <w14:schemeClr w14:val="tx1"/>
            </w14:solidFill>
          </w14:textFill>
        </w:rPr>
        <w:t xml:space="preserve"> cells was quantified using ImageJ software.</w:t>
      </w:r>
    </w:p>
    <w:p w14:paraId="21D66E16">
      <w:pPr>
        <w:widowControl w:val="0"/>
        <w:spacing w:line="480" w:lineRule="auto"/>
        <w:rPr>
          <w:color w:val="000000" w:themeColor="text1"/>
          <w14:textFill>
            <w14:solidFill>
              <w14:schemeClr w14:val="tx1"/>
            </w14:solidFill>
          </w14:textFill>
        </w:rPr>
      </w:pPr>
    </w:p>
    <w:p w14:paraId="3A4A1191">
      <w:pPr>
        <w:widowControl w:val="0"/>
        <w:spacing w:line="480" w:lineRule="auto"/>
        <w:rPr>
          <w:b/>
          <w:bCs/>
          <w:color w:val="000000" w:themeColor="text1"/>
          <w14:textFill>
            <w14:solidFill>
              <w14:schemeClr w14:val="tx1"/>
            </w14:solidFill>
          </w14:textFill>
        </w:rPr>
      </w:pPr>
      <w:r>
        <w:rPr>
          <w:b/>
          <w:bCs/>
          <w:color w:val="000000" w:themeColor="text1"/>
          <w:lang w:bidi="ar"/>
          <w14:textFill>
            <w14:solidFill>
              <w14:schemeClr w14:val="tx1"/>
            </w14:solidFill>
          </w14:textFill>
        </w:rPr>
        <w:t>Immunofluorescence staining assay</w:t>
      </w:r>
    </w:p>
    <w:p w14:paraId="39CCFD18">
      <w:pPr>
        <w:widowControl w:val="0"/>
        <w:spacing w:line="480" w:lineRule="auto"/>
        <w:rPr>
          <w:color w:val="000000" w:themeColor="text1"/>
          <w14:textFill>
            <w14:solidFill>
              <w14:schemeClr w14:val="tx1"/>
            </w14:solidFill>
          </w14:textFill>
        </w:rPr>
      </w:pPr>
      <w:r>
        <w:rPr>
          <w:color w:val="000000" w:themeColor="text1"/>
          <w:lang w:bidi="ar"/>
          <w14:textFill>
            <w14:solidFill>
              <w14:schemeClr w14:val="tx1"/>
            </w14:solidFill>
          </w14:textFill>
        </w:rPr>
        <w:t>4T-1 cells were seeded in a 35 mm culture dish and treated according to the designated experimental groups, followed by an additional 24-hour incubation period. The cells were subsequently fixed with 4% paraformaldehyde for 15 minutes and permeabilized at room temperature using 0.3% Triton X-100 for 10 minutes. An antibody blocking solution was then added, and the samples were incubated at room temperature for 2 hours. Following blocking, primary antibodies against CHOP (cat#: YM3668, ImmunoWay), GRP78 (cat#: YM3508, ImmunoWay), Calreticulin (cat#: ab92516, Abcam), and HMGB1 (cat#: ab18256, Abcam) were applied, and the samples were incubated overnight at 4 °C. Following this, a secondary antibody working solution of goat anti-rabbit IgG H&amp;L (FITC) diluted at 1:500 was added and incubated in the dark at room temperature for 2 hours. The nuclei were stained with DAPI for 15 minutes, and finally, 1 mL of anti-fade mounting medium was added. The samples were then observed and imaged using CLSM.</w:t>
      </w:r>
    </w:p>
    <w:p w14:paraId="081642FC">
      <w:pPr>
        <w:widowControl w:val="0"/>
        <w:spacing w:line="480" w:lineRule="auto"/>
        <w:rPr>
          <w:color w:val="000000" w:themeColor="text1"/>
          <w:lang w:bidi="ar"/>
          <w14:textFill>
            <w14:solidFill>
              <w14:schemeClr w14:val="tx1"/>
            </w14:solidFill>
          </w14:textFill>
        </w:rPr>
      </w:pPr>
    </w:p>
    <w:p w14:paraId="5914790A">
      <w:pPr>
        <w:widowControl w:val="0"/>
        <w:spacing w:line="480" w:lineRule="auto"/>
        <w:rPr>
          <w:b/>
          <w:bCs/>
          <w:color w:val="000000" w:themeColor="text1"/>
          <w14:textFill>
            <w14:solidFill>
              <w14:schemeClr w14:val="tx1"/>
            </w14:solidFill>
          </w14:textFill>
        </w:rPr>
      </w:pPr>
      <w:r>
        <w:rPr>
          <w:b/>
          <w:bCs/>
          <w:color w:val="000000" w:themeColor="text1"/>
          <w:lang w:bidi="ar"/>
          <w14:textFill>
            <w14:solidFill>
              <w14:schemeClr w14:val="tx1"/>
            </w14:solidFill>
          </w14:textFill>
        </w:rPr>
        <w:t>Cell morphology observation</w:t>
      </w:r>
    </w:p>
    <w:p w14:paraId="673AFAE2">
      <w:pPr>
        <w:widowControl w:val="0"/>
        <w:spacing w:line="480" w:lineRule="auto"/>
        <w:rPr>
          <w:color w:val="000000" w:themeColor="text1"/>
          <w14:textFill>
            <w14:solidFill>
              <w14:schemeClr w14:val="tx1"/>
            </w14:solidFill>
          </w14:textFill>
        </w:rPr>
      </w:pPr>
      <w:r>
        <w:rPr>
          <w:color w:val="000000" w:themeColor="text1"/>
          <w:lang w:bidi="ar"/>
          <w14:textFill>
            <w14:solidFill>
              <w14:schemeClr w14:val="tx1"/>
            </w14:solidFill>
          </w14:textFill>
        </w:rPr>
        <w:t>4T-1 cells were seeded in a 6-well plate and treated according to the designated experimental groups, followed by a 24-hour incubation period. For bright field observation, the cell morphology was directly examined using an inverted microscope. For transmission electron microscopy (TEM) observation, 1.5 mL of glutaraldehyde fixative was added, and the samples were pre-fixed at room temperature for 20 minutes. The cells were then gently scraped with a specialized scraper and transferred to a 1.5 mL Eppendorf tube, followed by centrifugation at 1000 rpm for 5 minutes to pellet the cells. The supernatant was discarded, and the cell pellet was resuspended in 1 mL of 2.5% glutaraldehyde fixative at 4 °C for overnight fixation. After fixation, the samples were rinsed three times with 0.1 M phosphate buffer (pH 7.0), with each rinse lasting 15 minutes. The samples were then fixed with 1% osmium tetroxide for 2 hours and dehydrated using a gradient of ethanol (30%, 50%, 70%, 80%, 90%, 100%) for 15 minutes at each concentration, followed by 20 minutes in pure acetone. Next, the samples were immersed in a mixture of acetone and resin (3:1 for 2 hours; 1:1 for 3 hours; 1:3 for 3 hours), and then placed in pure resin overnight. The infiltrated samples were transferred into molds and subjected to gradient heating at 35 °C, 60 °C, and 80 °C, with each step lasting 5 hours for embedding. After coarse trimming, ultra-thin sections (70–90 nm) were obtained using a LEICA EM UC7 ultramicrotome. The sections were stained with uranyl acetate for 15 minutes and lead citrate for 5 minutes, then allowed to dry prior to observation under a transmission electron microscope (FEI TECNAI G2 12).</w:t>
      </w:r>
    </w:p>
    <w:p w14:paraId="5CB7A66A">
      <w:pPr>
        <w:widowControl w:val="0"/>
        <w:spacing w:line="480" w:lineRule="auto"/>
        <w:ind w:firstLine="240" w:firstLineChars="100"/>
        <w:rPr>
          <w:color w:val="000000" w:themeColor="text1"/>
          <w14:textFill>
            <w14:solidFill>
              <w14:schemeClr w14:val="tx1"/>
            </w14:solidFill>
          </w14:textFill>
        </w:rPr>
      </w:pPr>
      <w:r>
        <w:rPr>
          <w:color w:val="000000" w:themeColor="text1"/>
          <w:lang w:bidi="ar"/>
          <w14:textFill>
            <w14:solidFill>
              <w14:schemeClr w14:val="tx1"/>
            </w14:solidFill>
          </w14:textFill>
        </w:rPr>
        <w:t>For scanning electron microscopy (SEM) observation, 4T-1 cells were seeded onto 18 mm cover slips and treated according to the experimental groups, followed by a 24-hour incubation. After incubation, pre-cooled 2.5% glutaraldehyde fixative at 4 °C was added, and the samples were stored in a refrigerator overnight. The samples were subsequently dehydrated using a gradient of ethanol concentrations (30%, 50%, 70%, 80%, 90%, 95%, 100%), with each concentration processed twice for 15 minutes. Liquid carbon dioxide was then introduced to replace the ethanol for 30 minutes. Following this, a conductive treatment was conducted using a vacuum sputter coater, positioning the samples 10 to 15 cm from the evaporation source and allowing them to rotate during gold sputtering at 10 kV for 1000 seconds. Finally, the samples were examined using a scanning electron microscope (SEM, Hitachi SU8020).</w:t>
      </w:r>
    </w:p>
    <w:p w14:paraId="0C780E8C">
      <w:pPr>
        <w:widowControl w:val="0"/>
        <w:spacing w:line="480" w:lineRule="auto"/>
        <w:rPr>
          <w:color w:val="000000" w:themeColor="text1"/>
          <w:lang w:bidi="ar"/>
          <w14:textFill>
            <w14:solidFill>
              <w14:schemeClr w14:val="tx1"/>
            </w14:solidFill>
          </w14:textFill>
        </w:rPr>
      </w:pPr>
    </w:p>
    <w:p w14:paraId="74D2C2C2">
      <w:pPr>
        <w:widowControl w:val="0"/>
        <w:spacing w:line="480" w:lineRule="auto"/>
        <w:rPr>
          <w:b/>
          <w:bCs/>
          <w:color w:val="000000" w:themeColor="text1"/>
          <w14:textFill>
            <w14:solidFill>
              <w14:schemeClr w14:val="tx1"/>
            </w14:solidFill>
          </w14:textFill>
        </w:rPr>
      </w:pPr>
      <w:r>
        <w:rPr>
          <w:b/>
          <w:bCs/>
          <w:i/>
          <w:iCs/>
          <w:color w:val="FF0000"/>
          <w:lang w:bidi="ar"/>
        </w:rPr>
        <w:t>In vitro</w:t>
      </w:r>
      <w:r>
        <w:rPr>
          <w:b/>
          <w:bCs/>
          <w:color w:val="000000" w:themeColor="text1"/>
          <w:lang w:bidi="ar"/>
          <w14:textFill>
            <w14:solidFill>
              <w14:schemeClr w14:val="tx1"/>
            </w14:solidFill>
          </w14:textFill>
        </w:rPr>
        <w:t xml:space="preserve"> BMDCs maturation detection</w:t>
      </w:r>
    </w:p>
    <w:p w14:paraId="48A782C5">
      <w:pPr>
        <w:widowControl w:val="0"/>
        <w:spacing w:line="480" w:lineRule="auto"/>
        <w:rPr>
          <w:color w:val="000000" w:themeColor="text1"/>
          <w:lang w:bidi="ar"/>
          <w14:textFill>
            <w14:solidFill>
              <w14:schemeClr w14:val="tx1"/>
            </w14:solidFill>
          </w14:textFill>
        </w:rPr>
      </w:pPr>
      <w:r>
        <w:rPr>
          <w:color w:val="000000" w:themeColor="text1"/>
          <w:lang w:bidi="ar"/>
          <w14:textFill>
            <w14:solidFill>
              <w14:schemeClr w14:val="tx1"/>
            </w14:solidFill>
          </w14:textFill>
        </w:rPr>
        <w:t>Bone marrow-derived dendritic cells (BMDCs) were isolated from six-week-old female BALB/c mice using previously reported methods</w:t>
      </w:r>
      <w:r>
        <w:rPr>
          <w:rFonts w:hint="eastAsia"/>
          <w:color w:val="000000" w:themeColor="text1"/>
          <w:lang w:bidi="ar"/>
          <w14:textFill>
            <w14:solidFill>
              <w14:schemeClr w14:val="tx1"/>
            </w14:solidFill>
          </w14:textFill>
        </w:rPr>
        <w:t xml:space="preserve"> </w:t>
      </w:r>
      <w:r>
        <w:rPr>
          <w:color w:val="000000" w:themeColor="text1"/>
          <w:lang w:bidi="ar"/>
          <w14:textFill>
            <w14:solidFill>
              <w14:schemeClr w14:val="tx1"/>
            </w14:solidFill>
          </w14:textFill>
        </w:rPr>
        <w:fldChar w:fldCharType="begin">
          <w:fldData xml:space="preserve">PEVuZE5vdGU+PENpdGU+PEF1dGhvcj5MdW88L0F1dGhvcj48WWVhcj4yMDIyPC9ZZWFyPjxSZWNO
dW0+ODI3PC9SZWNOdW0+PERpc3BsYXlUZXh0PlsxMl08L0Rpc3BsYXlUZXh0PjxyZWNvcmQ+PHJl
Yy1udW1iZXI+ODI3PC9yZWMtbnVtYmVyPjxmb3JlaWduLWtleXM+PGtleSBhcHA9IkVOIiBkYi1p
ZD0iZjJ3NWUwc3hvdmRkMmpldHBzdHgyMHM0NXh6eDkyemYyd3owIiB0aW1lc3RhbXA9IjE3NDU5
ODk0MzAiPjgyNzwva2V5PjwvZm9yZWlnbi1rZXlzPjxyZWYtdHlwZSBuYW1lPSJKb3VybmFsIEFy
dGljbGUiPjE3PC9yZWYtdHlwZT48Y29udHJpYnV0b3JzPjxhdXRob3JzPjxhdXRob3I+THVvLCBT
LjwvYXV0aG9yPjxhdXRob3I+THVvLCBYLjwvYXV0aG9yPjxhdXRob3I+V2FuZywgWC48L2F1dGhv
cj48YXV0aG9yPkxpLCBMLjwvYXV0aG9yPjxhdXRob3I+TGl1LCBILjwvYXV0aG9yPjxhdXRob3I+
TW8sIEIuPC9hdXRob3I+PGF1dGhvcj5HYW4sIEguPC9hdXRob3I+PGF1dGhvcj5TdW4sIFcuPC9h
dXRob3I+PGF1dGhvcj5XYW5nLCBMLjwvYXV0aG9yPjxhdXRob3I+TGlhbmcsIEguPC9hdXRob3I+
PGF1dGhvcj5ZdSwgUy48L2F1dGhvcj48L2F1dGhvcnM+PC9jb250cmlidXRvcnM+PGF1dGgtYWRk
cmVzcz5JbnN0aXR1dGUgb2YgQ29tYmluZWQgSW5qdXJ5LCBDaG9uZ3FpbmcgRW5naW5lZXJpbmcg
UmVzZWFyY2ggQ2VudGVyIGZvciBOYW5vbWVkaWNpbmUsIENvbGxlZ2Ugb2YgUHJldmVudGl2ZSBN
ZWRpY2luZSwgVGhpcmQgTWlsaXRhcnkgTWVkaWNhbCBVbml2ZXJzaXR5IChBcm15IE1lZGljYWwg
VW5pdmVyc2l0eSksIENob25ncWluZywgNDAwMDM4LCBDaGluYS4mI3hEO0RlcGFydG1lbnQgb2Yg
T25jb2xvZ3ksIFNvdXRod2VzdCBIb3NwaXRhbCwgVGhpcmQgTWlsaXRhcnkgTWVkaWNhbCBVbml2
ZXJzaXR5IChBcm15IE1lZGljYWwgVW5pdmVyc2l0eSksIDMwIEdhb3RhbnlhbiBTdHJlZXQsIENo
b25ncWluZywgNDAwMDM4LCBDaGluYS4mI3hEO0Jpb21lZGljYWwgQW5hbHlzaXMgQ2VudGVyLCBD
aG9uZ3FpbmcgS2V5IExhYm9yYXRvcnkgb2YgQ3l0b21pY3MsIFRoaXJkIE1pbGl0YXJ5IE1lZGlj
YWwgVW5pdmVyc2l0eSAoQXJteSBNZWRpY2FsIFVuaXZlcnNpdHkpLCAzMCBHYW90YW55YW4gU3Ry
ZWV0LCBDaG9uZ3FpbmcsIDQwMDAzOCwgQ2hpbmEuPC9hdXRoLWFkZHJlc3M+PHRpdGxlcz48dGl0
bGU+VGFpbG9yaW5nIE11bHRpZnVuY3Rpb25hbCBTbWFsbCBNb2xlY3VsYXIgUGhvdG9zZW5zaXRp
emVycyB0byBJbiBWaXZvIFNlbGYtQXNzZW1ibGUgd2l0aCBBbGJ1bWluIHRvIEJvb3N0IFR1bW9y
LVByZWZlcmVudGlhbCBBY2N1bXVsYXRpb24sIE5JUiBJbWFnaW5nLCBhbmQgUGhvdG9keW5hbWlj
L1Bob3RvdGhlcm1hbC9JbW11bm90aGVyYXB5PC90aXRsZT48c2Vjb25kYXJ5LXRpdGxlPlNtYWxs
PC9zZWNvbmRhcnktdGl0bGU+PGFsdC10aXRsZT5TbWFsbCAoV2VpbmhlaW0gYW4gZGVyIEJlcmdz
dHJhc3NlLCBHZXJtYW55KTwvYWx0LXRpdGxlPjwvdGl0bGVzPjxwZXJpb2RpY2FsPjxmdWxsLXRp
dGxlPlNtYWxsPC9mdWxsLXRpdGxlPjxhYmJyLTE+U21hbGwgKFdlaW5oZWltIGFuIGRlciBCZXJn
c3RyYXNzZSwgR2VybWFueSk8L2FiYnItMT48L3BlcmlvZGljYWw+PGFsdC1wZXJpb2RpY2FsPjxm
dWxsLXRpdGxlPlNtYWxsPC9mdWxsLXRpdGxlPjxhYmJyLTE+U21hbGwgKFdlaW5oZWltIGFuIGRl
ciBCZXJnc3RyYXNzZSwgR2VybWFueSk8L2FiYnItMT48L2FsdC1wZXJpb2RpY2FsPjxwYWdlcz5l
MjIwMTI5ODwvcGFnZXM+PHZvbHVtZT4xODwvdm9sdW1lPjxudW1iZXI+Mjc8L251bWJlcj48ZWRp
dGlvbj4yMDIyLzA2LzAzPC9lZGl0aW9uPjxrZXl3b3Jkcz48a2V5d29yZD5BbGJ1bWluczwva2V5
d29yZD48a2V5d29yZD5DZWxsIExpbmUsIFR1bW9yPC9rZXl3b3JkPjxrZXl3b3JkPkNvbG9yaW5n
IEFnZW50czwva2V5d29yZD48a2V5d29yZD5IdW1hbnM8L2tleXdvcmQ+PGtleXdvcmQ+SW1tdW5v
dGhlcmFweTwva2V5d29yZD48a2V5d29yZD4qTmFub3BhcnRpY2xlcy9jaGVtaXN0cnk8L2tleXdv
cmQ+PGtleXdvcmQ+Kk5lb3BsYXNtcy9kaWFnbm9zdGljIGltYWdpbmcvdGhlcmFweTwva2V5d29y
ZD48a2V5d29yZD5QaG90b3NlbnNpdGl6aW5nIEFnZW50cy90aGVyYXBldXRpYyB1c2U8L2tleXdv
cmQ+PGtleXdvcmQ+UGhvdG90aGVyYXB5L21ldGhvZHM8L2tleXdvcmQ+PGtleXdvcmQ+UHJvc3Bl
Y3RpdmUgU3R1ZGllczwva2V5d29yZD48a2V5d29yZD5jYW5jZXIgcGhvdG90aGVyYXB5PC9rZXl3
b3JkPjxrZXl3b3JkPmhlcHRhbWV0aGluZSBjeWFuaW5lIGR5ZXM8L2tleXdvcmQ+PGtleXdvcmQ+
aW1tdW5vZ2VuaWMgY2VsbCBkZWF0aDwva2V5d29yZD48L2tleXdvcmRzPjxkYXRlcz48eWVhcj4y
MDIyPC95ZWFyPjxwdWItZGF0ZXM+PGRhdGU+SnVsPC9kYXRlPjwvcHViLWRhdGVzPjwvZGF0ZXM+
PGlzYm4+MTYxMy02ODEwPC9pc2JuPjxhY2Nlc3Npb24tbnVtPjM1NjUyNTA0PC9hY2Nlc3Npb24t
bnVtPjx1cmxzPjwvdXJscz48ZWxlY3Ryb25pYy1yZXNvdXJjZS1udW0+MTAuMTAwMi9zbWxsLjIw
MjIwMTI5ODwvZWxlY3Ryb25pYy1yZXNvdXJjZS1udW0+PHJlbW90ZS1kYXRhYmFzZS1wcm92aWRl
cj5OTE08L3JlbW90ZS1kYXRhYmFzZS1wcm92aWRlcj48bGFuZ3VhZ2U+ZW5nPC9sYW5ndWFnZT48
L3JlY29yZD48L0NpdGU+PC9FbmROb3RlPnAA
</w:fldData>
        </w:fldChar>
      </w:r>
      <w:r>
        <w:rPr>
          <w:color w:val="000000" w:themeColor="text1"/>
          <w:lang w:bidi="ar"/>
          <w14:textFill>
            <w14:solidFill>
              <w14:schemeClr w14:val="tx1"/>
            </w14:solidFill>
          </w14:textFill>
        </w:rPr>
        <w:instrText xml:space="preserve"> ADDIN EN.CITE </w:instrText>
      </w:r>
      <w:r>
        <w:rPr>
          <w:color w:val="000000" w:themeColor="text1"/>
          <w:lang w:bidi="ar"/>
          <w14:textFill>
            <w14:solidFill>
              <w14:schemeClr w14:val="tx1"/>
            </w14:solidFill>
          </w14:textFill>
        </w:rPr>
        <w:fldChar w:fldCharType="begin">
          <w:fldData xml:space="preserve">PEVuZE5vdGU+PENpdGU+PEF1dGhvcj5MdW88L0F1dGhvcj48WWVhcj4yMDIyPC9ZZWFyPjxSZWNO
dW0+ODI3PC9SZWNOdW0+PERpc3BsYXlUZXh0PlsxMl08L0Rpc3BsYXlUZXh0PjxyZWNvcmQ+PHJl
Yy1udW1iZXI+ODI3PC9yZWMtbnVtYmVyPjxmb3JlaWduLWtleXM+PGtleSBhcHA9IkVOIiBkYi1p
ZD0iZjJ3NWUwc3hvdmRkMmpldHBzdHgyMHM0NXh6eDkyemYyd3owIiB0aW1lc3RhbXA9IjE3NDU5
ODk0MzAiPjgyNzwva2V5PjwvZm9yZWlnbi1rZXlzPjxyZWYtdHlwZSBuYW1lPSJKb3VybmFsIEFy
dGljbGUiPjE3PC9yZWYtdHlwZT48Y29udHJpYnV0b3JzPjxhdXRob3JzPjxhdXRob3I+THVvLCBT
LjwvYXV0aG9yPjxhdXRob3I+THVvLCBYLjwvYXV0aG9yPjxhdXRob3I+V2FuZywgWC48L2F1dGhv
cj48YXV0aG9yPkxpLCBMLjwvYXV0aG9yPjxhdXRob3I+TGl1LCBILjwvYXV0aG9yPjxhdXRob3I+
TW8sIEIuPC9hdXRob3I+PGF1dGhvcj5HYW4sIEguPC9hdXRob3I+PGF1dGhvcj5TdW4sIFcuPC9h
dXRob3I+PGF1dGhvcj5XYW5nLCBMLjwvYXV0aG9yPjxhdXRob3I+TGlhbmcsIEguPC9hdXRob3I+
PGF1dGhvcj5ZdSwgUy48L2F1dGhvcj48L2F1dGhvcnM+PC9jb250cmlidXRvcnM+PGF1dGgtYWRk
cmVzcz5JbnN0aXR1dGUgb2YgQ29tYmluZWQgSW5qdXJ5LCBDaG9uZ3FpbmcgRW5naW5lZXJpbmcg
UmVzZWFyY2ggQ2VudGVyIGZvciBOYW5vbWVkaWNpbmUsIENvbGxlZ2Ugb2YgUHJldmVudGl2ZSBN
ZWRpY2luZSwgVGhpcmQgTWlsaXRhcnkgTWVkaWNhbCBVbml2ZXJzaXR5IChBcm15IE1lZGljYWwg
VW5pdmVyc2l0eSksIENob25ncWluZywgNDAwMDM4LCBDaGluYS4mI3hEO0RlcGFydG1lbnQgb2Yg
T25jb2xvZ3ksIFNvdXRod2VzdCBIb3NwaXRhbCwgVGhpcmQgTWlsaXRhcnkgTWVkaWNhbCBVbml2
ZXJzaXR5IChBcm15IE1lZGljYWwgVW5pdmVyc2l0eSksIDMwIEdhb3RhbnlhbiBTdHJlZXQsIENo
b25ncWluZywgNDAwMDM4LCBDaGluYS4mI3hEO0Jpb21lZGljYWwgQW5hbHlzaXMgQ2VudGVyLCBD
aG9uZ3FpbmcgS2V5IExhYm9yYXRvcnkgb2YgQ3l0b21pY3MsIFRoaXJkIE1pbGl0YXJ5IE1lZGlj
YWwgVW5pdmVyc2l0eSAoQXJteSBNZWRpY2FsIFVuaXZlcnNpdHkpLCAzMCBHYW90YW55YW4gU3Ry
ZWV0LCBDaG9uZ3FpbmcsIDQwMDAzOCwgQ2hpbmEuPC9hdXRoLWFkZHJlc3M+PHRpdGxlcz48dGl0
bGU+VGFpbG9yaW5nIE11bHRpZnVuY3Rpb25hbCBTbWFsbCBNb2xlY3VsYXIgUGhvdG9zZW5zaXRp
emVycyB0byBJbiBWaXZvIFNlbGYtQXNzZW1ibGUgd2l0aCBBbGJ1bWluIHRvIEJvb3N0IFR1bW9y
LVByZWZlcmVudGlhbCBBY2N1bXVsYXRpb24sIE5JUiBJbWFnaW5nLCBhbmQgUGhvdG9keW5hbWlj
L1Bob3RvdGhlcm1hbC9JbW11bm90aGVyYXB5PC90aXRsZT48c2Vjb25kYXJ5LXRpdGxlPlNtYWxs
PC9zZWNvbmRhcnktdGl0bGU+PGFsdC10aXRsZT5TbWFsbCAoV2VpbmhlaW0gYW4gZGVyIEJlcmdz
dHJhc3NlLCBHZXJtYW55KTwvYWx0LXRpdGxlPjwvdGl0bGVzPjxwZXJpb2RpY2FsPjxmdWxsLXRp
dGxlPlNtYWxsPC9mdWxsLXRpdGxlPjxhYmJyLTE+U21hbGwgKFdlaW5oZWltIGFuIGRlciBCZXJn
c3RyYXNzZSwgR2VybWFueSk8L2FiYnItMT48L3BlcmlvZGljYWw+PGFsdC1wZXJpb2RpY2FsPjxm
dWxsLXRpdGxlPlNtYWxsPC9mdWxsLXRpdGxlPjxhYmJyLTE+U21hbGwgKFdlaW5oZWltIGFuIGRl
ciBCZXJnc3RyYXNzZSwgR2VybWFueSk8L2FiYnItMT48L2FsdC1wZXJpb2RpY2FsPjxwYWdlcz5l
MjIwMTI5ODwvcGFnZXM+PHZvbHVtZT4xODwvdm9sdW1lPjxudW1iZXI+Mjc8L251bWJlcj48ZWRp
dGlvbj4yMDIyLzA2LzAzPC9lZGl0aW9uPjxrZXl3b3Jkcz48a2V5d29yZD5BbGJ1bWluczwva2V5
d29yZD48a2V5d29yZD5DZWxsIExpbmUsIFR1bW9yPC9rZXl3b3JkPjxrZXl3b3JkPkNvbG9yaW5n
IEFnZW50czwva2V5d29yZD48a2V5d29yZD5IdW1hbnM8L2tleXdvcmQ+PGtleXdvcmQ+SW1tdW5v
dGhlcmFweTwva2V5d29yZD48a2V5d29yZD4qTmFub3BhcnRpY2xlcy9jaGVtaXN0cnk8L2tleXdv
cmQ+PGtleXdvcmQ+Kk5lb3BsYXNtcy9kaWFnbm9zdGljIGltYWdpbmcvdGhlcmFweTwva2V5d29y
ZD48a2V5d29yZD5QaG90b3NlbnNpdGl6aW5nIEFnZW50cy90aGVyYXBldXRpYyB1c2U8L2tleXdv
cmQ+PGtleXdvcmQ+UGhvdG90aGVyYXB5L21ldGhvZHM8L2tleXdvcmQ+PGtleXdvcmQ+UHJvc3Bl
Y3RpdmUgU3R1ZGllczwva2V5d29yZD48a2V5d29yZD5jYW5jZXIgcGhvdG90aGVyYXB5PC9rZXl3
b3JkPjxrZXl3b3JkPmhlcHRhbWV0aGluZSBjeWFuaW5lIGR5ZXM8L2tleXdvcmQ+PGtleXdvcmQ+
aW1tdW5vZ2VuaWMgY2VsbCBkZWF0aDwva2V5d29yZD48L2tleXdvcmRzPjxkYXRlcz48eWVhcj4y
MDIyPC95ZWFyPjxwdWItZGF0ZXM+PGRhdGU+SnVsPC9kYXRlPjwvcHViLWRhdGVzPjwvZGF0ZXM+
PGlzYm4+MTYxMy02ODEwPC9pc2JuPjxhY2Nlc3Npb24tbnVtPjM1NjUyNTA0PC9hY2Nlc3Npb24t
bnVtPjx1cmxzPjwvdXJscz48ZWxlY3Ryb25pYy1yZXNvdXJjZS1udW0+MTAuMTAwMi9zbWxsLjIw
MjIwMTI5ODwvZWxlY3Ryb25pYy1yZXNvdXJjZS1udW0+PHJlbW90ZS1kYXRhYmFzZS1wcm92aWRl
cj5OTE08L3JlbW90ZS1kYXRhYmFzZS1wcm92aWRlcj48bGFuZ3VhZ2U+ZW5nPC9sYW5ndWFnZT48
L3JlY29yZD48L0NpdGU+PC9FbmROb3RlPnAA
</w:fldData>
        </w:fldChar>
      </w:r>
      <w:r>
        <w:rPr>
          <w:color w:val="000000" w:themeColor="text1"/>
          <w:lang w:bidi="ar"/>
          <w14:textFill>
            <w14:solidFill>
              <w14:schemeClr w14:val="tx1"/>
            </w14:solidFill>
          </w14:textFill>
        </w:rPr>
        <w:instrText xml:space="preserve"> ADDIN EN.CITE.DATA </w:instrText>
      </w:r>
      <w:r>
        <w:rPr>
          <w:color w:val="000000" w:themeColor="text1"/>
          <w:lang w:bidi="ar"/>
          <w14:textFill>
            <w14:solidFill>
              <w14:schemeClr w14:val="tx1"/>
            </w14:solidFill>
          </w14:textFill>
        </w:rPr>
        <w:fldChar w:fldCharType="end"/>
      </w:r>
      <w:r>
        <w:rPr>
          <w:color w:val="000000" w:themeColor="text1"/>
          <w:lang w:bidi="ar"/>
          <w14:textFill>
            <w14:solidFill>
              <w14:schemeClr w14:val="tx1"/>
            </w14:solidFill>
          </w14:textFill>
        </w:rPr>
        <w:fldChar w:fldCharType="separate"/>
      </w:r>
      <w:r>
        <w:rPr>
          <w:color w:val="000000" w:themeColor="text1"/>
          <w:lang w:bidi="ar"/>
          <w14:textFill>
            <w14:solidFill>
              <w14:schemeClr w14:val="tx1"/>
            </w14:solidFill>
          </w14:textFill>
        </w:rPr>
        <w:t>[12]</w:t>
      </w:r>
      <w:r>
        <w:rPr>
          <w:color w:val="000000" w:themeColor="text1"/>
          <w:lang w:bidi="ar"/>
          <w14:textFill>
            <w14:solidFill>
              <w14:schemeClr w14:val="tx1"/>
            </w14:solidFill>
          </w14:textFill>
        </w:rPr>
        <w:fldChar w:fldCharType="end"/>
      </w:r>
      <w:r>
        <w:rPr>
          <w:color w:val="000000" w:themeColor="text1"/>
          <w:lang w:bidi="ar"/>
          <w14:textFill>
            <w14:solidFill>
              <w14:schemeClr w14:val="tx1"/>
            </w14:solidFill>
          </w14:textFill>
        </w:rPr>
        <w:t>.</w:t>
      </w:r>
      <w:r>
        <w:rPr>
          <w:rFonts w:hint="eastAsia"/>
          <w:color w:val="000000" w:themeColor="text1"/>
          <w:lang w:bidi="ar"/>
          <w14:textFill>
            <w14:solidFill>
              <w14:schemeClr w14:val="tx1"/>
            </w14:solidFill>
          </w14:textFill>
        </w:rPr>
        <w:t xml:space="preserve"> </w:t>
      </w:r>
      <w:r>
        <w:rPr>
          <w:color w:val="000000" w:themeColor="text1"/>
          <w:lang w:bidi="ar"/>
          <w14:textFill>
            <w14:solidFill>
              <w14:schemeClr w14:val="tx1"/>
            </w14:solidFill>
          </w14:textFill>
        </w:rPr>
        <w:t>Following isolation, 25 ng/mL recombinant mouse GM-CSF (cat#:315-03, PeproTech) and 10 ng/mL IL-4 (cat#:214-14, PeproTech) were used to stimulate the BMDCs, which were cultured at 37 °C in a 5% CO2 atmosphere. On day 7 of culture, the medium was gently agitated to collect both suspended and adherent cells that had fully differentiated into dendritic cells. Subsequently, the BMDCs were co-cultured with supernatants from four treatment groups of 4T-1 cells for 24 hours. After co-culture, the cells were stained with anti-CD11c (Cat#:12-0114-82, eBioscience), anti-CD80 (Cat#:17-0801-82, eBioscience), and anti-CD86 (Cat#:25-0862-82, eBioscience) antibodies, and the maturation of each BMDC group was analyzed using flow cytometry.</w:t>
      </w:r>
    </w:p>
    <w:p w14:paraId="5D03B5CC">
      <w:pPr>
        <w:widowControl w:val="0"/>
        <w:spacing w:line="480" w:lineRule="auto"/>
        <w:rPr>
          <w:color w:val="000000" w:themeColor="text1"/>
          <w:lang w:bidi="ar"/>
          <w14:textFill>
            <w14:solidFill>
              <w14:schemeClr w14:val="tx1"/>
            </w14:solidFill>
          </w14:textFill>
        </w:rPr>
      </w:pPr>
    </w:p>
    <w:p w14:paraId="7639F20C">
      <w:pPr>
        <w:widowControl w:val="0"/>
        <w:spacing w:line="480" w:lineRule="auto"/>
        <w:rPr>
          <w:b/>
          <w:bCs/>
          <w:color w:val="000000" w:themeColor="text1"/>
          <w14:textFill>
            <w14:solidFill>
              <w14:schemeClr w14:val="tx1"/>
            </w14:solidFill>
          </w14:textFill>
        </w:rPr>
      </w:pPr>
      <w:r>
        <w:rPr>
          <w:b/>
          <w:bCs/>
          <w:color w:val="000000" w:themeColor="text1"/>
          <w:lang w:bidi="ar"/>
          <w14:textFill>
            <w14:solidFill>
              <w14:schemeClr w14:val="tx1"/>
            </w14:solidFill>
          </w14:textFill>
        </w:rPr>
        <w:t>Inflammatory cytokine detection</w:t>
      </w:r>
    </w:p>
    <w:p w14:paraId="4A8928EB">
      <w:pPr>
        <w:widowControl w:val="0"/>
        <w:spacing w:line="480" w:lineRule="auto"/>
        <w:rPr>
          <w:color w:val="000000" w:themeColor="text1"/>
          <w14:textFill>
            <w14:solidFill>
              <w14:schemeClr w14:val="tx1"/>
            </w14:solidFill>
          </w14:textFill>
        </w:rPr>
      </w:pPr>
      <w:r>
        <w:rPr>
          <w:color w:val="000000" w:themeColor="text1"/>
          <w:lang w:bidi="ar"/>
          <w14:textFill>
            <w14:solidFill>
              <w14:schemeClr w14:val="tx1"/>
            </w14:solidFill>
          </w14:textFill>
        </w:rPr>
        <w:t xml:space="preserve">To detect inflammatory cytokines for </w:t>
      </w:r>
      <w:r>
        <w:rPr>
          <w:i/>
          <w:iCs/>
          <w:color w:val="FF0000"/>
          <w:lang w:bidi="ar"/>
        </w:rPr>
        <w:t>in vitro</w:t>
      </w:r>
      <w:r>
        <w:rPr>
          <w:color w:val="000000" w:themeColor="text1"/>
          <w:lang w:bidi="ar"/>
          <w14:textFill>
            <w14:solidFill>
              <w14:schemeClr w14:val="tx1"/>
            </w14:solidFill>
          </w14:textFill>
        </w:rPr>
        <w:t xml:space="preserve"> experiments, 4T-1 cells were seeded at a concentration of 1 × 10^5 cells/mL in a 6-well plate and treated according to the specified experimental groups. After a 24-hour treatment period, the levels of IL-1β (cat#:EK0394, Boster) and IL-18 (cat#:EK0433, Boster) in the cell supernatant were quantified following the manufacturer’s instructions.</w:t>
      </w:r>
    </w:p>
    <w:p w14:paraId="0AF3A5BA">
      <w:pPr>
        <w:widowControl w:val="0"/>
        <w:spacing w:line="480" w:lineRule="auto"/>
        <w:ind w:firstLine="240" w:firstLineChars="100"/>
        <w:rPr>
          <w:color w:val="000000" w:themeColor="text1"/>
          <w14:textFill>
            <w14:solidFill>
              <w14:schemeClr w14:val="tx1"/>
            </w14:solidFill>
          </w14:textFill>
        </w:rPr>
      </w:pPr>
      <w:r>
        <w:rPr>
          <w:color w:val="000000" w:themeColor="text1"/>
          <w:lang w:bidi="ar"/>
          <w14:textFill>
            <w14:solidFill>
              <w14:schemeClr w14:val="tx1"/>
            </w14:solidFill>
          </w14:textFill>
        </w:rPr>
        <w:t>To assess cytokine secretion in the blood of mice, 4T-1 tumor cells were inoculated subcutaneously into the right hind limb of female BALB/c mice. Once the tumor volume reached 100 mm³, the mice were randomly divided into four groups: Control group, Laser group, Mn-ER-Cy group, and Mn-ER-Cy (+) (n=3 per group). On the 7th day post-treatment, peripheral blood was collected from the mice using the eye exsanguination method, and serum was separated. Subsequently, the levels of IL-1β and IL-18 were evaluated according to the manufacturer’s instructions.</w:t>
      </w:r>
    </w:p>
    <w:p w14:paraId="402988B1">
      <w:pPr>
        <w:widowControl w:val="0"/>
        <w:spacing w:line="480" w:lineRule="auto"/>
        <w:rPr>
          <w:color w:val="000000" w:themeColor="text1"/>
          <w14:textFill>
            <w14:solidFill>
              <w14:schemeClr w14:val="tx1"/>
            </w14:solidFill>
          </w14:textFill>
        </w:rPr>
      </w:pPr>
    </w:p>
    <w:p w14:paraId="146DCA04">
      <w:pPr>
        <w:widowControl w:val="0"/>
        <w:spacing w:line="480" w:lineRule="auto"/>
        <w:rPr>
          <w:b/>
          <w:bCs/>
          <w:color w:val="000000" w:themeColor="text1"/>
          <w14:textFill>
            <w14:solidFill>
              <w14:schemeClr w14:val="tx1"/>
            </w14:solidFill>
          </w14:textFill>
        </w:rPr>
      </w:pPr>
      <w:r>
        <w:rPr>
          <w:b/>
          <w:bCs/>
          <w:color w:val="000000" w:themeColor="text1"/>
          <w:lang w:bidi="ar"/>
          <w14:textFill>
            <w14:solidFill>
              <w14:schemeClr w14:val="tx1"/>
            </w14:solidFill>
          </w14:textFill>
        </w:rPr>
        <w:t>Western blotting analysis</w:t>
      </w:r>
    </w:p>
    <w:p w14:paraId="38859C68">
      <w:pPr>
        <w:widowControl w:val="0"/>
        <w:spacing w:line="480" w:lineRule="auto"/>
        <w:rPr>
          <w:color w:val="000000" w:themeColor="text1"/>
          <w14:textFill>
            <w14:solidFill>
              <w14:schemeClr w14:val="tx1"/>
            </w14:solidFill>
          </w14:textFill>
        </w:rPr>
      </w:pPr>
      <w:r>
        <w:rPr>
          <w:color w:val="000000" w:themeColor="text1"/>
          <w:lang w:bidi="ar"/>
          <w14:textFill>
            <w14:solidFill>
              <w14:schemeClr w14:val="tx1"/>
            </w14:solidFill>
          </w14:textFill>
        </w:rPr>
        <w:t>4T-1 cells were cultured in a 6-well plate for 24 hours and then subjected to group-specific treatments for an additional 24 hours, as previously described. After removing the old culture medium, RIPA lysis buffer containing protease and phosphatase inhibitors was added for protein extraction. Protein concentrations from each group were determined using a BCA assay kit according to the manufacturer's instructions (Cat#:P0010, Beyotime). The extracted proteins were boiled at 100 °C for 5 minutes, and appropriate volumes based on protein concentrations were loaded onto SDS-PAGE for electrophoresis. Proteins were subsequently transferred onto a polyvinylidene fluoride (PVDF) membrane, which was blocked with non-fat milk at room temperature for 1 hour. The membrane was then incubated overnight at 4 °C with primary antibodies against NLRP3 (Cat#:68102-1-Ig, Proteintech), caspase 1 (Cat#:22915-1-AP, Proteintech), and GSDMD-N terminal (Cat#:B7001, ImmunoWay). β-actin (700608, ZEN Bio) served as a loading control. After that, the membrane was incubated with secondary antibodies at room temperature for 1 hour. Protein bands were visualized using an enhanced chemiluminescence detection reagent (Cat#:P0018FM, Beyotime), and images were analyzed semi-quantitatively using ImageJ software.</w:t>
      </w:r>
    </w:p>
    <w:p w14:paraId="78CE195F">
      <w:pPr>
        <w:widowControl w:val="0"/>
        <w:spacing w:line="480" w:lineRule="auto"/>
        <w:rPr>
          <w:color w:val="000000" w:themeColor="text1"/>
          <w14:textFill>
            <w14:solidFill>
              <w14:schemeClr w14:val="tx1"/>
            </w14:solidFill>
          </w14:textFill>
        </w:rPr>
      </w:pPr>
    </w:p>
    <w:p w14:paraId="15B03851">
      <w:pPr>
        <w:spacing w:line="480" w:lineRule="auto"/>
        <w:rPr>
          <w:b/>
          <w:bCs/>
          <w:color w:val="000000" w:themeColor="text1"/>
          <w:lang w:bidi="ar"/>
          <w14:textFill>
            <w14:solidFill>
              <w14:schemeClr w14:val="tx1"/>
            </w14:solidFill>
          </w14:textFill>
        </w:rPr>
      </w:pPr>
      <w:r>
        <w:rPr>
          <w:b/>
          <w:bCs/>
          <w:i/>
          <w:iCs/>
          <w:color w:val="FF0000"/>
          <w:lang w:bidi="ar"/>
        </w:rPr>
        <w:t>In vitro</w:t>
      </w:r>
      <w:r>
        <w:rPr>
          <w:b/>
          <w:bCs/>
          <w:color w:val="000000" w:themeColor="text1"/>
          <w:lang w:bidi="ar"/>
          <w14:textFill>
            <w14:solidFill>
              <w14:schemeClr w14:val="tx1"/>
            </w14:solidFill>
          </w14:textFill>
        </w:rPr>
        <w:t xml:space="preserve"> hemolysis assay</w:t>
      </w:r>
    </w:p>
    <w:p w14:paraId="0CE397A0">
      <w:pPr>
        <w:spacing w:line="480" w:lineRule="auto"/>
        <w:rPr>
          <w:color w:val="000000" w:themeColor="text1"/>
          <w14:textFill>
            <w14:solidFill>
              <w14:schemeClr w14:val="tx1"/>
            </w14:solidFill>
          </w14:textFill>
        </w:rPr>
      </w:pPr>
      <w:r>
        <w:rPr>
          <w:color w:val="000000" w:themeColor="text1"/>
          <w14:textFill>
            <w14:solidFill>
              <w14:schemeClr w14:val="tx1"/>
            </w14:solidFill>
          </w14:textFill>
        </w:rPr>
        <w:t>Blood samples were collected from BALB/c mice via orbital puncture into anticoagulant tubes containing EDTA-Na</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 The samples were then centrifuged at 1000 g for 10 minutes, and this process was repeated three times to effectively remove collagen fibers. Following centrifugation, 100 μL of the processed blood was aliquoted into Eppendorf tubes, and 900 μL of either deionized water (positive control), PBS (pH 7.4, negative control), or varying concentrations of Mn-ER-Cy (3.125, 6.25, 12.5, 25, 50, 100, 200, and 400 μg/mL) was added to each tube. The mixtures were thoroughly mixed and incubated at 37 °C in a shaking incubator for 2 hours. After incubation, the samples were centrifuged again at 1000 g for 10 minutes. Eppendorf tubes were photographed to visually document any hemolysis. Subsequently, 200 μL of the supernatant was transferred to a 96-well plate, and the absorbance of these supernatants was measured at 540 nm using a multifunctional microplate reader. The hemolysis rate was calculated using the formula: The hemolysis rate was calculated using the formula: Hemolysis Rate (%) = [(OD_sample − OD_negative) / (OD_positive − OD_negative)] × 100 %.</w:t>
      </w:r>
    </w:p>
    <w:p w14:paraId="24EB5D02">
      <w:pPr>
        <w:spacing w:line="480" w:lineRule="auto"/>
        <w:rPr>
          <w:color w:val="000000" w:themeColor="text1"/>
          <w:lang w:bidi="ar"/>
          <w14:textFill>
            <w14:solidFill>
              <w14:schemeClr w14:val="tx1"/>
            </w14:solidFill>
          </w14:textFill>
        </w:rPr>
      </w:pPr>
    </w:p>
    <w:p w14:paraId="398A7403">
      <w:pPr>
        <w:spacing w:line="480" w:lineRule="auto"/>
        <w:rPr>
          <w:b/>
          <w:bCs/>
          <w:color w:val="000000" w:themeColor="text1"/>
          <w14:textFill>
            <w14:solidFill>
              <w14:schemeClr w14:val="tx1"/>
            </w14:solidFill>
          </w14:textFill>
        </w:rPr>
      </w:pPr>
      <w:r>
        <w:rPr>
          <w:b/>
          <w:bCs/>
          <w:color w:val="000000" w:themeColor="text1"/>
          <w14:textFill>
            <w14:solidFill>
              <w14:schemeClr w14:val="tx1"/>
            </w14:solidFill>
          </w14:textFill>
        </w:rPr>
        <w:t>References</w:t>
      </w:r>
    </w:p>
    <w:p w14:paraId="3218B4F7">
      <w:pPr>
        <w:pStyle w:val="26"/>
        <w:ind w:left="720" w:hanging="720"/>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ADDIN EN.REFLIST </w:instrText>
      </w:r>
      <w:r>
        <w:rPr>
          <w:color w:val="000000" w:themeColor="text1"/>
          <w14:textFill>
            <w14:solidFill>
              <w14:schemeClr w14:val="tx1"/>
            </w14:solidFill>
          </w14:textFill>
        </w:rPr>
        <w:fldChar w:fldCharType="separate"/>
      </w:r>
      <w:r>
        <w:t>1.</w:t>
      </w:r>
      <w:r>
        <w:tab/>
      </w:r>
      <w:r>
        <w:t>Zhang Y, Yu X, Luo L, Xu Y, Zhang H, Mao Z et al. Engineered manganese-BODIPY coordinated nanoadjuvants for enhanced NIR-II photo-metalloimmunotherapy. J Control Release. 2024;376</w:t>
      </w:r>
      <w:r>
        <w:rPr>
          <w:rFonts w:hint="eastAsia"/>
        </w:rPr>
        <w:t>:</w:t>
      </w:r>
      <w:r>
        <w:t>1115-1129.</w:t>
      </w:r>
    </w:p>
    <w:p w14:paraId="59FC13E5">
      <w:pPr>
        <w:pStyle w:val="26"/>
        <w:ind w:left="720" w:hanging="720"/>
      </w:pPr>
      <w:r>
        <w:t>2.</w:t>
      </w:r>
      <w:r>
        <w:tab/>
      </w:r>
      <w:r>
        <w:t>Peng D, Cheng L, Tang J, Liu Z, Xue Y, Liu J. Engineered NK Exosomes Captured Antigens In Situ for Enhanced Tumor Immunotherapy. ACS Appl Mater Interfaces. 2025;17(16):23740-23752.</w:t>
      </w:r>
    </w:p>
    <w:p w14:paraId="5C4C0E04">
      <w:pPr>
        <w:pStyle w:val="26"/>
        <w:ind w:left="720" w:hanging="720"/>
      </w:pPr>
      <w:r>
        <w:t>3.</w:t>
      </w:r>
      <w:r>
        <w:tab/>
      </w:r>
      <w:r>
        <w:t>Li S, Chen Y, He P, Ma Y, Cai Y, Hou X et al. Aggregation-Induced Emission (AIE) Photosensitizer Combined Polydopamine Nanomaterials for Organelle-Targeting Photodynamic and Photothermal Therapy by the Recognition of Sialic Acid. Adv Healthc Mater. 2022;11(15):e2200242.</w:t>
      </w:r>
    </w:p>
    <w:p w14:paraId="35E4CF2A">
      <w:pPr>
        <w:pStyle w:val="26"/>
        <w:ind w:left="720" w:hanging="720"/>
      </w:pPr>
      <w:r>
        <w:t>4.</w:t>
      </w:r>
      <w:r>
        <w:tab/>
      </w:r>
      <w:r>
        <w:t>Liu Z, Tang Z, Yin Y, Wan M, Zhan J, Ren L. A Microneedle Patch Delivers Mitochondria- and Lysosomes- Dual Targeting Prodrug-Like Photosensitizers with Regulated Photoactivity for Precise Photodynamic Therapy. Adv Healthc Mater. 2025;14(9):e2403954.</w:t>
      </w:r>
    </w:p>
    <w:p w14:paraId="5B161640">
      <w:pPr>
        <w:pStyle w:val="26"/>
        <w:ind w:left="720" w:hanging="720"/>
      </w:pPr>
      <w:r>
        <w:t>5.</w:t>
      </w:r>
      <w:r>
        <w:tab/>
      </w:r>
      <w:r>
        <w:t>Shen Y, Li X, Huang H, Lan Y, Gan L, Huang J. Embedding Mn(2+) in polymer coating on rod-like cellulose nanocrystal to integrate MRI and photothermal function. Carbohydr Polym. 2022;297</w:t>
      </w:r>
      <w:r>
        <w:rPr>
          <w:rFonts w:hint="eastAsia"/>
        </w:rPr>
        <w:t>:</w:t>
      </w:r>
      <w:r>
        <w:t>120061.</w:t>
      </w:r>
    </w:p>
    <w:p w14:paraId="122B6187">
      <w:pPr>
        <w:pStyle w:val="26"/>
        <w:ind w:left="720" w:hanging="720"/>
      </w:pPr>
      <w:r>
        <w:t>6.</w:t>
      </w:r>
      <w:r>
        <w:tab/>
      </w:r>
      <w:r>
        <w:t>Zhao R, Zhu Y, Zhou J, Liu B, Du Y, Gai S et al. Dual Glutathione Depletion Enhanced Enzyme Catalytic Activity for Hyperthermia Assisted Tumor Therapy on Semi-Metallic VSe(2)/Mn-CS. ACS Nano. 2022;16(7):10904-10917.</w:t>
      </w:r>
    </w:p>
    <w:p w14:paraId="04BE02FC">
      <w:pPr>
        <w:pStyle w:val="26"/>
        <w:ind w:left="720" w:hanging="720"/>
      </w:pPr>
      <w:r>
        <w:t>7.</w:t>
      </w:r>
      <w:r>
        <w:tab/>
      </w:r>
      <w:r>
        <w:t>Huang P, Tang Q, Li M, Yang Q, Zhang Y, Lei L et al. Manganese-derived biomaterials for tumor diagnosis and therapy. J Nanobiotechnology. 2024;22(1):335.</w:t>
      </w:r>
    </w:p>
    <w:p w14:paraId="6F9332C5">
      <w:pPr>
        <w:pStyle w:val="26"/>
        <w:ind w:left="720" w:hanging="720"/>
      </w:pPr>
      <w:r>
        <w:t>8.</w:t>
      </w:r>
      <w:r>
        <w:tab/>
      </w:r>
      <w:r>
        <w:t>Zhu B, Zhang M, Chen Q, Li Z, Chen S, Zhu J. Starvation-assisted and photothermal-thriving combined chemo/chemodynamic cancer therapy with PT/MR bimodal imaging. Biomater Sci. 2023;11(6):2129-2138.</w:t>
      </w:r>
    </w:p>
    <w:p w14:paraId="2F0ACF45">
      <w:pPr>
        <w:pStyle w:val="26"/>
        <w:ind w:left="720" w:hanging="720"/>
      </w:pPr>
      <w:r>
        <w:t>9.</w:t>
      </w:r>
      <w:r>
        <w:tab/>
      </w:r>
      <w:r>
        <w:t>Xie X, Liu W, Zhu W, Zhang G, Dai Y, Wu J et al. A cell penetrating peptide-modified magnetic/fluorescent probe for in vivo tracking of mesenchymal stem cells. J Biomed Mater Res A. 2022;110(12):1881-1891.</w:t>
      </w:r>
    </w:p>
    <w:p w14:paraId="5B531FB8">
      <w:pPr>
        <w:pStyle w:val="26"/>
        <w:ind w:left="720" w:hanging="720"/>
      </w:pPr>
      <w:r>
        <w:t>10.</w:t>
      </w:r>
      <w:r>
        <w:tab/>
      </w:r>
      <w:r>
        <w:t>Liu Z, Deng X, Wang Z, Guo Y, Hameed MMA, El-Newehy M et al. A biomimetic therapeutic nanovaccine based on dendrimer-drug conjugates coated with metal-phenolic networks for combination therapy of nasopharyngeal carcinoma: an in vitro investigation. J Mater Chem B. 2025.</w:t>
      </w:r>
    </w:p>
    <w:p w14:paraId="61ABF3BF">
      <w:pPr>
        <w:pStyle w:val="26"/>
        <w:ind w:left="720" w:hanging="720"/>
      </w:pPr>
      <w:r>
        <w:t>11.</w:t>
      </w:r>
      <w:r>
        <w:tab/>
      </w:r>
      <w:r>
        <w:t>Heng C, Liu W, Zheng X, Ma X, Hui J, Fan D. Dopamine and DNA functionalized manganese whitlockite nanocrystals for magnetic resonance imaging and chemo-photothermal therapy of tumors. Colloids Surf B Biointerfaces. 2023;222</w:t>
      </w:r>
      <w:r>
        <w:rPr>
          <w:rFonts w:hint="eastAsia"/>
        </w:rPr>
        <w:t>:</w:t>
      </w:r>
      <w:r>
        <w:t>113120.</w:t>
      </w:r>
    </w:p>
    <w:p w14:paraId="1E0180B9">
      <w:pPr>
        <w:pStyle w:val="26"/>
        <w:ind w:left="720" w:hanging="720"/>
      </w:pPr>
      <w:r>
        <w:t>12.</w:t>
      </w:r>
      <w:r>
        <w:tab/>
      </w:r>
      <w:r>
        <w:t>Luo S, Luo X, Wang X, Li L, Liu H, Mo B et al. Tailoring Multifunctional Small Molecular Photosensitizers to In Vivo Self-Assemble with Albumin to Boost Tumor-Preferential Accumulation, NIR Imaging, and Photodynamic/Photothermal/Immunotherapy. Small. 2022;18(27):e2201298.</w:t>
      </w:r>
    </w:p>
    <w:p w14:paraId="74C2593E">
      <w:pPr>
        <w:pStyle w:val="26"/>
        <w:spacing w:line="480" w:lineRule="auto"/>
        <w:rPr>
          <w:rFonts w:hint="eastAsia"/>
          <w:color w:val="000000" w:themeColor="text1"/>
          <w14:textFill>
            <w14:solidFill>
              <w14:schemeClr w14:val="tx1"/>
            </w14:solidFill>
          </w14:textFill>
        </w:rPr>
      </w:pPr>
      <w:r>
        <w:rPr>
          <w:color w:val="000000" w:themeColor="text1"/>
          <w14:textFill>
            <w14:solidFill>
              <w14:schemeClr w14:val="tx1"/>
            </w14:solidFill>
          </w14:textFill>
        </w:rPr>
        <w:fldChar w:fldCharType="end"/>
      </w:r>
    </w:p>
    <w:sectPr>
      <w:headerReference r:id="rId5" w:type="default"/>
      <w:footerReference r:id="rId6" w:type="default"/>
      <w:pgSz w:w="11906" w:h="16838"/>
      <w:pgMar w:top="1418" w:right="1418" w:bottom="1134" w:left="141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ScalaPro-Regular">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ScalaSansPro-Regular">
    <w:altName w:val="Cambria"/>
    <w:panose1 w:val="00000000000000000000"/>
    <w:charset w:val="00"/>
    <w:family w:val="roman"/>
    <w:pitch w:val="default"/>
    <w:sig w:usb0="00000000" w:usb1="00000000" w:usb2="00000000" w:usb3="00000000" w:csb0="00000000" w:csb1="00000000"/>
  </w:font>
  <w:font w:name="AdvOT46dcae81+20">
    <w:altName w:val="Cambria"/>
    <w:panose1 w:val="00000000000000000000"/>
    <w:charset w:val="00"/>
    <w:family w:val="roman"/>
    <w:pitch w:val="default"/>
    <w:sig w:usb0="00000000" w:usb1="00000000" w:usb2="00000000" w:usb3="00000000" w:csb0="00000000" w:csb1="00000000"/>
  </w:font>
  <w:font w:name="AdvOT2e364b11+fb">
    <w:altName w:val="Cambria"/>
    <w:panose1 w:val="00000000000000000000"/>
    <w:charset w:val="00"/>
    <w:family w:val="roman"/>
    <w:pitch w:val="default"/>
    <w:sig w:usb0="00000000" w:usb1="00000000" w:usb2="00000000" w:usb3="00000000" w:csb0="00000000" w:csb1="00000000"/>
  </w:font>
  <w:font w:name="AdvOT02ce3bbb.I">
    <w:altName w:val="Cambria"/>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4D542">
    <w:pPr>
      <w:pStyle w:val="4"/>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8205"/>
                          </w:sdtPr>
                          <w:sdtContent>
                            <w:p w14:paraId="44D3220A">
                              <w:pPr>
                                <w:pStyle w:val="4"/>
                              </w:pPr>
                              <w:r>
                                <w:rPr>
                                  <w:rFonts w:asciiTheme="minorHAnsi" w:hAnsiTheme="minorHAnsi"/>
                                  <w:sz w:val="22"/>
                                  <w:szCs w:val="22"/>
                                </w:rPr>
                                <w:fldChar w:fldCharType="begin"/>
                              </w:r>
                              <w:r>
                                <w:rPr>
                                  <w:rFonts w:asciiTheme="minorHAnsi" w:hAnsiTheme="minorHAnsi"/>
                                  <w:sz w:val="22"/>
                                  <w:szCs w:val="22"/>
                                </w:rPr>
                                <w:instrText xml:space="preserve"> PAGE   \* MERGEFORMAT </w:instrText>
                              </w:r>
                              <w:r>
                                <w:rPr>
                                  <w:rFonts w:asciiTheme="minorHAnsi" w:hAnsiTheme="minorHAnsi"/>
                                  <w:sz w:val="22"/>
                                  <w:szCs w:val="22"/>
                                </w:rPr>
                                <w:fldChar w:fldCharType="separate"/>
                              </w:r>
                              <w:r>
                                <w:rPr>
                                  <w:rFonts w:asciiTheme="minorHAnsi" w:hAnsiTheme="minorHAnsi"/>
                                  <w:sz w:val="22"/>
                                  <w:szCs w:val="22"/>
                                </w:rPr>
                                <w:t>26</w:t>
                              </w:r>
                              <w:r>
                                <w:rPr>
                                  <w:rFonts w:asciiTheme="minorHAnsi" w:hAnsiTheme="minorHAnsi"/>
                                  <w:sz w:val="22"/>
                                  <w:szCs w:val="22"/>
                                </w:rPr>
                                <w:fldChar w:fldCharType="end"/>
                              </w:r>
                            </w:p>
                          </w:sdtContent>
                        </w:sdt>
                        <w:p w14:paraId="72CDA2FC"/>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47468205"/>
                    </w:sdtPr>
                    <w:sdtContent>
                      <w:p w14:paraId="44D3220A">
                        <w:pPr>
                          <w:pStyle w:val="4"/>
                        </w:pPr>
                        <w:r>
                          <w:rPr>
                            <w:rFonts w:asciiTheme="minorHAnsi" w:hAnsiTheme="minorHAnsi"/>
                            <w:sz w:val="22"/>
                            <w:szCs w:val="22"/>
                          </w:rPr>
                          <w:fldChar w:fldCharType="begin"/>
                        </w:r>
                        <w:r>
                          <w:rPr>
                            <w:rFonts w:asciiTheme="minorHAnsi" w:hAnsiTheme="minorHAnsi"/>
                            <w:sz w:val="22"/>
                            <w:szCs w:val="22"/>
                          </w:rPr>
                          <w:instrText xml:space="preserve"> PAGE   \* MERGEFORMAT </w:instrText>
                        </w:r>
                        <w:r>
                          <w:rPr>
                            <w:rFonts w:asciiTheme="minorHAnsi" w:hAnsiTheme="minorHAnsi"/>
                            <w:sz w:val="22"/>
                            <w:szCs w:val="22"/>
                          </w:rPr>
                          <w:fldChar w:fldCharType="separate"/>
                        </w:r>
                        <w:r>
                          <w:rPr>
                            <w:rFonts w:asciiTheme="minorHAnsi" w:hAnsiTheme="minorHAnsi"/>
                            <w:sz w:val="22"/>
                            <w:szCs w:val="22"/>
                          </w:rPr>
                          <w:t>26</w:t>
                        </w:r>
                        <w:r>
                          <w:rPr>
                            <w:rFonts w:asciiTheme="minorHAnsi" w:hAnsiTheme="minorHAnsi"/>
                            <w:sz w:val="22"/>
                            <w:szCs w:val="22"/>
                          </w:rPr>
                          <w:fldChar w:fldCharType="end"/>
                        </w:r>
                      </w:p>
                    </w:sdtContent>
                  </w:sdt>
                  <w:p w14:paraId="72CDA2FC"/>
                </w:txbxContent>
              </v:textbox>
            </v:shape>
          </w:pict>
        </mc:Fallback>
      </mc:AlternateContent>
    </w:r>
  </w:p>
  <w:p w14:paraId="78F6369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18A24">
    <w:pPr>
      <w:pStyle w:val="5"/>
    </w:pPr>
    <w:r>
      <w:tab/>
    </w:r>
    <w:r>
      <w:tab/>
    </w:r>
  </w:p>
  <w:p w14:paraId="2D8D605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3E5732"/>
    <w:multiLevelType w:val="multilevel"/>
    <w:tmpl w:val="313E5732"/>
    <w:lvl w:ilvl="0" w:tentative="0">
      <w:start w:val="1"/>
      <w:numFmt w:val="decimal"/>
      <w:pStyle w:val="21"/>
      <w:lvlText w:val="%1."/>
      <w:lvlJc w:val="left"/>
      <w:pPr>
        <w:ind w:left="360" w:hanging="360"/>
      </w:pPr>
      <w:rPr>
        <w:rFonts w:hint="default"/>
        <w:b/>
        <w:bCs/>
        <w:i w:val="0"/>
        <w:iCs/>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MyYmFiZDU2YTc4MTQxMWQ0YjRiOWZlZmE1NWE3MGIifQ=="/>
    <w:docVar w:name="EN.InstantFormat" w:val="&lt;ENInstantFormat&gt;&lt;Enabled&gt;1&lt;/Enabled&gt;&lt;ScanUnformatted&gt;1&lt;/ScanUnformatted&gt;&lt;ScanChanges&gt;1&lt;/ScanChanges&gt;&lt;Suspended&gt;0&lt;/Suspended&gt;&lt;/ENInstantFormat&gt;"/>
    <w:docVar w:name="EN.Layout" w:val="&lt;ENLayout&gt;&lt;Style&gt;BMC Cancer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1&lt;/LineSpacing&gt;&lt;SpaceAfter&gt;0&lt;/SpaceAfter&gt;&lt;HyperlinksEnabled&gt;0&lt;/HyperlinksEnabled&gt;&lt;HyperlinksVisible&gt;0&lt;/HyperlinksVisible&gt;&lt;EnableBibliographyCategories&gt;0&lt;/EnableBibliographyCategories&gt;&lt;/ENLayout&gt;"/>
    <w:docVar w:name="EN.Libraries" w:val="&lt;Libraries&gt;&lt;item db-id=&quot;f2w5e0sxovdd2jetpstx20s45xzx92zf2wz0&quot;&gt;My EndNote Library&lt;record-ids&gt;&lt;item&gt;816&lt;/item&gt;&lt;item&gt;817&lt;/item&gt;&lt;item&gt;818&lt;/item&gt;&lt;item&gt;819&lt;/item&gt;&lt;item&gt;820&lt;/item&gt;&lt;item&gt;821&lt;/item&gt;&lt;item&gt;822&lt;/item&gt;&lt;item&gt;823&lt;/item&gt;&lt;item&gt;824&lt;/item&gt;&lt;item&gt;825&lt;/item&gt;&lt;item&gt;827&lt;/item&gt;&lt;item&gt;828&lt;/item&gt;&lt;/record-ids&gt;&lt;/item&gt;&lt;/Libraries&gt;"/>
    <w:docVar w:name="UniqueDocId" w:val="4dd573da-2e76-4680-a42c-fcdb22eff9f0"/>
  </w:docVars>
  <w:rsids>
    <w:rsidRoot w:val="00172A27"/>
    <w:rsid w:val="00000783"/>
    <w:rsid w:val="00002567"/>
    <w:rsid w:val="00007407"/>
    <w:rsid w:val="00007505"/>
    <w:rsid w:val="00007AC2"/>
    <w:rsid w:val="000111A8"/>
    <w:rsid w:val="00012112"/>
    <w:rsid w:val="000122A6"/>
    <w:rsid w:val="00012BCC"/>
    <w:rsid w:val="00012C00"/>
    <w:rsid w:val="00014183"/>
    <w:rsid w:val="00017B38"/>
    <w:rsid w:val="000233BA"/>
    <w:rsid w:val="0003177C"/>
    <w:rsid w:val="00031B34"/>
    <w:rsid w:val="00031D69"/>
    <w:rsid w:val="00031E1A"/>
    <w:rsid w:val="00035891"/>
    <w:rsid w:val="000359E1"/>
    <w:rsid w:val="0003713B"/>
    <w:rsid w:val="00037266"/>
    <w:rsid w:val="000414E3"/>
    <w:rsid w:val="00041BCD"/>
    <w:rsid w:val="000433E5"/>
    <w:rsid w:val="00044295"/>
    <w:rsid w:val="000455B2"/>
    <w:rsid w:val="00045650"/>
    <w:rsid w:val="00045A0D"/>
    <w:rsid w:val="00045B22"/>
    <w:rsid w:val="000465BF"/>
    <w:rsid w:val="000476D8"/>
    <w:rsid w:val="00047A99"/>
    <w:rsid w:val="00050F4A"/>
    <w:rsid w:val="00051E89"/>
    <w:rsid w:val="00053168"/>
    <w:rsid w:val="00055A24"/>
    <w:rsid w:val="00055A54"/>
    <w:rsid w:val="00056F0E"/>
    <w:rsid w:val="00060CE3"/>
    <w:rsid w:val="0006210E"/>
    <w:rsid w:val="00062397"/>
    <w:rsid w:val="00062CD9"/>
    <w:rsid w:val="000639B1"/>
    <w:rsid w:val="0006410E"/>
    <w:rsid w:val="000643E1"/>
    <w:rsid w:val="0006571D"/>
    <w:rsid w:val="00066E9F"/>
    <w:rsid w:val="00067176"/>
    <w:rsid w:val="00070D12"/>
    <w:rsid w:val="00071649"/>
    <w:rsid w:val="0007261F"/>
    <w:rsid w:val="00074176"/>
    <w:rsid w:val="00076D3C"/>
    <w:rsid w:val="000770D2"/>
    <w:rsid w:val="000773CF"/>
    <w:rsid w:val="00081DBE"/>
    <w:rsid w:val="00083734"/>
    <w:rsid w:val="00083CAF"/>
    <w:rsid w:val="00085A88"/>
    <w:rsid w:val="00085B4D"/>
    <w:rsid w:val="00086093"/>
    <w:rsid w:val="00091A29"/>
    <w:rsid w:val="000923AF"/>
    <w:rsid w:val="000927F1"/>
    <w:rsid w:val="00093A32"/>
    <w:rsid w:val="0009562F"/>
    <w:rsid w:val="000961AD"/>
    <w:rsid w:val="000967BD"/>
    <w:rsid w:val="00096EE2"/>
    <w:rsid w:val="000976A8"/>
    <w:rsid w:val="000A47C6"/>
    <w:rsid w:val="000A4B03"/>
    <w:rsid w:val="000A4E2C"/>
    <w:rsid w:val="000A5093"/>
    <w:rsid w:val="000A7D61"/>
    <w:rsid w:val="000B4DFA"/>
    <w:rsid w:val="000B60D9"/>
    <w:rsid w:val="000B7396"/>
    <w:rsid w:val="000C2906"/>
    <w:rsid w:val="000C3694"/>
    <w:rsid w:val="000C6FA2"/>
    <w:rsid w:val="000C774F"/>
    <w:rsid w:val="000C77C3"/>
    <w:rsid w:val="000D0E50"/>
    <w:rsid w:val="000D0E89"/>
    <w:rsid w:val="000D296D"/>
    <w:rsid w:val="000D5D08"/>
    <w:rsid w:val="000E68C2"/>
    <w:rsid w:val="000F0EBA"/>
    <w:rsid w:val="000F1476"/>
    <w:rsid w:val="000F4F5F"/>
    <w:rsid w:val="000F6E69"/>
    <w:rsid w:val="0010226E"/>
    <w:rsid w:val="001028AD"/>
    <w:rsid w:val="00103FEC"/>
    <w:rsid w:val="00105D78"/>
    <w:rsid w:val="00105E05"/>
    <w:rsid w:val="00115B60"/>
    <w:rsid w:val="00116B95"/>
    <w:rsid w:val="001174D3"/>
    <w:rsid w:val="00125383"/>
    <w:rsid w:val="001271AB"/>
    <w:rsid w:val="0013050C"/>
    <w:rsid w:val="0013352D"/>
    <w:rsid w:val="00133B34"/>
    <w:rsid w:val="00133C9C"/>
    <w:rsid w:val="00135C00"/>
    <w:rsid w:val="00135E1E"/>
    <w:rsid w:val="0013679F"/>
    <w:rsid w:val="00140249"/>
    <w:rsid w:val="0014593A"/>
    <w:rsid w:val="001507EB"/>
    <w:rsid w:val="00152E8E"/>
    <w:rsid w:val="00152F57"/>
    <w:rsid w:val="00153B33"/>
    <w:rsid w:val="001611B1"/>
    <w:rsid w:val="00162725"/>
    <w:rsid w:val="00166028"/>
    <w:rsid w:val="00172A27"/>
    <w:rsid w:val="00174F91"/>
    <w:rsid w:val="001756A3"/>
    <w:rsid w:val="00175AF3"/>
    <w:rsid w:val="00176A37"/>
    <w:rsid w:val="001776BF"/>
    <w:rsid w:val="001801B4"/>
    <w:rsid w:val="001802F5"/>
    <w:rsid w:val="00180742"/>
    <w:rsid w:val="00183EAD"/>
    <w:rsid w:val="001846CE"/>
    <w:rsid w:val="001853F4"/>
    <w:rsid w:val="0018613E"/>
    <w:rsid w:val="00190165"/>
    <w:rsid w:val="001914D9"/>
    <w:rsid w:val="001933D6"/>
    <w:rsid w:val="00193409"/>
    <w:rsid w:val="001949B4"/>
    <w:rsid w:val="00194D54"/>
    <w:rsid w:val="00196537"/>
    <w:rsid w:val="00196DEB"/>
    <w:rsid w:val="001A0011"/>
    <w:rsid w:val="001A0538"/>
    <w:rsid w:val="001A1FF9"/>
    <w:rsid w:val="001A390B"/>
    <w:rsid w:val="001A6704"/>
    <w:rsid w:val="001A75F9"/>
    <w:rsid w:val="001B1FD7"/>
    <w:rsid w:val="001B589F"/>
    <w:rsid w:val="001B6E20"/>
    <w:rsid w:val="001B7D0F"/>
    <w:rsid w:val="001C0DAE"/>
    <w:rsid w:val="001C245F"/>
    <w:rsid w:val="001C37CE"/>
    <w:rsid w:val="001C3CF3"/>
    <w:rsid w:val="001C5C29"/>
    <w:rsid w:val="001C7FC0"/>
    <w:rsid w:val="001D1B3A"/>
    <w:rsid w:val="001D2070"/>
    <w:rsid w:val="001D209B"/>
    <w:rsid w:val="001D37A7"/>
    <w:rsid w:val="001D57EF"/>
    <w:rsid w:val="001E41E0"/>
    <w:rsid w:val="001E5C3F"/>
    <w:rsid w:val="001F13CC"/>
    <w:rsid w:val="001F1411"/>
    <w:rsid w:val="001F2008"/>
    <w:rsid w:val="001F244C"/>
    <w:rsid w:val="001F384E"/>
    <w:rsid w:val="001F4C64"/>
    <w:rsid w:val="001F5315"/>
    <w:rsid w:val="001F5EF8"/>
    <w:rsid w:val="00201DC3"/>
    <w:rsid w:val="00203382"/>
    <w:rsid w:val="00206C77"/>
    <w:rsid w:val="00210CC2"/>
    <w:rsid w:val="00212290"/>
    <w:rsid w:val="00212B04"/>
    <w:rsid w:val="00213390"/>
    <w:rsid w:val="00214D4E"/>
    <w:rsid w:val="00216C96"/>
    <w:rsid w:val="00221419"/>
    <w:rsid w:val="00224C70"/>
    <w:rsid w:val="002301A9"/>
    <w:rsid w:val="00233728"/>
    <w:rsid w:val="00237021"/>
    <w:rsid w:val="002403A3"/>
    <w:rsid w:val="00240F7B"/>
    <w:rsid w:val="00242186"/>
    <w:rsid w:val="002432F6"/>
    <w:rsid w:val="00246E40"/>
    <w:rsid w:val="002509BF"/>
    <w:rsid w:val="002513FD"/>
    <w:rsid w:val="0025254F"/>
    <w:rsid w:val="0025280F"/>
    <w:rsid w:val="002556AA"/>
    <w:rsid w:val="00255B89"/>
    <w:rsid w:val="002570C2"/>
    <w:rsid w:val="00257382"/>
    <w:rsid w:val="00257827"/>
    <w:rsid w:val="002615AB"/>
    <w:rsid w:val="00263786"/>
    <w:rsid w:val="00263B96"/>
    <w:rsid w:val="002708A5"/>
    <w:rsid w:val="00274E0D"/>
    <w:rsid w:val="00280130"/>
    <w:rsid w:val="002812AE"/>
    <w:rsid w:val="002838D3"/>
    <w:rsid w:val="00283A8B"/>
    <w:rsid w:val="00284458"/>
    <w:rsid w:val="00284558"/>
    <w:rsid w:val="00284BB1"/>
    <w:rsid w:val="00287052"/>
    <w:rsid w:val="00287233"/>
    <w:rsid w:val="00291995"/>
    <w:rsid w:val="00291A32"/>
    <w:rsid w:val="002A2163"/>
    <w:rsid w:val="002A2724"/>
    <w:rsid w:val="002A2D7C"/>
    <w:rsid w:val="002A2F86"/>
    <w:rsid w:val="002A4B91"/>
    <w:rsid w:val="002A7602"/>
    <w:rsid w:val="002B13B9"/>
    <w:rsid w:val="002B6D96"/>
    <w:rsid w:val="002C1162"/>
    <w:rsid w:val="002C2D71"/>
    <w:rsid w:val="002C3C74"/>
    <w:rsid w:val="002C5923"/>
    <w:rsid w:val="002C652B"/>
    <w:rsid w:val="002D194B"/>
    <w:rsid w:val="002D4976"/>
    <w:rsid w:val="002D4CBC"/>
    <w:rsid w:val="002D594B"/>
    <w:rsid w:val="002D6C53"/>
    <w:rsid w:val="002E01BA"/>
    <w:rsid w:val="002E092D"/>
    <w:rsid w:val="002E2BF1"/>
    <w:rsid w:val="002E4775"/>
    <w:rsid w:val="002E64BF"/>
    <w:rsid w:val="002E752B"/>
    <w:rsid w:val="002F2792"/>
    <w:rsid w:val="002F374F"/>
    <w:rsid w:val="00300983"/>
    <w:rsid w:val="0030141A"/>
    <w:rsid w:val="0030218E"/>
    <w:rsid w:val="003073DE"/>
    <w:rsid w:val="003079FF"/>
    <w:rsid w:val="00312B2D"/>
    <w:rsid w:val="0031311A"/>
    <w:rsid w:val="00313E18"/>
    <w:rsid w:val="003158D8"/>
    <w:rsid w:val="00317060"/>
    <w:rsid w:val="003177F8"/>
    <w:rsid w:val="0032071C"/>
    <w:rsid w:val="003218C8"/>
    <w:rsid w:val="003319EE"/>
    <w:rsid w:val="003323E2"/>
    <w:rsid w:val="003330AC"/>
    <w:rsid w:val="0033313B"/>
    <w:rsid w:val="003335B5"/>
    <w:rsid w:val="00334487"/>
    <w:rsid w:val="00334DEA"/>
    <w:rsid w:val="003352A3"/>
    <w:rsid w:val="00335F6F"/>
    <w:rsid w:val="00336D7D"/>
    <w:rsid w:val="00340442"/>
    <w:rsid w:val="00343319"/>
    <w:rsid w:val="00343850"/>
    <w:rsid w:val="00344069"/>
    <w:rsid w:val="00344079"/>
    <w:rsid w:val="00344922"/>
    <w:rsid w:val="00345AD1"/>
    <w:rsid w:val="00345FCC"/>
    <w:rsid w:val="003465E4"/>
    <w:rsid w:val="00351E34"/>
    <w:rsid w:val="00353700"/>
    <w:rsid w:val="00353D28"/>
    <w:rsid w:val="00354534"/>
    <w:rsid w:val="0035464C"/>
    <w:rsid w:val="0035545C"/>
    <w:rsid w:val="00355AA2"/>
    <w:rsid w:val="00357901"/>
    <w:rsid w:val="00357B34"/>
    <w:rsid w:val="0036291E"/>
    <w:rsid w:val="00366B1E"/>
    <w:rsid w:val="0036764C"/>
    <w:rsid w:val="00371378"/>
    <w:rsid w:val="00371D3D"/>
    <w:rsid w:val="0037358A"/>
    <w:rsid w:val="00374891"/>
    <w:rsid w:val="00376AF7"/>
    <w:rsid w:val="00377B91"/>
    <w:rsid w:val="00377C12"/>
    <w:rsid w:val="00380BAB"/>
    <w:rsid w:val="00381341"/>
    <w:rsid w:val="0038188C"/>
    <w:rsid w:val="003825A8"/>
    <w:rsid w:val="00382DD5"/>
    <w:rsid w:val="00383C66"/>
    <w:rsid w:val="0038423F"/>
    <w:rsid w:val="00386C73"/>
    <w:rsid w:val="00387858"/>
    <w:rsid w:val="00387ED5"/>
    <w:rsid w:val="00390E43"/>
    <w:rsid w:val="003A0117"/>
    <w:rsid w:val="003A1FE5"/>
    <w:rsid w:val="003A3D54"/>
    <w:rsid w:val="003A5B13"/>
    <w:rsid w:val="003A7302"/>
    <w:rsid w:val="003B0F7B"/>
    <w:rsid w:val="003B121F"/>
    <w:rsid w:val="003B196B"/>
    <w:rsid w:val="003B5320"/>
    <w:rsid w:val="003B6E75"/>
    <w:rsid w:val="003B7816"/>
    <w:rsid w:val="003C15F9"/>
    <w:rsid w:val="003C22CF"/>
    <w:rsid w:val="003C306A"/>
    <w:rsid w:val="003C3A05"/>
    <w:rsid w:val="003C5198"/>
    <w:rsid w:val="003C7EB4"/>
    <w:rsid w:val="003D0A45"/>
    <w:rsid w:val="003D1A07"/>
    <w:rsid w:val="003D73F9"/>
    <w:rsid w:val="003D7E61"/>
    <w:rsid w:val="003E0F7C"/>
    <w:rsid w:val="003E1788"/>
    <w:rsid w:val="003E1B31"/>
    <w:rsid w:val="003E4908"/>
    <w:rsid w:val="003F1F69"/>
    <w:rsid w:val="003F25EB"/>
    <w:rsid w:val="003F3D6D"/>
    <w:rsid w:val="003F4BF2"/>
    <w:rsid w:val="003F75D8"/>
    <w:rsid w:val="003F76E0"/>
    <w:rsid w:val="00401CE9"/>
    <w:rsid w:val="00402639"/>
    <w:rsid w:val="00405C3F"/>
    <w:rsid w:val="00407D6B"/>
    <w:rsid w:val="00411385"/>
    <w:rsid w:val="0041527C"/>
    <w:rsid w:val="0042281F"/>
    <w:rsid w:val="00423402"/>
    <w:rsid w:val="00423F18"/>
    <w:rsid w:val="004247A5"/>
    <w:rsid w:val="00430417"/>
    <w:rsid w:val="00430489"/>
    <w:rsid w:val="0043285D"/>
    <w:rsid w:val="00432E43"/>
    <w:rsid w:val="00433C39"/>
    <w:rsid w:val="004354AA"/>
    <w:rsid w:val="00436CEC"/>
    <w:rsid w:val="00437B75"/>
    <w:rsid w:val="00441CF4"/>
    <w:rsid w:val="0044384C"/>
    <w:rsid w:val="00452C89"/>
    <w:rsid w:val="0045637E"/>
    <w:rsid w:val="00456AF1"/>
    <w:rsid w:val="0045744E"/>
    <w:rsid w:val="004662F3"/>
    <w:rsid w:val="00466D34"/>
    <w:rsid w:val="00467D24"/>
    <w:rsid w:val="00472D02"/>
    <w:rsid w:val="00473A46"/>
    <w:rsid w:val="00474A08"/>
    <w:rsid w:val="00476DFF"/>
    <w:rsid w:val="0048404F"/>
    <w:rsid w:val="0048446D"/>
    <w:rsid w:val="00484AD8"/>
    <w:rsid w:val="004855B8"/>
    <w:rsid w:val="00485ABC"/>
    <w:rsid w:val="004864C2"/>
    <w:rsid w:val="004875C8"/>
    <w:rsid w:val="00490914"/>
    <w:rsid w:val="004912BF"/>
    <w:rsid w:val="00496216"/>
    <w:rsid w:val="004A1421"/>
    <w:rsid w:val="004A1832"/>
    <w:rsid w:val="004A1C52"/>
    <w:rsid w:val="004A1C96"/>
    <w:rsid w:val="004A632B"/>
    <w:rsid w:val="004A7E89"/>
    <w:rsid w:val="004B061E"/>
    <w:rsid w:val="004B15B0"/>
    <w:rsid w:val="004B4263"/>
    <w:rsid w:val="004B5D08"/>
    <w:rsid w:val="004B7671"/>
    <w:rsid w:val="004C023E"/>
    <w:rsid w:val="004C5182"/>
    <w:rsid w:val="004C6B19"/>
    <w:rsid w:val="004D03D2"/>
    <w:rsid w:val="004D3071"/>
    <w:rsid w:val="004D3744"/>
    <w:rsid w:val="004D4BC8"/>
    <w:rsid w:val="004E02F8"/>
    <w:rsid w:val="004E04A2"/>
    <w:rsid w:val="004E4150"/>
    <w:rsid w:val="004E588D"/>
    <w:rsid w:val="004F0C1C"/>
    <w:rsid w:val="004F196E"/>
    <w:rsid w:val="004F28A7"/>
    <w:rsid w:val="004F35A8"/>
    <w:rsid w:val="004F6719"/>
    <w:rsid w:val="004F7274"/>
    <w:rsid w:val="005003CA"/>
    <w:rsid w:val="00500F30"/>
    <w:rsid w:val="00506BAE"/>
    <w:rsid w:val="005077D6"/>
    <w:rsid w:val="00510766"/>
    <w:rsid w:val="00510F0F"/>
    <w:rsid w:val="0051295B"/>
    <w:rsid w:val="005138B3"/>
    <w:rsid w:val="00513BFB"/>
    <w:rsid w:val="00515653"/>
    <w:rsid w:val="00523255"/>
    <w:rsid w:val="005249E9"/>
    <w:rsid w:val="00534FDB"/>
    <w:rsid w:val="005375C1"/>
    <w:rsid w:val="00537AC9"/>
    <w:rsid w:val="00540F7C"/>
    <w:rsid w:val="0054162A"/>
    <w:rsid w:val="00541C4C"/>
    <w:rsid w:val="00541D1F"/>
    <w:rsid w:val="00542084"/>
    <w:rsid w:val="005430EF"/>
    <w:rsid w:val="00544CA3"/>
    <w:rsid w:val="00544DC0"/>
    <w:rsid w:val="00545D41"/>
    <w:rsid w:val="0054626C"/>
    <w:rsid w:val="0054671B"/>
    <w:rsid w:val="00547718"/>
    <w:rsid w:val="005502E1"/>
    <w:rsid w:val="005502FA"/>
    <w:rsid w:val="0055045C"/>
    <w:rsid w:val="00550806"/>
    <w:rsid w:val="005508FF"/>
    <w:rsid w:val="0055093B"/>
    <w:rsid w:val="00554BB3"/>
    <w:rsid w:val="005558E2"/>
    <w:rsid w:val="00556847"/>
    <w:rsid w:val="005571B9"/>
    <w:rsid w:val="00562562"/>
    <w:rsid w:val="00565E41"/>
    <w:rsid w:val="00565EA6"/>
    <w:rsid w:val="00566306"/>
    <w:rsid w:val="00572700"/>
    <w:rsid w:val="00577CDD"/>
    <w:rsid w:val="00583CCF"/>
    <w:rsid w:val="00584282"/>
    <w:rsid w:val="00585319"/>
    <w:rsid w:val="00585E8E"/>
    <w:rsid w:val="005917A8"/>
    <w:rsid w:val="0059183F"/>
    <w:rsid w:val="00595875"/>
    <w:rsid w:val="005A0CF9"/>
    <w:rsid w:val="005A30B5"/>
    <w:rsid w:val="005A45DE"/>
    <w:rsid w:val="005A5B18"/>
    <w:rsid w:val="005A5B50"/>
    <w:rsid w:val="005A683D"/>
    <w:rsid w:val="005A73C1"/>
    <w:rsid w:val="005A7CC4"/>
    <w:rsid w:val="005B331C"/>
    <w:rsid w:val="005B4728"/>
    <w:rsid w:val="005B4886"/>
    <w:rsid w:val="005B702D"/>
    <w:rsid w:val="005B7D6A"/>
    <w:rsid w:val="005C15A4"/>
    <w:rsid w:val="005C1B57"/>
    <w:rsid w:val="005C2C83"/>
    <w:rsid w:val="005D15B8"/>
    <w:rsid w:val="005D50A9"/>
    <w:rsid w:val="005D543E"/>
    <w:rsid w:val="005D5528"/>
    <w:rsid w:val="005D601A"/>
    <w:rsid w:val="005E0D8B"/>
    <w:rsid w:val="005E1793"/>
    <w:rsid w:val="005E4F0F"/>
    <w:rsid w:val="005E7C9C"/>
    <w:rsid w:val="005F1126"/>
    <w:rsid w:val="005F16E3"/>
    <w:rsid w:val="005F2BD5"/>
    <w:rsid w:val="005F5EAB"/>
    <w:rsid w:val="005F5F20"/>
    <w:rsid w:val="005F6CED"/>
    <w:rsid w:val="00602993"/>
    <w:rsid w:val="00603AE7"/>
    <w:rsid w:val="00603E23"/>
    <w:rsid w:val="006041C5"/>
    <w:rsid w:val="00604C26"/>
    <w:rsid w:val="00612167"/>
    <w:rsid w:val="006126ED"/>
    <w:rsid w:val="00613A4D"/>
    <w:rsid w:val="00616D2B"/>
    <w:rsid w:val="00620443"/>
    <w:rsid w:val="006204B1"/>
    <w:rsid w:val="00623B2E"/>
    <w:rsid w:val="00623BA3"/>
    <w:rsid w:val="00624ABB"/>
    <w:rsid w:val="0062545F"/>
    <w:rsid w:val="0062643F"/>
    <w:rsid w:val="00631081"/>
    <w:rsid w:val="00634C1E"/>
    <w:rsid w:val="0063698E"/>
    <w:rsid w:val="006447FC"/>
    <w:rsid w:val="00646130"/>
    <w:rsid w:val="00647571"/>
    <w:rsid w:val="006532EA"/>
    <w:rsid w:val="0065357D"/>
    <w:rsid w:val="0065544C"/>
    <w:rsid w:val="006578F0"/>
    <w:rsid w:val="00665155"/>
    <w:rsid w:val="00671ECE"/>
    <w:rsid w:val="0067394B"/>
    <w:rsid w:val="0067481A"/>
    <w:rsid w:val="00675B4D"/>
    <w:rsid w:val="00677AB7"/>
    <w:rsid w:val="0068076F"/>
    <w:rsid w:val="00680B49"/>
    <w:rsid w:val="00682E74"/>
    <w:rsid w:val="00683267"/>
    <w:rsid w:val="006837C6"/>
    <w:rsid w:val="00685C67"/>
    <w:rsid w:val="00687FC1"/>
    <w:rsid w:val="006902AC"/>
    <w:rsid w:val="00692C29"/>
    <w:rsid w:val="006955DC"/>
    <w:rsid w:val="00695F8A"/>
    <w:rsid w:val="00697177"/>
    <w:rsid w:val="00697F60"/>
    <w:rsid w:val="006A01C0"/>
    <w:rsid w:val="006A5CEB"/>
    <w:rsid w:val="006B13F5"/>
    <w:rsid w:val="006B4BCE"/>
    <w:rsid w:val="006B66FC"/>
    <w:rsid w:val="006C3163"/>
    <w:rsid w:val="006C6E63"/>
    <w:rsid w:val="006C7029"/>
    <w:rsid w:val="006C7C96"/>
    <w:rsid w:val="006D0379"/>
    <w:rsid w:val="006D2E40"/>
    <w:rsid w:val="006D3FD3"/>
    <w:rsid w:val="006D45BE"/>
    <w:rsid w:val="006E0920"/>
    <w:rsid w:val="006E1273"/>
    <w:rsid w:val="006E40C8"/>
    <w:rsid w:val="006E54AD"/>
    <w:rsid w:val="006E6807"/>
    <w:rsid w:val="006F27FD"/>
    <w:rsid w:val="006F40FC"/>
    <w:rsid w:val="006F43E1"/>
    <w:rsid w:val="006F5A2D"/>
    <w:rsid w:val="006F799D"/>
    <w:rsid w:val="00701174"/>
    <w:rsid w:val="007033C1"/>
    <w:rsid w:val="007041D9"/>
    <w:rsid w:val="00705306"/>
    <w:rsid w:val="00712425"/>
    <w:rsid w:val="00712E31"/>
    <w:rsid w:val="00713507"/>
    <w:rsid w:val="007153BB"/>
    <w:rsid w:val="00715444"/>
    <w:rsid w:val="007219A7"/>
    <w:rsid w:val="00722C62"/>
    <w:rsid w:val="0072360D"/>
    <w:rsid w:val="00723966"/>
    <w:rsid w:val="007240E8"/>
    <w:rsid w:val="007310FB"/>
    <w:rsid w:val="00736D4C"/>
    <w:rsid w:val="0073738F"/>
    <w:rsid w:val="00737656"/>
    <w:rsid w:val="00747215"/>
    <w:rsid w:val="00750E06"/>
    <w:rsid w:val="00750F06"/>
    <w:rsid w:val="007511D6"/>
    <w:rsid w:val="00752982"/>
    <w:rsid w:val="00753187"/>
    <w:rsid w:val="00754BCF"/>
    <w:rsid w:val="0076096E"/>
    <w:rsid w:val="0076167F"/>
    <w:rsid w:val="00772296"/>
    <w:rsid w:val="007725D4"/>
    <w:rsid w:val="007727FB"/>
    <w:rsid w:val="00773089"/>
    <w:rsid w:val="00773393"/>
    <w:rsid w:val="007746CA"/>
    <w:rsid w:val="007757E4"/>
    <w:rsid w:val="00780118"/>
    <w:rsid w:val="0079118A"/>
    <w:rsid w:val="007918BA"/>
    <w:rsid w:val="00794B81"/>
    <w:rsid w:val="0079627B"/>
    <w:rsid w:val="007A062F"/>
    <w:rsid w:val="007A06AD"/>
    <w:rsid w:val="007A16F0"/>
    <w:rsid w:val="007A44FD"/>
    <w:rsid w:val="007A5359"/>
    <w:rsid w:val="007A7152"/>
    <w:rsid w:val="007A7517"/>
    <w:rsid w:val="007A7654"/>
    <w:rsid w:val="007B10F4"/>
    <w:rsid w:val="007B1A4C"/>
    <w:rsid w:val="007B3F6E"/>
    <w:rsid w:val="007B50E1"/>
    <w:rsid w:val="007B5BB6"/>
    <w:rsid w:val="007B6B46"/>
    <w:rsid w:val="007B6F7C"/>
    <w:rsid w:val="007B721A"/>
    <w:rsid w:val="007B7596"/>
    <w:rsid w:val="007B7BD9"/>
    <w:rsid w:val="007C0B66"/>
    <w:rsid w:val="007C21F4"/>
    <w:rsid w:val="007C2800"/>
    <w:rsid w:val="007C3695"/>
    <w:rsid w:val="007C5298"/>
    <w:rsid w:val="007D0E56"/>
    <w:rsid w:val="007D11C5"/>
    <w:rsid w:val="007D221F"/>
    <w:rsid w:val="007D5923"/>
    <w:rsid w:val="007E0BE4"/>
    <w:rsid w:val="007E2BCB"/>
    <w:rsid w:val="007F124E"/>
    <w:rsid w:val="007F1580"/>
    <w:rsid w:val="007F2689"/>
    <w:rsid w:val="007F33AB"/>
    <w:rsid w:val="007F54AF"/>
    <w:rsid w:val="007F6BD0"/>
    <w:rsid w:val="00804341"/>
    <w:rsid w:val="00804381"/>
    <w:rsid w:val="00804FF6"/>
    <w:rsid w:val="008057A8"/>
    <w:rsid w:val="00806AF1"/>
    <w:rsid w:val="00814721"/>
    <w:rsid w:val="008148E0"/>
    <w:rsid w:val="00815855"/>
    <w:rsid w:val="00817B5D"/>
    <w:rsid w:val="008202CC"/>
    <w:rsid w:val="00820560"/>
    <w:rsid w:val="00822AF2"/>
    <w:rsid w:val="00822D46"/>
    <w:rsid w:val="00822D72"/>
    <w:rsid w:val="0082376D"/>
    <w:rsid w:val="00824931"/>
    <w:rsid w:val="008253CA"/>
    <w:rsid w:val="0082675B"/>
    <w:rsid w:val="008276FF"/>
    <w:rsid w:val="00832C95"/>
    <w:rsid w:val="00835619"/>
    <w:rsid w:val="008418DE"/>
    <w:rsid w:val="008448EC"/>
    <w:rsid w:val="00852797"/>
    <w:rsid w:val="008527FB"/>
    <w:rsid w:val="00852847"/>
    <w:rsid w:val="00853E14"/>
    <w:rsid w:val="008555ED"/>
    <w:rsid w:val="00856F8B"/>
    <w:rsid w:val="00857E35"/>
    <w:rsid w:val="00860C06"/>
    <w:rsid w:val="0086129E"/>
    <w:rsid w:val="008633E7"/>
    <w:rsid w:val="00863D12"/>
    <w:rsid w:val="008658CA"/>
    <w:rsid w:val="00866D90"/>
    <w:rsid w:val="008671CE"/>
    <w:rsid w:val="00872747"/>
    <w:rsid w:val="00875E0D"/>
    <w:rsid w:val="0088041B"/>
    <w:rsid w:val="0088046D"/>
    <w:rsid w:val="00880E97"/>
    <w:rsid w:val="00883C1E"/>
    <w:rsid w:val="00884F96"/>
    <w:rsid w:val="00887785"/>
    <w:rsid w:val="00890B85"/>
    <w:rsid w:val="00890DA6"/>
    <w:rsid w:val="00891B47"/>
    <w:rsid w:val="008924AD"/>
    <w:rsid w:val="0089284D"/>
    <w:rsid w:val="00893A6C"/>
    <w:rsid w:val="008A021A"/>
    <w:rsid w:val="008A2448"/>
    <w:rsid w:val="008A3142"/>
    <w:rsid w:val="008A32B4"/>
    <w:rsid w:val="008A5F5A"/>
    <w:rsid w:val="008B1739"/>
    <w:rsid w:val="008B4604"/>
    <w:rsid w:val="008B51EA"/>
    <w:rsid w:val="008C16D7"/>
    <w:rsid w:val="008C1E95"/>
    <w:rsid w:val="008C532C"/>
    <w:rsid w:val="008D2699"/>
    <w:rsid w:val="008D300F"/>
    <w:rsid w:val="008D4DBC"/>
    <w:rsid w:val="008D574A"/>
    <w:rsid w:val="008D5906"/>
    <w:rsid w:val="008D7CCE"/>
    <w:rsid w:val="008E13D2"/>
    <w:rsid w:val="008E2D9C"/>
    <w:rsid w:val="008E3D59"/>
    <w:rsid w:val="008E429D"/>
    <w:rsid w:val="008E49EE"/>
    <w:rsid w:val="008E4CFB"/>
    <w:rsid w:val="008E5540"/>
    <w:rsid w:val="008F1502"/>
    <w:rsid w:val="008F2772"/>
    <w:rsid w:val="008F2AB8"/>
    <w:rsid w:val="00901DD3"/>
    <w:rsid w:val="009021D5"/>
    <w:rsid w:val="00903B31"/>
    <w:rsid w:val="0090401A"/>
    <w:rsid w:val="0090612F"/>
    <w:rsid w:val="00911947"/>
    <w:rsid w:val="00913115"/>
    <w:rsid w:val="00913CCD"/>
    <w:rsid w:val="00915D58"/>
    <w:rsid w:val="009256C3"/>
    <w:rsid w:val="00927ACD"/>
    <w:rsid w:val="00930708"/>
    <w:rsid w:val="00930834"/>
    <w:rsid w:val="0093447E"/>
    <w:rsid w:val="00935DF5"/>
    <w:rsid w:val="00936543"/>
    <w:rsid w:val="0094347C"/>
    <w:rsid w:val="009439FB"/>
    <w:rsid w:val="00944249"/>
    <w:rsid w:val="00946903"/>
    <w:rsid w:val="00946A59"/>
    <w:rsid w:val="00946FA9"/>
    <w:rsid w:val="00950BB5"/>
    <w:rsid w:val="00950C29"/>
    <w:rsid w:val="00950EE8"/>
    <w:rsid w:val="00952AB9"/>
    <w:rsid w:val="00953004"/>
    <w:rsid w:val="009543C7"/>
    <w:rsid w:val="0095786B"/>
    <w:rsid w:val="0095794C"/>
    <w:rsid w:val="00965FC2"/>
    <w:rsid w:val="00966C2D"/>
    <w:rsid w:val="00972493"/>
    <w:rsid w:val="009734D1"/>
    <w:rsid w:val="00973A01"/>
    <w:rsid w:val="00973D79"/>
    <w:rsid w:val="009817AE"/>
    <w:rsid w:val="00981914"/>
    <w:rsid w:val="009822E5"/>
    <w:rsid w:val="00983192"/>
    <w:rsid w:val="00983B4A"/>
    <w:rsid w:val="00984542"/>
    <w:rsid w:val="00986495"/>
    <w:rsid w:val="0098693C"/>
    <w:rsid w:val="00990CC6"/>
    <w:rsid w:val="00990DFD"/>
    <w:rsid w:val="0099243C"/>
    <w:rsid w:val="00993CDA"/>
    <w:rsid w:val="00994CAF"/>
    <w:rsid w:val="00996940"/>
    <w:rsid w:val="009A0D52"/>
    <w:rsid w:val="009A24CC"/>
    <w:rsid w:val="009A2CCC"/>
    <w:rsid w:val="009B1740"/>
    <w:rsid w:val="009B1E82"/>
    <w:rsid w:val="009B4057"/>
    <w:rsid w:val="009B4AE8"/>
    <w:rsid w:val="009B6B38"/>
    <w:rsid w:val="009B6EB7"/>
    <w:rsid w:val="009C0993"/>
    <w:rsid w:val="009C17D3"/>
    <w:rsid w:val="009C5ED3"/>
    <w:rsid w:val="009D0289"/>
    <w:rsid w:val="009D04BC"/>
    <w:rsid w:val="009D2B61"/>
    <w:rsid w:val="009D5580"/>
    <w:rsid w:val="009D5CB8"/>
    <w:rsid w:val="009E3BDB"/>
    <w:rsid w:val="009F00FD"/>
    <w:rsid w:val="009F1695"/>
    <w:rsid w:val="009F4834"/>
    <w:rsid w:val="009F4F9D"/>
    <w:rsid w:val="00A027A9"/>
    <w:rsid w:val="00A05636"/>
    <w:rsid w:val="00A0657F"/>
    <w:rsid w:val="00A06C7B"/>
    <w:rsid w:val="00A06E64"/>
    <w:rsid w:val="00A13383"/>
    <w:rsid w:val="00A1757E"/>
    <w:rsid w:val="00A20F7C"/>
    <w:rsid w:val="00A2124C"/>
    <w:rsid w:val="00A22F8D"/>
    <w:rsid w:val="00A23150"/>
    <w:rsid w:val="00A23EFE"/>
    <w:rsid w:val="00A25120"/>
    <w:rsid w:val="00A26138"/>
    <w:rsid w:val="00A26CA1"/>
    <w:rsid w:val="00A334F4"/>
    <w:rsid w:val="00A34D56"/>
    <w:rsid w:val="00A35A17"/>
    <w:rsid w:val="00A35AB4"/>
    <w:rsid w:val="00A35BEE"/>
    <w:rsid w:val="00A40710"/>
    <w:rsid w:val="00A40DAC"/>
    <w:rsid w:val="00A431A5"/>
    <w:rsid w:val="00A43BB2"/>
    <w:rsid w:val="00A61C34"/>
    <w:rsid w:val="00A62AD1"/>
    <w:rsid w:val="00A65F2E"/>
    <w:rsid w:val="00A66269"/>
    <w:rsid w:val="00A710E0"/>
    <w:rsid w:val="00A725C7"/>
    <w:rsid w:val="00A74A6E"/>
    <w:rsid w:val="00A76B98"/>
    <w:rsid w:val="00A81064"/>
    <w:rsid w:val="00A85B25"/>
    <w:rsid w:val="00A87487"/>
    <w:rsid w:val="00A91575"/>
    <w:rsid w:val="00A91D86"/>
    <w:rsid w:val="00A920CC"/>
    <w:rsid w:val="00A94B71"/>
    <w:rsid w:val="00A94BF0"/>
    <w:rsid w:val="00A95E59"/>
    <w:rsid w:val="00A97913"/>
    <w:rsid w:val="00A97CEA"/>
    <w:rsid w:val="00AA0995"/>
    <w:rsid w:val="00AA106F"/>
    <w:rsid w:val="00AA181C"/>
    <w:rsid w:val="00AA3465"/>
    <w:rsid w:val="00AB0764"/>
    <w:rsid w:val="00AC1039"/>
    <w:rsid w:val="00AC35FF"/>
    <w:rsid w:val="00AC5CBC"/>
    <w:rsid w:val="00AC733A"/>
    <w:rsid w:val="00AE1A37"/>
    <w:rsid w:val="00AE2759"/>
    <w:rsid w:val="00AE3FB1"/>
    <w:rsid w:val="00AE5FE5"/>
    <w:rsid w:val="00AE63AA"/>
    <w:rsid w:val="00AF29BD"/>
    <w:rsid w:val="00AF53C0"/>
    <w:rsid w:val="00AF5CAF"/>
    <w:rsid w:val="00AF7FA8"/>
    <w:rsid w:val="00B00DE8"/>
    <w:rsid w:val="00B02592"/>
    <w:rsid w:val="00B0343E"/>
    <w:rsid w:val="00B03873"/>
    <w:rsid w:val="00B04C72"/>
    <w:rsid w:val="00B10044"/>
    <w:rsid w:val="00B108DC"/>
    <w:rsid w:val="00B11A7E"/>
    <w:rsid w:val="00B1217A"/>
    <w:rsid w:val="00B12D4C"/>
    <w:rsid w:val="00B17E92"/>
    <w:rsid w:val="00B20C97"/>
    <w:rsid w:val="00B241D4"/>
    <w:rsid w:val="00B273BF"/>
    <w:rsid w:val="00B306EF"/>
    <w:rsid w:val="00B32D87"/>
    <w:rsid w:val="00B355F3"/>
    <w:rsid w:val="00B35C19"/>
    <w:rsid w:val="00B35EAE"/>
    <w:rsid w:val="00B36E47"/>
    <w:rsid w:val="00B36EF9"/>
    <w:rsid w:val="00B41471"/>
    <w:rsid w:val="00B44502"/>
    <w:rsid w:val="00B4457D"/>
    <w:rsid w:val="00B46616"/>
    <w:rsid w:val="00B51285"/>
    <w:rsid w:val="00B56042"/>
    <w:rsid w:val="00B56565"/>
    <w:rsid w:val="00B63590"/>
    <w:rsid w:val="00B6420A"/>
    <w:rsid w:val="00B659C3"/>
    <w:rsid w:val="00B675A6"/>
    <w:rsid w:val="00B71503"/>
    <w:rsid w:val="00B730EA"/>
    <w:rsid w:val="00B732FF"/>
    <w:rsid w:val="00B73435"/>
    <w:rsid w:val="00B74AE2"/>
    <w:rsid w:val="00B75705"/>
    <w:rsid w:val="00B7673A"/>
    <w:rsid w:val="00B77F3C"/>
    <w:rsid w:val="00B77F48"/>
    <w:rsid w:val="00B80E7C"/>
    <w:rsid w:val="00B81EB5"/>
    <w:rsid w:val="00B83082"/>
    <w:rsid w:val="00B8449A"/>
    <w:rsid w:val="00B9510B"/>
    <w:rsid w:val="00B96B20"/>
    <w:rsid w:val="00B97736"/>
    <w:rsid w:val="00BA1C18"/>
    <w:rsid w:val="00BA1D13"/>
    <w:rsid w:val="00BA38CF"/>
    <w:rsid w:val="00BA3E5B"/>
    <w:rsid w:val="00BA4496"/>
    <w:rsid w:val="00BA4521"/>
    <w:rsid w:val="00BA45A4"/>
    <w:rsid w:val="00BA72DC"/>
    <w:rsid w:val="00BB3A7A"/>
    <w:rsid w:val="00BB6C98"/>
    <w:rsid w:val="00BC6D69"/>
    <w:rsid w:val="00BC6F63"/>
    <w:rsid w:val="00BC75AC"/>
    <w:rsid w:val="00BD09A5"/>
    <w:rsid w:val="00BD2E8E"/>
    <w:rsid w:val="00BD440F"/>
    <w:rsid w:val="00BD5578"/>
    <w:rsid w:val="00BD652C"/>
    <w:rsid w:val="00BE05BC"/>
    <w:rsid w:val="00BE08F3"/>
    <w:rsid w:val="00BE0CB3"/>
    <w:rsid w:val="00BE1858"/>
    <w:rsid w:val="00BE6F1C"/>
    <w:rsid w:val="00BF3DD4"/>
    <w:rsid w:val="00BF410E"/>
    <w:rsid w:val="00BF53A6"/>
    <w:rsid w:val="00BF5F09"/>
    <w:rsid w:val="00C0005B"/>
    <w:rsid w:val="00C0516F"/>
    <w:rsid w:val="00C1198B"/>
    <w:rsid w:val="00C1297C"/>
    <w:rsid w:val="00C1317B"/>
    <w:rsid w:val="00C13369"/>
    <w:rsid w:val="00C13838"/>
    <w:rsid w:val="00C14999"/>
    <w:rsid w:val="00C205C7"/>
    <w:rsid w:val="00C20CA0"/>
    <w:rsid w:val="00C2196D"/>
    <w:rsid w:val="00C25E12"/>
    <w:rsid w:val="00C26ED6"/>
    <w:rsid w:val="00C27C5F"/>
    <w:rsid w:val="00C27C6D"/>
    <w:rsid w:val="00C3194C"/>
    <w:rsid w:val="00C34FC2"/>
    <w:rsid w:val="00C36456"/>
    <w:rsid w:val="00C45F4F"/>
    <w:rsid w:val="00C469C0"/>
    <w:rsid w:val="00C52A10"/>
    <w:rsid w:val="00C52C13"/>
    <w:rsid w:val="00C53138"/>
    <w:rsid w:val="00C602F1"/>
    <w:rsid w:val="00C61285"/>
    <w:rsid w:val="00C614E6"/>
    <w:rsid w:val="00C61BB1"/>
    <w:rsid w:val="00C7436D"/>
    <w:rsid w:val="00C76CAC"/>
    <w:rsid w:val="00C77213"/>
    <w:rsid w:val="00C77495"/>
    <w:rsid w:val="00C777F7"/>
    <w:rsid w:val="00C815A1"/>
    <w:rsid w:val="00C83CEA"/>
    <w:rsid w:val="00C844FC"/>
    <w:rsid w:val="00C854B2"/>
    <w:rsid w:val="00C86ED5"/>
    <w:rsid w:val="00C919B9"/>
    <w:rsid w:val="00C92223"/>
    <w:rsid w:val="00C938D1"/>
    <w:rsid w:val="00C93A5A"/>
    <w:rsid w:val="00C965F8"/>
    <w:rsid w:val="00CA00C6"/>
    <w:rsid w:val="00CA2198"/>
    <w:rsid w:val="00CA5837"/>
    <w:rsid w:val="00CA602A"/>
    <w:rsid w:val="00CA64D4"/>
    <w:rsid w:val="00CA6FE5"/>
    <w:rsid w:val="00CA7314"/>
    <w:rsid w:val="00CA7F8A"/>
    <w:rsid w:val="00CB0650"/>
    <w:rsid w:val="00CB3AF2"/>
    <w:rsid w:val="00CB4AF8"/>
    <w:rsid w:val="00CB4D76"/>
    <w:rsid w:val="00CB55B2"/>
    <w:rsid w:val="00CC1FE3"/>
    <w:rsid w:val="00CC206F"/>
    <w:rsid w:val="00CC298F"/>
    <w:rsid w:val="00CC6EF6"/>
    <w:rsid w:val="00CD4B80"/>
    <w:rsid w:val="00CD5318"/>
    <w:rsid w:val="00CE1014"/>
    <w:rsid w:val="00CE3EB3"/>
    <w:rsid w:val="00CE5875"/>
    <w:rsid w:val="00CE6059"/>
    <w:rsid w:val="00CE6A95"/>
    <w:rsid w:val="00CF1A5B"/>
    <w:rsid w:val="00CF2C46"/>
    <w:rsid w:val="00CF3F91"/>
    <w:rsid w:val="00CF7BB7"/>
    <w:rsid w:val="00D01400"/>
    <w:rsid w:val="00D015F5"/>
    <w:rsid w:val="00D024DD"/>
    <w:rsid w:val="00D03037"/>
    <w:rsid w:val="00D03933"/>
    <w:rsid w:val="00D04631"/>
    <w:rsid w:val="00D04949"/>
    <w:rsid w:val="00D068C4"/>
    <w:rsid w:val="00D06AF2"/>
    <w:rsid w:val="00D11398"/>
    <w:rsid w:val="00D154B5"/>
    <w:rsid w:val="00D1729E"/>
    <w:rsid w:val="00D2065F"/>
    <w:rsid w:val="00D2211F"/>
    <w:rsid w:val="00D23D25"/>
    <w:rsid w:val="00D26D56"/>
    <w:rsid w:val="00D30C7F"/>
    <w:rsid w:val="00D315E4"/>
    <w:rsid w:val="00D31841"/>
    <w:rsid w:val="00D3281E"/>
    <w:rsid w:val="00D33E9F"/>
    <w:rsid w:val="00D41C9E"/>
    <w:rsid w:val="00D41CF9"/>
    <w:rsid w:val="00D41E13"/>
    <w:rsid w:val="00D42133"/>
    <w:rsid w:val="00D43422"/>
    <w:rsid w:val="00D43D6B"/>
    <w:rsid w:val="00D44F75"/>
    <w:rsid w:val="00D45327"/>
    <w:rsid w:val="00D45CF6"/>
    <w:rsid w:val="00D47079"/>
    <w:rsid w:val="00D4741C"/>
    <w:rsid w:val="00D52BD7"/>
    <w:rsid w:val="00D5360C"/>
    <w:rsid w:val="00D5379D"/>
    <w:rsid w:val="00D53A4D"/>
    <w:rsid w:val="00D54D8E"/>
    <w:rsid w:val="00D55E8D"/>
    <w:rsid w:val="00D61367"/>
    <w:rsid w:val="00D6280E"/>
    <w:rsid w:val="00D63C36"/>
    <w:rsid w:val="00D65872"/>
    <w:rsid w:val="00D66452"/>
    <w:rsid w:val="00D665D9"/>
    <w:rsid w:val="00D66FEF"/>
    <w:rsid w:val="00D700F0"/>
    <w:rsid w:val="00D742AF"/>
    <w:rsid w:val="00D757CD"/>
    <w:rsid w:val="00D76CCB"/>
    <w:rsid w:val="00D76EC0"/>
    <w:rsid w:val="00D77344"/>
    <w:rsid w:val="00D77A83"/>
    <w:rsid w:val="00D84A10"/>
    <w:rsid w:val="00D90970"/>
    <w:rsid w:val="00D929E5"/>
    <w:rsid w:val="00D942E4"/>
    <w:rsid w:val="00DA30C8"/>
    <w:rsid w:val="00DA5A4B"/>
    <w:rsid w:val="00DA71CB"/>
    <w:rsid w:val="00DB06CF"/>
    <w:rsid w:val="00DB0FB7"/>
    <w:rsid w:val="00DB3AB5"/>
    <w:rsid w:val="00DB428E"/>
    <w:rsid w:val="00DB5FA1"/>
    <w:rsid w:val="00DB60E4"/>
    <w:rsid w:val="00DB6ECC"/>
    <w:rsid w:val="00DC02C4"/>
    <w:rsid w:val="00DC08C2"/>
    <w:rsid w:val="00DC6EBB"/>
    <w:rsid w:val="00DC70B3"/>
    <w:rsid w:val="00DC75A0"/>
    <w:rsid w:val="00DD020C"/>
    <w:rsid w:val="00DD0C3D"/>
    <w:rsid w:val="00DD1C08"/>
    <w:rsid w:val="00DD2267"/>
    <w:rsid w:val="00DD4788"/>
    <w:rsid w:val="00DD6CC9"/>
    <w:rsid w:val="00DE1351"/>
    <w:rsid w:val="00DE7547"/>
    <w:rsid w:val="00DE7A26"/>
    <w:rsid w:val="00DE7F91"/>
    <w:rsid w:val="00DF05B2"/>
    <w:rsid w:val="00DF22CB"/>
    <w:rsid w:val="00DF2F5E"/>
    <w:rsid w:val="00DF5CDE"/>
    <w:rsid w:val="00DF7EA2"/>
    <w:rsid w:val="00E00220"/>
    <w:rsid w:val="00E03785"/>
    <w:rsid w:val="00E03BBD"/>
    <w:rsid w:val="00E11F36"/>
    <w:rsid w:val="00E12278"/>
    <w:rsid w:val="00E131BC"/>
    <w:rsid w:val="00E13D8B"/>
    <w:rsid w:val="00E13F5E"/>
    <w:rsid w:val="00E2020D"/>
    <w:rsid w:val="00E20289"/>
    <w:rsid w:val="00E205EE"/>
    <w:rsid w:val="00E2677A"/>
    <w:rsid w:val="00E32FCF"/>
    <w:rsid w:val="00E34478"/>
    <w:rsid w:val="00E43B1A"/>
    <w:rsid w:val="00E441AA"/>
    <w:rsid w:val="00E4462B"/>
    <w:rsid w:val="00E449FB"/>
    <w:rsid w:val="00E46A3C"/>
    <w:rsid w:val="00E4718D"/>
    <w:rsid w:val="00E473B7"/>
    <w:rsid w:val="00E47ED1"/>
    <w:rsid w:val="00E501E2"/>
    <w:rsid w:val="00E50D82"/>
    <w:rsid w:val="00E520FE"/>
    <w:rsid w:val="00E534A9"/>
    <w:rsid w:val="00E57355"/>
    <w:rsid w:val="00E57B22"/>
    <w:rsid w:val="00E61649"/>
    <w:rsid w:val="00E617C1"/>
    <w:rsid w:val="00E61AA9"/>
    <w:rsid w:val="00E61CC6"/>
    <w:rsid w:val="00E63828"/>
    <w:rsid w:val="00E67CA3"/>
    <w:rsid w:val="00E67E6B"/>
    <w:rsid w:val="00E67E83"/>
    <w:rsid w:val="00E71852"/>
    <w:rsid w:val="00E72869"/>
    <w:rsid w:val="00E739CE"/>
    <w:rsid w:val="00E7437D"/>
    <w:rsid w:val="00E77369"/>
    <w:rsid w:val="00E8034E"/>
    <w:rsid w:val="00E82129"/>
    <w:rsid w:val="00E82A9B"/>
    <w:rsid w:val="00E835CE"/>
    <w:rsid w:val="00E83C90"/>
    <w:rsid w:val="00E85C13"/>
    <w:rsid w:val="00E8636A"/>
    <w:rsid w:val="00E916C0"/>
    <w:rsid w:val="00E93278"/>
    <w:rsid w:val="00EA21E7"/>
    <w:rsid w:val="00EA32A1"/>
    <w:rsid w:val="00EA3CEA"/>
    <w:rsid w:val="00EA3FE6"/>
    <w:rsid w:val="00EA5D02"/>
    <w:rsid w:val="00EB1250"/>
    <w:rsid w:val="00EB37FE"/>
    <w:rsid w:val="00EB4EBB"/>
    <w:rsid w:val="00EB66ED"/>
    <w:rsid w:val="00EC02B1"/>
    <w:rsid w:val="00EC0DAF"/>
    <w:rsid w:val="00EC31A0"/>
    <w:rsid w:val="00EC4D51"/>
    <w:rsid w:val="00EC4E28"/>
    <w:rsid w:val="00EC51EA"/>
    <w:rsid w:val="00EC794E"/>
    <w:rsid w:val="00ED17DE"/>
    <w:rsid w:val="00ED2D94"/>
    <w:rsid w:val="00ED6058"/>
    <w:rsid w:val="00EF1376"/>
    <w:rsid w:val="00EF3CA3"/>
    <w:rsid w:val="00EF6898"/>
    <w:rsid w:val="00EF6C25"/>
    <w:rsid w:val="00EF7549"/>
    <w:rsid w:val="00F00006"/>
    <w:rsid w:val="00F0087D"/>
    <w:rsid w:val="00F02D1D"/>
    <w:rsid w:val="00F04D94"/>
    <w:rsid w:val="00F04E3D"/>
    <w:rsid w:val="00F106E1"/>
    <w:rsid w:val="00F12EF6"/>
    <w:rsid w:val="00F13C34"/>
    <w:rsid w:val="00F16D5B"/>
    <w:rsid w:val="00F17B99"/>
    <w:rsid w:val="00F2131A"/>
    <w:rsid w:val="00F228A9"/>
    <w:rsid w:val="00F23054"/>
    <w:rsid w:val="00F23982"/>
    <w:rsid w:val="00F246F4"/>
    <w:rsid w:val="00F256EE"/>
    <w:rsid w:val="00F30CC5"/>
    <w:rsid w:val="00F31869"/>
    <w:rsid w:val="00F33DC8"/>
    <w:rsid w:val="00F349ED"/>
    <w:rsid w:val="00F35FEC"/>
    <w:rsid w:val="00F36C63"/>
    <w:rsid w:val="00F4045C"/>
    <w:rsid w:val="00F40DFD"/>
    <w:rsid w:val="00F43DB6"/>
    <w:rsid w:val="00F50BFD"/>
    <w:rsid w:val="00F52EC3"/>
    <w:rsid w:val="00F571C3"/>
    <w:rsid w:val="00F57C6C"/>
    <w:rsid w:val="00F63B8E"/>
    <w:rsid w:val="00F65246"/>
    <w:rsid w:val="00F65BD8"/>
    <w:rsid w:val="00F66343"/>
    <w:rsid w:val="00F66A28"/>
    <w:rsid w:val="00F66E1D"/>
    <w:rsid w:val="00F7351D"/>
    <w:rsid w:val="00F740A2"/>
    <w:rsid w:val="00F7726B"/>
    <w:rsid w:val="00F77946"/>
    <w:rsid w:val="00F77B37"/>
    <w:rsid w:val="00F8363F"/>
    <w:rsid w:val="00F8778F"/>
    <w:rsid w:val="00F879C3"/>
    <w:rsid w:val="00F93BB9"/>
    <w:rsid w:val="00F9481E"/>
    <w:rsid w:val="00F9669F"/>
    <w:rsid w:val="00FA2851"/>
    <w:rsid w:val="00FA325C"/>
    <w:rsid w:val="00FA3759"/>
    <w:rsid w:val="00FA4F91"/>
    <w:rsid w:val="00FB03CD"/>
    <w:rsid w:val="00FB083E"/>
    <w:rsid w:val="00FB1D6B"/>
    <w:rsid w:val="00FB639D"/>
    <w:rsid w:val="00FC2047"/>
    <w:rsid w:val="00FC54AB"/>
    <w:rsid w:val="00FC69E8"/>
    <w:rsid w:val="00FD00DF"/>
    <w:rsid w:val="00FD14A7"/>
    <w:rsid w:val="00FD2D08"/>
    <w:rsid w:val="00FD2EE1"/>
    <w:rsid w:val="00FD3E31"/>
    <w:rsid w:val="00FE036B"/>
    <w:rsid w:val="00FE1650"/>
    <w:rsid w:val="00FE19F1"/>
    <w:rsid w:val="00FE304B"/>
    <w:rsid w:val="00FF280D"/>
    <w:rsid w:val="00FF5611"/>
    <w:rsid w:val="00FF5A2C"/>
    <w:rsid w:val="00FF6030"/>
    <w:rsid w:val="0141642E"/>
    <w:rsid w:val="01C02CC2"/>
    <w:rsid w:val="01FE3676"/>
    <w:rsid w:val="020205DC"/>
    <w:rsid w:val="03114646"/>
    <w:rsid w:val="051554AC"/>
    <w:rsid w:val="0551062E"/>
    <w:rsid w:val="05D936A6"/>
    <w:rsid w:val="0734282B"/>
    <w:rsid w:val="079B25E0"/>
    <w:rsid w:val="07A86C30"/>
    <w:rsid w:val="080F08D8"/>
    <w:rsid w:val="085D6979"/>
    <w:rsid w:val="08F33D56"/>
    <w:rsid w:val="09153522"/>
    <w:rsid w:val="0A0E45F5"/>
    <w:rsid w:val="0A106E52"/>
    <w:rsid w:val="0AE24BF1"/>
    <w:rsid w:val="0B851EF4"/>
    <w:rsid w:val="0B93537C"/>
    <w:rsid w:val="0C1E0498"/>
    <w:rsid w:val="0C727F9D"/>
    <w:rsid w:val="0CD24497"/>
    <w:rsid w:val="0D9815BF"/>
    <w:rsid w:val="0E912D22"/>
    <w:rsid w:val="0EBF5AF0"/>
    <w:rsid w:val="10756A36"/>
    <w:rsid w:val="115C46DD"/>
    <w:rsid w:val="119A769F"/>
    <w:rsid w:val="1205032D"/>
    <w:rsid w:val="12392DAC"/>
    <w:rsid w:val="13857BD6"/>
    <w:rsid w:val="14EB47A4"/>
    <w:rsid w:val="15260218"/>
    <w:rsid w:val="15A16253"/>
    <w:rsid w:val="16214689"/>
    <w:rsid w:val="16480C55"/>
    <w:rsid w:val="17CC4E92"/>
    <w:rsid w:val="17F40229"/>
    <w:rsid w:val="18101C1D"/>
    <w:rsid w:val="18623CA8"/>
    <w:rsid w:val="187D4009"/>
    <w:rsid w:val="18E75D75"/>
    <w:rsid w:val="19190B4B"/>
    <w:rsid w:val="194F5883"/>
    <w:rsid w:val="199C459D"/>
    <w:rsid w:val="1B175773"/>
    <w:rsid w:val="1B363E1A"/>
    <w:rsid w:val="1B6031DF"/>
    <w:rsid w:val="1BC82E20"/>
    <w:rsid w:val="1C1C4F1A"/>
    <w:rsid w:val="1C6F14EE"/>
    <w:rsid w:val="1D2D443F"/>
    <w:rsid w:val="1EDE6404"/>
    <w:rsid w:val="1EE82276"/>
    <w:rsid w:val="1EFD0E66"/>
    <w:rsid w:val="1F2279E6"/>
    <w:rsid w:val="20E25803"/>
    <w:rsid w:val="217B0A58"/>
    <w:rsid w:val="21A110B9"/>
    <w:rsid w:val="21F53235"/>
    <w:rsid w:val="22220317"/>
    <w:rsid w:val="23976A46"/>
    <w:rsid w:val="24763B8C"/>
    <w:rsid w:val="24E67FBB"/>
    <w:rsid w:val="25AD4AB2"/>
    <w:rsid w:val="267B493A"/>
    <w:rsid w:val="269C34E2"/>
    <w:rsid w:val="26FC6A02"/>
    <w:rsid w:val="27846795"/>
    <w:rsid w:val="278F3529"/>
    <w:rsid w:val="281E51E9"/>
    <w:rsid w:val="29693B2D"/>
    <w:rsid w:val="29D14692"/>
    <w:rsid w:val="29F524AD"/>
    <w:rsid w:val="2A08069A"/>
    <w:rsid w:val="2A16751A"/>
    <w:rsid w:val="2B686EEC"/>
    <w:rsid w:val="2B97729C"/>
    <w:rsid w:val="2BAF5610"/>
    <w:rsid w:val="2CD930DF"/>
    <w:rsid w:val="2CF55A3F"/>
    <w:rsid w:val="2D230411"/>
    <w:rsid w:val="2DC749D7"/>
    <w:rsid w:val="2E65068A"/>
    <w:rsid w:val="2F085A22"/>
    <w:rsid w:val="2F890167"/>
    <w:rsid w:val="30C04D42"/>
    <w:rsid w:val="30DC549C"/>
    <w:rsid w:val="32132984"/>
    <w:rsid w:val="32943EEC"/>
    <w:rsid w:val="337125B3"/>
    <w:rsid w:val="37985144"/>
    <w:rsid w:val="37DA39D0"/>
    <w:rsid w:val="38DD54AB"/>
    <w:rsid w:val="39D12210"/>
    <w:rsid w:val="3AA4113E"/>
    <w:rsid w:val="3AE419D5"/>
    <w:rsid w:val="3AFE15FF"/>
    <w:rsid w:val="3BAE100F"/>
    <w:rsid w:val="3C38496A"/>
    <w:rsid w:val="3C5067EE"/>
    <w:rsid w:val="3CA22388"/>
    <w:rsid w:val="3D762284"/>
    <w:rsid w:val="3D9B1A2A"/>
    <w:rsid w:val="3DE27767"/>
    <w:rsid w:val="3DFD29A6"/>
    <w:rsid w:val="3EC416FC"/>
    <w:rsid w:val="3F4D17B5"/>
    <w:rsid w:val="3F910EFA"/>
    <w:rsid w:val="400A34B2"/>
    <w:rsid w:val="401235FA"/>
    <w:rsid w:val="40AE26E3"/>
    <w:rsid w:val="40B15B13"/>
    <w:rsid w:val="40F63E08"/>
    <w:rsid w:val="413574C6"/>
    <w:rsid w:val="41523D12"/>
    <w:rsid w:val="42507E3F"/>
    <w:rsid w:val="42BA5938"/>
    <w:rsid w:val="42C975F1"/>
    <w:rsid w:val="440004EA"/>
    <w:rsid w:val="44B518E4"/>
    <w:rsid w:val="466B2D17"/>
    <w:rsid w:val="47B1458F"/>
    <w:rsid w:val="480942D2"/>
    <w:rsid w:val="48B23F6B"/>
    <w:rsid w:val="49192153"/>
    <w:rsid w:val="49C1540A"/>
    <w:rsid w:val="4A930F1A"/>
    <w:rsid w:val="4AC36325"/>
    <w:rsid w:val="4C501508"/>
    <w:rsid w:val="4D442934"/>
    <w:rsid w:val="4E5B1783"/>
    <w:rsid w:val="4F434F5F"/>
    <w:rsid w:val="4FD5531F"/>
    <w:rsid w:val="4FFE1698"/>
    <w:rsid w:val="50864200"/>
    <w:rsid w:val="50F93FD8"/>
    <w:rsid w:val="517900DB"/>
    <w:rsid w:val="51A54F82"/>
    <w:rsid w:val="5257645D"/>
    <w:rsid w:val="526959D1"/>
    <w:rsid w:val="528B739C"/>
    <w:rsid w:val="52ED3553"/>
    <w:rsid w:val="538347A6"/>
    <w:rsid w:val="54BE45EF"/>
    <w:rsid w:val="55031F07"/>
    <w:rsid w:val="550752E6"/>
    <w:rsid w:val="556266AB"/>
    <w:rsid w:val="55F13C88"/>
    <w:rsid w:val="55FB4E15"/>
    <w:rsid w:val="56C903A3"/>
    <w:rsid w:val="576A0631"/>
    <w:rsid w:val="57925AB5"/>
    <w:rsid w:val="588C3A09"/>
    <w:rsid w:val="5B1E3C34"/>
    <w:rsid w:val="5B9C45BA"/>
    <w:rsid w:val="5BCE6026"/>
    <w:rsid w:val="5C8E352B"/>
    <w:rsid w:val="5CDE332C"/>
    <w:rsid w:val="5D8A0DA2"/>
    <w:rsid w:val="5E653C56"/>
    <w:rsid w:val="5E8E6FD6"/>
    <w:rsid w:val="5EF02589"/>
    <w:rsid w:val="5FBC2969"/>
    <w:rsid w:val="5FFA5AED"/>
    <w:rsid w:val="602A48DE"/>
    <w:rsid w:val="606A75CF"/>
    <w:rsid w:val="60C34F31"/>
    <w:rsid w:val="619404FE"/>
    <w:rsid w:val="61BB7999"/>
    <w:rsid w:val="6254452C"/>
    <w:rsid w:val="628C2D43"/>
    <w:rsid w:val="63184A64"/>
    <w:rsid w:val="633D16A8"/>
    <w:rsid w:val="63576231"/>
    <w:rsid w:val="63CA169F"/>
    <w:rsid w:val="64BF5EC8"/>
    <w:rsid w:val="64E71945"/>
    <w:rsid w:val="65010734"/>
    <w:rsid w:val="65014C08"/>
    <w:rsid w:val="66420BEE"/>
    <w:rsid w:val="678710AA"/>
    <w:rsid w:val="692C087F"/>
    <w:rsid w:val="69DA12FC"/>
    <w:rsid w:val="6A5005E8"/>
    <w:rsid w:val="6A762962"/>
    <w:rsid w:val="6A925023"/>
    <w:rsid w:val="6B9E52F7"/>
    <w:rsid w:val="6C7050DE"/>
    <w:rsid w:val="6C9D7844"/>
    <w:rsid w:val="6E5C0E9F"/>
    <w:rsid w:val="6E801813"/>
    <w:rsid w:val="6F6535B7"/>
    <w:rsid w:val="6F951A08"/>
    <w:rsid w:val="6FA0741E"/>
    <w:rsid w:val="6FE76018"/>
    <w:rsid w:val="70D0172D"/>
    <w:rsid w:val="71CB4658"/>
    <w:rsid w:val="71F47640"/>
    <w:rsid w:val="734824D7"/>
    <w:rsid w:val="740E2800"/>
    <w:rsid w:val="745F6D5D"/>
    <w:rsid w:val="746B38CD"/>
    <w:rsid w:val="74895730"/>
    <w:rsid w:val="748F0850"/>
    <w:rsid w:val="75532B6A"/>
    <w:rsid w:val="757A6531"/>
    <w:rsid w:val="75837979"/>
    <w:rsid w:val="75DA22D9"/>
    <w:rsid w:val="76122855"/>
    <w:rsid w:val="768B55E9"/>
    <w:rsid w:val="76D65566"/>
    <w:rsid w:val="779825A6"/>
    <w:rsid w:val="77F135E7"/>
    <w:rsid w:val="7ADC4D89"/>
    <w:rsid w:val="7BE451FE"/>
    <w:rsid w:val="7C0C0E4A"/>
    <w:rsid w:val="7D5408FA"/>
    <w:rsid w:val="7DDE1FD4"/>
    <w:rsid w:val="7E270196"/>
    <w:rsid w:val="7EC616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jc w:val="both"/>
    </w:pPr>
    <w:rPr>
      <w:rFonts w:ascii="Times New Roman" w:hAnsi="Times New Roman" w:eastAsia="宋体" w:cs="Times New Roman"/>
      <w:kern w:val="2"/>
      <w:sz w:val="24"/>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qFormat/>
    <w:uiPriority w:val="0"/>
    <w:pPr>
      <w:spacing w:line="240" w:lineRule="auto"/>
    </w:pPr>
    <w:rPr>
      <w:sz w:val="20"/>
      <w:szCs w:val="20"/>
    </w:rPr>
  </w:style>
  <w:style w:type="paragraph" w:styleId="3">
    <w:name w:val="Balloon Text"/>
    <w:basedOn w:val="1"/>
    <w:link w:val="18"/>
    <w:qFormat/>
    <w:uiPriority w:val="0"/>
    <w:pPr>
      <w:spacing w:line="240" w:lineRule="auto"/>
    </w:pPr>
    <w:rPr>
      <w:rFonts w:ascii="Segoe UI" w:hAnsi="Segoe UI" w:cs="Segoe UI"/>
      <w:sz w:val="18"/>
      <w:szCs w:val="18"/>
    </w:rPr>
  </w:style>
  <w:style w:type="paragraph" w:styleId="4">
    <w:name w:val="footer"/>
    <w:basedOn w:val="1"/>
    <w:link w:val="20"/>
    <w:qFormat/>
    <w:uiPriority w:val="99"/>
    <w:pPr>
      <w:tabs>
        <w:tab w:val="center" w:pos="4513"/>
        <w:tab w:val="right" w:pos="9026"/>
      </w:tabs>
      <w:spacing w:line="240" w:lineRule="auto"/>
    </w:pPr>
  </w:style>
  <w:style w:type="paragraph" w:styleId="5">
    <w:name w:val="header"/>
    <w:basedOn w:val="1"/>
    <w:link w:val="19"/>
    <w:qFormat/>
    <w:uiPriority w:val="0"/>
    <w:pPr>
      <w:tabs>
        <w:tab w:val="center" w:pos="4513"/>
        <w:tab w:val="right" w:pos="9026"/>
      </w:tabs>
      <w:spacing w:line="240" w:lineRule="auto"/>
    </w:pPr>
  </w:style>
  <w:style w:type="paragraph" w:styleId="6">
    <w:name w:val="Normal (Web)"/>
    <w:basedOn w:val="1"/>
    <w:qFormat/>
    <w:uiPriority w:val="0"/>
  </w:style>
  <w:style w:type="paragraph" w:styleId="7">
    <w:name w:val="annotation subject"/>
    <w:basedOn w:val="2"/>
    <w:next w:val="2"/>
    <w:link w:val="17"/>
    <w:qFormat/>
    <w:uiPriority w:val="0"/>
    <w:rPr>
      <w:b/>
      <w:bCs/>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Hyperlink"/>
    <w:basedOn w:val="10"/>
    <w:unhideWhenUsed/>
    <w:qFormat/>
    <w:uiPriority w:val="99"/>
    <w:rPr>
      <w:color w:val="0026E5" w:themeColor="hyperlink"/>
      <w:u w:val="single"/>
      <w14:textFill>
        <w14:solidFill>
          <w14:schemeClr w14:val="hlink"/>
        </w14:solidFill>
      </w14:textFill>
    </w:rPr>
  </w:style>
  <w:style w:type="character" w:styleId="13">
    <w:name w:val="annotation reference"/>
    <w:basedOn w:val="10"/>
    <w:qFormat/>
    <w:uiPriority w:val="0"/>
    <w:rPr>
      <w:sz w:val="16"/>
      <w:szCs w:val="16"/>
    </w:rPr>
  </w:style>
  <w:style w:type="character" w:customStyle="1" w:styleId="14">
    <w:name w:val="fontstyle01"/>
    <w:basedOn w:val="10"/>
    <w:qFormat/>
    <w:uiPriority w:val="0"/>
    <w:rPr>
      <w:rFonts w:hint="default" w:ascii="ScalaPro-Regular" w:hAnsi="ScalaPro-Regular"/>
      <w:color w:val="242021"/>
      <w:sz w:val="18"/>
      <w:szCs w:val="18"/>
    </w:rPr>
  </w:style>
  <w:style w:type="character" w:customStyle="1" w:styleId="15">
    <w:name w:val="批注文字 字符"/>
    <w:basedOn w:val="10"/>
    <w:link w:val="2"/>
    <w:qFormat/>
    <w:uiPriority w:val="0"/>
    <w:rPr>
      <w:rFonts w:eastAsia="宋体"/>
      <w:kern w:val="2"/>
      <w:lang w:eastAsia="zh-CN"/>
    </w:rPr>
  </w:style>
  <w:style w:type="paragraph" w:customStyle="1" w:styleId="16">
    <w:name w:val="修订1"/>
    <w:hidden/>
    <w:unhideWhenUsed/>
    <w:qFormat/>
    <w:uiPriority w:val="99"/>
    <w:rPr>
      <w:rFonts w:eastAsia="宋体" w:asciiTheme="minorHAnsi" w:hAnsiTheme="minorHAnsi" w:cstheme="minorBidi"/>
      <w:kern w:val="2"/>
      <w:sz w:val="24"/>
      <w:szCs w:val="22"/>
      <w:lang w:val="en-US" w:eastAsia="zh-CN" w:bidi="ar-SA"/>
    </w:rPr>
  </w:style>
  <w:style w:type="character" w:customStyle="1" w:styleId="17">
    <w:name w:val="批注主题 字符"/>
    <w:basedOn w:val="15"/>
    <w:link w:val="7"/>
    <w:qFormat/>
    <w:uiPriority w:val="0"/>
    <w:rPr>
      <w:rFonts w:eastAsia="宋体"/>
      <w:b/>
      <w:bCs/>
      <w:kern w:val="2"/>
      <w:lang w:eastAsia="zh-CN"/>
    </w:rPr>
  </w:style>
  <w:style w:type="character" w:customStyle="1" w:styleId="18">
    <w:name w:val="批注框文本 字符"/>
    <w:basedOn w:val="10"/>
    <w:link w:val="3"/>
    <w:qFormat/>
    <w:uiPriority w:val="0"/>
    <w:rPr>
      <w:rFonts w:ascii="Segoe UI" w:hAnsi="Segoe UI" w:eastAsia="宋体" w:cs="Segoe UI"/>
      <w:kern w:val="2"/>
      <w:sz w:val="18"/>
      <w:szCs w:val="18"/>
      <w:lang w:eastAsia="zh-CN"/>
    </w:rPr>
  </w:style>
  <w:style w:type="character" w:customStyle="1" w:styleId="19">
    <w:name w:val="页眉 字符"/>
    <w:basedOn w:val="10"/>
    <w:link w:val="5"/>
    <w:qFormat/>
    <w:uiPriority w:val="0"/>
    <w:rPr>
      <w:rFonts w:eastAsia="宋体"/>
      <w:kern w:val="2"/>
      <w:sz w:val="24"/>
      <w:szCs w:val="22"/>
      <w:lang w:eastAsia="zh-CN"/>
    </w:rPr>
  </w:style>
  <w:style w:type="character" w:customStyle="1" w:styleId="20">
    <w:name w:val="页脚 字符"/>
    <w:basedOn w:val="10"/>
    <w:link w:val="4"/>
    <w:qFormat/>
    <w:uiPriority w:val="99"/>
    <w:rPr>
      <w:rFonts w:eastAsia="宋体"/>
      <w:kern w:val="2"/>
      <w:sz w:val="24"/>
      <w:szCs w:val="22"/>
      <w:lang w:eastAsia="zh-CN"/>
    </w:rPr>
  </w:style>
  <w:style w:type="paragraph" w:styleId="21">
    <w:name w:val="List Paragraph"/>
    <w:basedOn w:val="1"/>
    <w:unhideWhenUsed/>
    <w:qFormat/>
    <w:uiPriority w:val="99"/>
    <w:pPr>
      <w:numPr>
        <w:ilvl w:val="0"/>
        <w:numId w:val="1"/>
      </w:numPr>
      <w:contextualSpacing/>
    </w:pPr>
    <w:rPr>
      <w:b/>
      <w:bCs/>
    </w:rPr>
  </w:style>
  <w:style w:type="paragraph" w:customStyle="1" w:styleId="22">
    <w:name w:val="dates"/>
    <w:basedOn w:val="1"/>
    <w:qFormat/>
    <w:uiPriority w:val="0"/>
    <w:pPr>
      <w:spacing w:line="240" w:lineRule="auto"/>
      <w:jc w:val="right"/>
    </w:pPr>
    <w:rPr>
      <w:rFonts w:eastAsia="MS Mincho"/>
      <w:kern w:val="0"/>
      <w:lang w:eastAsia="ja-JP"/>
    </w:rPr>
  </w:style>
  <w:style w:type="character" w:customStyle="1" w:styleId="23">
    <w:name w:val="未处理的提及1"/>
    <w:basedOn w:val="10"/>
    <w:semiHidden/>
    <w:unhideWhenUsed/>
    <w:qFormat/>
    <w:uiPriority w:val="99"/>
    <w:rPr>
      <w:color w:val="605E5C"/>
      <w:shd w:val="clear" w:color="auto" w:fill="E1DFDD"/>
    </w:rPr>
  </w:style>
  <w:style w:type="paragraph" w:customStyle="1" w:styleId="24">
    <w:name w:val="EndNote Bibliography Title"/>
    <w:basedOn w:val="1"/>
    <w:link w:val="25"/>
    <w:qFormat/>
    <w:uiPriority w:val="0"/>
    <w:pPr>
      <w:jc w:val="center"/>
    </w:pPr>
  </w:style>
  <w:style w:type="character" w:customStyle="1" w:styleId="25">
    <w:name w:val="EndNote Bibliography Title 字符"/>
    <w:basedOn w:val="10"/>
    <w:link w:val="24"/>
    <w:qFormat/>
    <w:uiPriority w:val="0"/>
    <w:rPr>
      <w:kern w:val="2"/>
      <w:sz w:val="24"/>
      <w:szCs w:val="24"/>
    </w:rPr>
  </w:style>
  <w:style w:type="paragraph" w:customStyle="1" w:styleId="26">
    <w:name w:val="EndNote Bibliography"/>
    <w:basedOn w:val="1"/>
    <w:link w:val="27"/>
    <w:qFormat/>
    <w:uiPriority w:val="0"/>
  </w:style>
  <w:style w:type="character" w:customStyle="1" w:styleId="27">
    <w:name w:val="EndNote Bibliography 字符"/>
    <w:basedOn w:val="10"/>
    <w:link w:val="26"/>
    <w:qFormat/>
    <w:uiPriority w:val="0"/>
    <w:rPr>
      <w:kern w:val="2"/>
      <w:sz w:val="24"/>
      <w:szCs w:val="24"/>
    </w:rPr>
  </w:style>
  <w:style w:type="paragraph" w:customStyle="1" w:styleId="28">
    <w:name w:val="修订2"/>
    <w:hidden/>
    <w:unhideWhenUsed/>
    <w:qFormat/>
    <w:uiPriority w:val="99"/>
    <w:rPr>
      <w:rFonts w:eastAsia="宋体" w:asciiTheme="minorHAnsi" w:hAnsiTheme="minorHAnsi" w:cstheme="minorBidi"/>
      <w:kern w:val="2"/>
      <w:sz w:val="24"/>
      <w:szCs w:val="22"/>
      <w:lang w:val="en-US" w:eastAsia="zh-CN" w:bidi="ar-SA"/>
    </w:rPr>
  </w:style>
  <w:style w:type="character" w:customStyle="1" w:styleId="29">
    <w:name w:val="fontstyle21"/>
    <w:basedOn w:val="10"/>
    <w:qFormat/>
    <w:uiPriority w:val="0"/>
    <w:rPr>
      <w:rFonts w:hint="default" w:ascii="ScalaSansPro-Regular" w:hAnsi="ScalaSansPro-Regular"/>
      <w:color w:val="242021"/>
      <w:sz w:val="16"/>
      <w:szCs w:val="16"/>
    </w:rPr>
  </w:style>
  <w:style w:type="character" w:customStyle="1" w:styleId="30">
    <w:name w:val="fontstyle31"/>
    <w:basedOn w:val="10"/>
    <w:qFormat/>
    <w:uiPriority w:val="0"/>
    <w:rPr>
      <w:rFonts w:hint="default" w:ascii="AdvOT46dcae81+20" w:hAnsi="AdvOT46dcae81+20"/>
      <w:color w:val="000000"/>
      <w:sz w:val="18"/>
      <w:szCs w:val="18"/>
    </w:rPr>
  </w:style>
  <w:style w:type="character" w:customStyle="1" w:styleId="31">
    <w:name w:val="fontstyle41"/>
    <w:basedOn w:val="10"/>
    <w:qFormat/>
    <w:uiPriority w:val="0"/>
    <w:rPr>
      <w:rFonts w:hint="default" w:ascii="AdvOT2e364b11+fb" w:hAnsi="AdvOT2e364b11+fb"/>
      <w:color w:val="000000"/>
      <w:sz w:val="20"/>
      <w:szCs w:val="20"/>
    </w:rPr>
  </w:style>
  <w:style w:type="character" w:customStyle="1" w:styleId="32">
    <w:name w:val="fontstyle51"/>
    <w:basedOn w:val="10"/>
    <w:qFormat/>
    <w:uiPriority w:val="0"/>
    <w:rPr>
      <w:rFonts w:hint="default" w:ascii="AdvOT02ce3bbb.I" w:hAnsi="AdvOT02ce3bbb.I"/>
      <w:color w:val="000000"/>
      <w:sz w:val="20"/>
      <w:szCs w:val="20"/>
    </w:rPr>
  </w:style>
  <w:style w:type="paragraph" w:customStyle="1" w:styleId="33">
    <w:name w:val="修订3"/>
    <w:hidden/>
    <w:unhideWhenUsed/>
    <w:qFormat/>
    <w:uiPriority w:val="99"/>
    <w:rPr>
      <w:rFonts w:eastAsia="宋体" w:asciiTheme="minorHAnsi" w:hAnsiTheme="minorHAnsi" w:cstheme="minorBidi"/>
      <w:kern w:val="2"/>
      <w:sz w:val="24"/>
      <w:szCs w:val="22"/>
      <w:lang w:val="en-US" w:eastAsia="zh-CN" w:bidi="ar-SA"/>
    </w:rPr>
  </w:style>
  <w:style w:type="table" w:customStyle="1" w:styleId="34">
    <w:name w:val="清单表 6 彩色1"/>
    <w:basedOn w:val="8"/>
    <w:qFormat/>
    <w:uiPriority w:val="51"/>
    <w:rPr>
      <w:rFonts w:asciiTheme="minorHAnsi" w:hAnsiTheme="minorHAnsi" w:eastAsiaTheme="minorEastAsia" w:cstheme="minorBidi"/>
      <w:color w:val="000000" w:themeColor="text1"/>
      <w:kern w:val="2"/>
      <w:sz w:val="21"/>
      <w:szCs w:val="22"/>
      <w14:textFill>
        <w14:solidFill>
          <w14:schemeClr w14:val="tx1"/>
        </w14:solidFill>
      </w14:textFill>
    </w:rPr>
    <w:tblPr>
      <w:tblBorders>
        <w:top w:val="single" w:color="000000" w:themeColor="text1" w:sz="4" w:space="0"/>
        <w:bottom w:val="single" w:color="000000" w:themeColor="text1" w:sz="4" w:space="0"/>
      </w:tblBorders>
    </w:tblPr>
    <w:tblStylePr w:type="firstRow">
      <w:rPr>
        <w:b/>
        <w:bCs/>
      </w:rPr>
      <w:tcPr>
        <w:tcBorders>
          <w:bottom w:val="single" w:color="000000" w:themeColor="text1" w:sz="4" w:space="0"/>
        </w:tcBorders>
      </w:tcPr>
    </w:tblStylePr>
    <w:tblStylePr w:type="lastRow">
      <w:rPr>
        <w:b/>
        <w:bCs/>
      </w:rPr>
      <w:tcPr>
        <w:tcBorders>
          <w:top w:val="double" w:color="000000" w:themeColor="text1"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paragraph" w:customStyle="1" w:styleId="35">
    <w:name w:val="Head"/>
    <w:basedOn w:val="1"/>
    <w:qFormat/>
    <w:uiPriority w:val="0"/>
    <w:pPr>
      <w:keepNext/>
      <w:spacing w:before="120" w:after="120" w:line="240" w:lineRule="auto"/>
      <w:jc w:val="center"/>
      <w:outlineLvl w:val="0"/>
    </w:pPr>
    <w:rPr>
      <w:rFonts w:eastAsia="Times New Roman"/>
      <w:b/>
      <w:bCs/>
      <w:kern w:val="28"/>
      <w:sz w:val="28"/>
      <w:szCs w:val="28"/>
      <w:lang w:eastAsia="en-US"/>
    </w:rPr>
  </w:style>
  <w:style w:type="character" w:customStyle="1" w:styleId="36">
    <w:name w:val="未处理的提及2"/>
    <w:basedOn w:val="10"/>
    <w:semiHidden/>
    <w:unhideWhenUsed/>
    <w:qFormat/>
    <w:uiPriority w:val="99"/>
    <w:rPr>
      <w:color w:val="605E5C"/>
      <w:shd w:val="clear" w:color="auto" w:fill="E1DFDD"/>
    </w:rPr>
  </w:style>
  <w:style w:type="character" w:customStyle="1" w:styleId="37">
    <w:name w:val="未处理的提及3"/>
    <w:basedOn w:val="10"/>
    <w:semiHidden/>
    <w:unhideWhenUsed/>
    <w:qFormat/>
    <w:uiPriority w:val="99"/>
    <w:rPr>
      <w:color w:val="605E5C"/>
      <w:shd w:val="clear" w:color="auto" w:fill="E1DFDD"/>
    </w:rPr>
  </w:style>
  <w:style w:type="character" w:customStyle="1" w:styleId="38">
    <w:name w:val="Unresolved Mention"/>
    <w:basedOn w:val="10"/>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2.tiff"/><Relationship Id="rId8" Type="http://schemas.openxmlformats.org/officeDocument/2006/relationships/image" Target="media/image1.tiff"/><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8" Type="http://schemas.openxmlformats.org/officeDocument/2006/relationships/fontTable" Target="fontTable.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28.png"/><Relationship Id="rId34" Type="http://schemas.openxmlformats.org/officeDocument/2006/relationships/image" Target="media/image27.tiff"/><Relationship Id="rId33" Type="http://schemas.openxmlformats.org/officeDocument/2006/relationships/image" Target="media/image26.tiff"/><Relationship Id="rId32" Type="http://schemas.openxmlformats.org/officeDocument/2006/relationships/image" Target="media/image25.png"/><Relationship Id="rId31" Type="http://schemas.openxmlformats.org/officeDocument/2006/relationships/image" Target="media/image24.tiff"/><Relationship Id="rId30" Type="http://schemas.openxmlformats.org/officeDocument/2006/relationships/image" Target="media/image23.tiff"/><Relationship Id="rId3" Type="http://schemas.openxmlformats.org/officeDocument/2006/relationships/footnotes" Target="footnotes.xml"/><Relationship Id="rId29" Type="http://schemas.openxmlformats.org/officeDocument/2006/relationships/image" Target="media/image22.tiff"/><Relationship Id="rId28" Type="http://schemas.openxmlformats.org/officeDocument/2006/relationships/image" Target="media/image21.tiff"/><Relationship Id="rId27" Type="http://schemas.openxmlformats.org/officeDocument/2006/relationships/image" Target="media/image20.tiff"/><Relationship Id="rId26" Type="http://schemas.openxmlformats.org/officeDocument/2006/relationships/image" Target="media/image19.tiff"/><Relationship Id="rId25" Type="http://schemas.openxmlformats.org/officeDocument/2006/relationships/image" Target="media/image18.tiff"/><Relationship Id="rId24" Type="http://schemas.openxmlformats.org/officeDocument/2006/relationships/image" Target="media/image17.tiff"/><Relationship Id="rId23" Type="http://schemas.openxmlformats.org/officeDocument/2006/relationships/image" Target="media/image16.tiff"/><Relationship Id="rId22" Type="http://schemas.openxmlformats.org/officeDocument/2006/relationships/image" Target="media/image15.tiff"/><Relationship Id="rId21" Type="http://schemas.openxmlformats.org/officeDocument/2006/relationships/image" Target="media/image14.tiff"/><Relationship Id="rId20" Type="http://schemas.openxmlformats.org/officeDocument/2006/relationships/image" Target="media/image13.tiff"/><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tiff"/><Relationship Id="rId17" Type="http://schemas.openxmlformats.org/officeDocument/2006/relationships/image" Target="media/image10.tiff"/><Relationship Id="rId16" Type="http://schemas.openxmlformats.org/officeDocument/2006/relationships/image" Target="media/image9.tiff"/><Relationship Id="rId15" Type="http://schemas.openxmlformats.org/officeDocument/2006/relationships/image" Target="media/image8.tiff"/><Relationship Id="rId14" Type="http://schemas.openxmlformats.org/officeDocument/2006/relationships/image" Target="media/image7.tiff"/><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tiff"/><Relationship Id="rId10" Type="http://schemas.openxmlformats.org/officeDocument/2006/relationships/image" Target="media/image3.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42</Pages>
  <Words>424</Words>
  <Characters>2577</Characters>
  <Lines>199</Lines>
  <Paragraphs>56</Paragraphs>
  <TotalTime>1</TotalTime>
  <ScaleCrop>false</ScaleCrop>
  <LinksUpToDate>false</LinksUpToDate>
  <CharactersWithSpaces>2997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2025-04-30T17:01:00Z</dcterms:created>
  <dc:creator>Shenglin Luo</dc:creator>
  <cp:lastModifiedBy>命运。</cp:lastModifiedBy>
  <cp:lastPrinted>2024-03-05T08:49:00Z</cp:lastPrinted>
  <dcterms:modified xsi:type="dcterms:W3CDTF">2025-05-09T10:07:23Z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Prop">
    <vt:lpwstr>41bf9cc88edd4a5188c954a6584d0a47</vt:lpwstr>
  </property>
  <property fmtid="{D5CDD505-2E9C-101B-9397-08002B2CF9AE}" pid="3" name="ICV">
    <vt:lpwstr>7876F728ACB9408F950A2CC263AC5997_13</vt:lpwstr>
  </property>
  <property fmtid="{D5CDD505-2E9C-101B-9397-08002B2CF9AE}" pid="4" name="KSOProductBuildVer">
    <vt:lpwstr>2052-12.1.0.20784</vt:lpwstr>
  </property>
  <property fmtid="{D5CDD505-2E9C-101B-9397-08002B2CF9AE}" pid="5" name="TrinkaCustomProp">
    <vt:lpwstr>c80b6ce309b24119ad23297d70398133</vt:lpwstr>
  </property>
  <property fmtid="{D5CDD505-2E9C-101B-9397-08002B2CF9AE}" pid="6" name="DotEnagoUniqueKey">
    <vt:lpwstr>|051c5e472c368cc-ab8a-427b-050b-a1708577380001-52624431</vt:lpwstr>
  </property>
  <property fmtid="{D5CDD505-2E9C-101B-9397-08002B2CF9AE}" pid="7" name="GrammarlyDocumentId">
    <vt:lpwstr>36e1ee8c4779c9a03f5f26eff6e1e8d75e1080e9f00bd98096c9aafea0cad359</vt:lpwstr>
  </property>
  <property fmtid="{D5CDD505-2E9C-101B-9397-08002B2CF9AE}" pid="8" name="KSOTemplateDocerSaveRecord">
    <vt:lpwstr>eyJoZGlkIjoiOGM2NzU0ZmY2ODVmODIzYjYyZDkyMzE3MWYyYmQxYTMiLCJ1c2VySWQiOiIyOTk1NzA4ODQifQ==</vt:lpwstr>
  </property>
</Properties>
</file>