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D6A" w:rsidRPr="00173155" w:rsidRDefault="00173155" w:rsidP="0017315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73155">
        <w:rPr>
          <w:rFonts w:ascii="Times New Roman" w:hAnsi="Times New Roman" w:cs="Times New Roman"/>
          <w:b/>
          <w:sz w:val="24"/>
          <w:szCs w:val="24"/>
          <w:lang w:val="en-US"/>
        </w:rPr>
        <w:t>Figure Captions</w:t>
      </w:r>
      <w:bookmarkStart w:id="0" w:name="_GoBack"/>
      <w:bookmarkEnd w:id="0"/>
    </w:p>
    <w:p w:rsidR="00173155" w:rsidRDefault="00173155" w:rsidP="001731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3155">
        <w:rPr>
          <w:rFonts w:ascii="Times New Roman" w:hAnsi="Times New Roman" w:cs="Times New Roman"/>
          <w:color w:val="000000"/>
          <w:sz w:val="24"/>
          <w:szCs w:val="24"/>
        </w:rPr>
        <w:t>Supplementary Material 1: Figure S1. BCT-100 reduces global protein translation and activates cell stress response.</w:t>
      </w:r>
    </w:p>
    <w:p w:rsidR="00173155" w:rsidRPr="00173155" w:rsidRDefault="00173155" w:rsidP="001731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73155" w:rsidRDefault="00173155" w:rsidP="001731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3155">
        <w:rPr>
          <w:rFonts w:ascii="Times New Roman" w:hAnsi="Times New Roman" w:cs="Times New Roman"/>
          <w:color w:val="000000"/>
          <w:sz w:val="24"/>
          <w:szCs w:val="24"/>
        </w:rPr>
        <w:t>Supplementary Material 2: Figure S2. BCT-100 anti-proliferative effect is not rescued by aspartate supplementation.</w:t>
      </w:r>
    </w:p>
    <w:p w:rsidR="00173155" w:rsidRPr="00173155" w:rsidRDefault="00173155" w:rsidP="001731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73155" w:rsidRDefault="00173155" w:rsidP="001731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3155">
        <w:rPr>
          <w:rFonts w:ascii="Times New Roman" w:hAnsi="Times New Roman" w:cs="Times New Roman"/>
          <w:color w:val="000000"/>
          <w:sz w:val="24"/>
          <w:szCs w:val="24"/>
        </w:rPr>
        <w:t>Supplementary Material 3: Figure S3. BCT-100 exposure suppresses proliferation, glycolysis, and lipid metabolism in vitro.</w:t>
      </w:r>
    </w:p>
    <w:p w:rsidR="00173155" w:rsidRPr="00173155" w:rsidRDefault="00173155" w:rsidP="001731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73155" w:rsidRDefault="00173155" w:rsidP="001731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3155">
        <w:rPr>
          <w:rFonts w:ascii="Times New Roman" w:hAnsi="Times New Roman" w:cs="Times New Roman"/>
          <w:color w:val="000000"/>
          <w:sz w:val="24"/>
          <w:szCs w:val="24"/>
        </w:rPr>
        <w:t>Supplementary Material 4: Figure S4. BCT-100 exposure does not alter urea cycle enzyme or arginine importer expression in short-term cultures.</w:t>
      </w:r>
    </w:p>
    <w:p w:rsidR="00173155" w:rsidRPr="00173155" w:rsidRDefault="00173155" w:rsidP="001731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73155" w:rsidRPr="00173155" w:rsidRDefault="00173155" w:rsidP="0017315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73155">
        <w:rPr>
          <w:rFonts w:ascii="Times New Roman" w:hAnsi="Times New Roman" w:cs="Times New Roman"/>
          <w:color w:val="000000"/>
          <w:sz w:val="24"/>
          <w:szCs w:val="24"/>
        </w:rPr>
        <w:t>Supplementary Material 5: Figure S5: BCT-100 enhances chemotherapy efficacy in vitro and alters urea cycle enzyme expression in vivo.</w:t>
      </w:r>
    </w:p>
    <w:p w:rsidR="00173155" w:rsidRPr="00173155" w:rsidRDefault="00173155" w:rsidP="0017315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173155" w:rsidRPr="001731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D6A"/>
    <w:rsid w:val="00173155"/>
    <w:rsid w:val="003E6FDE"/>
    <w:rsid w:val="007E2B0E"/>
    <w:rsid w:val="00A013F4"/>
    <w:rsid w:val="00B5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2025-08-26T13:25:00Z</dcterms:created>
  <dcterms:modified xsi:type="dcterms:W3CDTF">2025-08-26T14:34:00Z</dcterms:modified>
</cp:coreProperties>
</file>