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578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 w:eastAsiaTheme="minorEastAsia"/>
          <w:b/>
          <w:bCs/>
          <w:sz w:val="30"/>
          <w:szCs w:val="30"/>
          <w:lang w:val="en-US" w:eastAsia="zh-CN"/>
        </w:rPr>
      </w:pPr>
      <w:r>
        <w:rPr>
          <w:rFonts w:hint="default" w:ascii="Times New Roman Bold" w:hAnsi="Times New Roman Bold" w:cs="Times New Roman Bold" w:eastAsiaTheme="minorEastAsia"/>
          <w:b/>
          <w:bCs/>
          <w:sz w:val="30"/>
          <w:szCs w:val="30"/>
          <w:lang w:val="en-US" w:eastAsia="zh-CN"/>
        </w:rPr>
        <w:t>Supplementary Materials for</w:t>
      </w:r>
    </w:p>
    <w:p w14:paraId="5BE09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Times New Roman" w:hAnsi="Times New Roman" w:cs="Times New Roman" w:eastAsiaTheme="minorEastAsia"/>
          <w:sz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lang w:val="en-US" w:eastAsia="zh-CN"/>
        </w:rPr>
        <w:t>HDAC2 as a therapeutic target in bladder cancer: insights into the altered epigenetic regulation and lysine lactylation</w:t>
      </w:r>
    </w:p>
    <w:p w14:paraId="61F57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Times New Roman" w:hAnsi="Times New Roman" w:cs="Times New Roman" w:eastAsiaTheme="minorEastAsia"/>
          <w:sz w:val="24"/>
          <w:lang w:val="en-US" w:eastAsia="zh-CN"/>
        </w:rPr>
      </w:pPr>
    </w:p>
    <w:p w14:paraId="07AA08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Guanghui Xu</w:t>
      </w:r>
      <w:r>
        <w:rPr>
          <w:rFonts w:hint="eastAsia" w:ascii="Times New Roman" w:hAnsi="Times New Roman" w:cs="Times New Roman"/>
          <w:sz w:val="24"/>
          <w:vertAlign w:val="superscript"/>
        </w:rPr>
        <w:t>1,2,</w:t>
      </w:r>
      <w:r>
        <w:rPr>
          <w:rFonts w:ascii="Times New Roman" w:hAnsi="Times New Roman" w:cs="Times New Roman"/>
          <w:sz w:val="24"/>
          <w:vertAlign w:val="superscript"/>
        </w:rPr>
        <w:t>#</w:t>
      </w:r>
      <w:r>
        <w:rPr>
          <w:rFonts w:ascii="Times New Roman" w:hAnsi="Times New Roman" w:cs="Times New Roman"/>
          <w:sz w:val="24"/>
        </w:rPr>
        <w:t>, Shuo Liang</w:t>
      </w:r>
      <w:r>
        <w:rPr>
          <w:rFonts w:hint="eastAsia" w:ascii="Times New Roman" w:hAnsi="Times New Roman" w:cs="Times New Roman"/>
          <w:sz w:val="24"/>
          <w:vertAlign w:val="superscript"/>
        </w:rPr>
        <w:t>3,</w:t>
      </w:r>
      <w:r>
        <w:rPr>
          <w:rFonts w:ascii="Times New Roman" w:hAnsi="Times New Roman" w:cs="Times New Roman"/>
          <w:sz w:val="24"/>
          <w:vertAlign w:val="superscript"/>
        </w:rPr>
        <w:t>#</w:t>
      </w:r>
      <w:r>
        <w:rPr>
          <w:rFonts w:ascii="Times New Roman" w:hAnsi="Times New Roman" w:cs="Times New Roman"/>
          <w:sz w:val="24"/>
        </w:rPr>
        <w:t>, Ganlin Hu</w:t>
      </w:r>
      <w:r>
        <w:rPr>
          <w:rFonts w:hint="eastAsia" w:ascii="Times New Roman" w:hAnsi="Times New Roman" w:cs="Times New Roman"/>
          <w:sz w:val="24"/>
          <w:vertAlign w:val="superscript"/>
        </w:rPr>
        <w:t>4,</w:t>
      </w:r>
      <w:r>
        <w:rPr>
          <w:rFonts w:ascii="Times New Roman" w:hAnsi="Times New Roman" w:cs="Times New Roman"/>
          <w:sz w:val="24"/>
          <w:vertAlign w:val="superscript"/>
        </w:rPr>
        <w:t>#</w:t>
      </w:r>
      <w:r>
        <w:rPr>
          <w:rFonts w:ascii="Times New Roman" w:hAnsi="Times New Roman" w:cs="Times New Roman"/>
          <w:sz w:val="24"/>
        </w:rPr>
        <w:t>, Wei Zhao</w:t>
      </w:r>
      <w:r>
        <w:rPr>
          <w:rFonts w:hint="eastAsia" w:ascii="Times New Roman" w:hAnsi="Times New Roman" w:cs="Times New Roman"/>
          <w:sz w:val="24"/>
          <w:vertAlign w:val="superscript"/>
        </w:rPr>
        <w:t>5</w:t>
      </w:r>
      <w:r>
        <w:rPr>
          <w:rFonts w:ascii="Times New Roman" w:hAnsi="Times New Roman" w:cs="Times New Roman"/>
          <w:sz w:val="24"/>
          <w:vertAlign w:val="superscript"/>
        </w:rPr>
        <w:t>,6,#</w:t>
      </w:r>
      <w:r>
        <w:rPr>
          <w:rFonts w:ascii="Times New Roman" w:hAnsi="Times New Roman" w:cs="Times New Roman"/>
          <w:sz w:val="24"/>
        </w:rPr>
        <w:t>, Yuqin Li</w:t>
      </w:r>
      <w:r>
        <w:rPr>
          <w:rFonts w:hint="eastAsia" w:ascii="Times New Roman" w:hAnsi="Times New Roman" w:cs="Times New Roman"/>
          <w:sz w:val="24"/>
          <w:vertAlign w:val="superscript"/>
        </w:rPr>
        <w:t>4</w:t>
      </w:r>
      <w:r>
        <w:rPr>
          <w:rFonts w:ascii="Times New Roman" w:hAnsi="Times New Roman" w:cs="Times New Roman"/>
          <w:sz w:val="24"/>
        </w:rPr>
        <w:t>, Minghao Zheng</w:t>
      </w:r>
      <w:r>
        <w:rPr>
          <w:rFonts w:ascii="Times New Roman" w:hAnsi="Times New Roman" w:cs="Times New Roman"/>
          <w:sz w:val="24"/>
          <w:vertAlign w:val="superscript"/>
        </w:rPr>
        <w:t>7</w:t>
      </w:r>
      <w:r>
        <w:rPr>
          <w:rFonts w:ascii="Times New Roman" w:hAnsi="Times New Roman" w:cs="Times New Roman"/>
          <w:sz w:val="24"/>
        </w:rPr>
        <w:t>, Zhigang Wu</w:t>
      </w:r>
      <w:r>
        <w:rPr>
          <w:rFonts w:hint="eastAsia" w:ascii="Times New Roman" w:hAnsi="Times New Roman" w:cs="Times New Roman"/>
          <w:sz w:val="24"/>
          <w:vertAlign w:val="superscript"/>
        </w:rPr>
        <w:t>4</w:t>
      </w:r>
      <w:r>
        <w:rPr>
          <w:rFonts w:ascii="Times New Roman" w:hAnsi="Times New Roman" w:cs="Times New Roman"/>
          <w:sz w:val="24"/>
        </w:rPr>
        <w:t>, Tianlei Xie</w:t>
      </w:r>
      <w:r>
        <w:rPr>
          <w:rFonts w:hint="eastAsia" w:ascii="Times New Roman" w:hAnsi="Times New Roman" w:cs="Times New Roman"/>
          <w:sz w:val="24"/>
          <w:vertAlign w:val="superscript"/>
        </w:rPr>
        <w:t>1,2</w:t>
      </w:r>
      <w:r>
        <w:rPr>
          <w:rFonts w:ascii="Times New Roman" w:hAnsi="Times New Roman" w:cs="Times New Roman"/>
          <w:sz w:val="24"/>
        </w:rPr>
        <w:t>, Shuting Fang</w:t>
      </w:r>
      <w:r>
        <w:rPr>
          <w:rFonts w:hint="eastAsia" w:ascii="Times New Roman" w:hAnsi="Times New Roman" w:cs="Times New Roman"/>
          <w:sz w:val="24"/>
          <w:vertAlign w:val="superscript"/>
        </w:rPr>
        <w:t>4</w:t>
      </w:r>
      <w:r>
        <w:rPr>
          <w:rFonts w:ascii="Times New Roman" w:hAnsi="Times New Roman" w:cs="Times New Roman"/>
          <w:sz w:val="24"/>
        </w:rPr>
        <w:t>, S</w:t>
      </w:r>
      <w:r>
        <w:rPr>
          <w:rFonts w:hint="eastAsia" w:ascii="Times New Roman" w:hAnsi="Times New Roman" w:cs="Times New Roman"/>
          <w:sz w:val="24"/>
        </w:rPr>
        <w:t>h</w:t>
      </w:r>
      <w:r>
        <w:rPr>
          <w:rFonts w:ascii="Times New Roman" w:hAnsi="Times New Roman" w:cs="Times New Roman"/>
          <w:sz w:val="24"/>
        </w:rPr>
        <w:t>an Peng</w:t>
      </w:r>
      <w:r>
        <w:rPr>
          <w:rFonts w:hint="eastAsia" w:ascii="Times New Roman" w:hAnsi="Times New Roman" w:cs="Times New Roman"/>
          <w:sz w:val="24"/>
          <w:vertAlign w:val="superscript"/>
        </w:rPr>
        <w:t>8</w:t>
      </w:r>
      <w:r>
        <w:rPr>
          <w:rFonts w:ascii="Times New Roman" w:hAnsi="Times New Roman" w:cs="Times New Roman"/>
          <w:sz w:val="24"/>
          <w:vertAlign w:val="superscript"/>
        </w:rPr>
        <w:t>,</w:t>
      </w:r>
      <w:r>
        <w:rPr>
          <w:rFonts w:ascii="Times New Roman" w:hAnsi="Times New Roman" w:cs="Times New Roman"/>
          <w:sz w:val="24"/>
        </w:rPr>
        <w:t xml:space="preserve"> Yongming Deng</w:t>
      </w:r>
      <w:r>
        <w:rPr>
          <w:rFonts w:hint="eastAsia" w:ascii="Times New Roman" w:hAnsi="Times New Roman" w:cs="Times New Roman"/>
          <w:sz w:val="24"/>
          <w:vertAlign w:val="superscript"/>
        </w:rPr>
        <w:t>1,2</w:t>
      </w:r>
      <w:r>
        <w:rPr>
          <w:rFonts w:ascii="Times New Roman" w:hAnsi="Times New Roman" w:cs="Times New Roman"/>
          <w:sz w:val="24"/>
        </w:rPr>
        <w:t>, Yihua Zhou</w:t>
      </w:r>
      <w:r>
        <w:rPr>
          <w:rFonts w:hint="eastAsia" w:ascii="Times New Roman" w:hAnsi="Times New Roman" w:cs="Times New Roman"/>
          <w:sz w:val="24"/>
          <w:vertAlign w:val="superscript"/>
        </w:rPr>
        <w:t>9</w:t>
      </w:r>
      <w:r>
        <w:rPr>
          <w:rFonts w:ascii="Times New Roman" w:hAnsi="Times New Roman" w:cs="Times New Roman"/>
          <w:sz w:val="24"/>
          <w:vertAlign w:val="superscript"/>
        </w:rPr>
        <w:t>*</w:t>
      </w:r>
      <w:r>
        <w:rPr>
          <w:rFonts w:ascii="Times New Roman" w:hAnsi="Times New Roman" w:cs="Times New Roman"/>
          <w:sz w:val="24"/>
        </w:rPr>
        <w:t>, Hongqian Guo</w:t>
      </w:r>
      <w:r>
        <w:rPr>
          <w:rFonts w:hint="eastAsia" w:ascii="Times New Roman" w:hAnsi="Times New Roman" w:cs="Times New Roman"/>
          <w:sz w:val="24"/>
          <w:vertAlign w:val="superscript"/>
        </w:rPr>
        <w:t>1,2</w:t>
      </w:r>
      <w:r>
        <w:rPr>
          <w:rFonts w:ascii="Times New Roman" w:hAnsi="Times New Roman" w:cs="Times New Roman"/>
          <w:sz w:val="24"/>
          <w:vertAlign w:val="superscript"/>
        </w:rPr>
        <w:t>*</w:t>
      </w:r>
      <w:r>
        <w:rPr>
          <w:rFonts w:ascii="Times New Roman" w:hAnsi="Times New Roman" w:cs="Times New Roman"/>
          <w:sz w:val="24"/>
        </w:rPr>
        <w:t>, Junlong Zhuang</w:t>
      </w:r>
      <w:r>
        <w:rPr>
          <w:rFonts w:hint="eastAsia" w:ascii="Times New Roman" w:hAnsi="Times New Roman" w:cs="Times New Roman"/>
          <w:sz w:val="24"/>
          <w:vertAlign w:val="superscript"/>
        </w:rPr>
        <w:t>1,2,3,4</w:t>
      </w:r>
      <w:r>
        <w:rPr>
          <w:rFonts w:ascii="Times New Roman" w:hAnsi="Times New Roman" w:cs="Times New Roman"/>
          <w:sz w:val="24"/>
          <w:vertAlign w:val="superscript"/>
        </w:rPr>
        <w:t>*</w:t>
      </w:r>
      <w:r>
        <w:rPr>
          <w:rFonts w:ascii="Times New Roman" w:hAnsi="Times New Roman" w:cs="Times New Roman"/>
          <w:sz w:val="24"/>
        </w:rPr>
        <w:t>, W</w:t>
      </w:r>
      <w:r>
        <w:rPr>
          <w:rFonts w:hint="eastAsia"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>nli Diao</w:t>
      </w:r>
      <w:r>
        <w:rPr>
          <w:rFonts w:hint="eastAsia" w:ascii="Times New Roman" w:hAnsi="Times New Roman" w:cs="Times New Roman"/>
          <w:sz w:val="24"/>
          <w:vertAlign w:val="superscript"/>
        </w:rPr>
        <w:t>1,2,4</w:t>
      </w:r>
      <w:r>
        <w:rPr>
          <w:rFonts w:ascii="Times New Roman" w:hAnsi="Times New Roman" w:cs="Times New Roman"/>
          <w:sz w:val="24"/>
          <w:vertAlign w:val="superscript"/>
        </w:rPr>
        <w:t>*</w:t>
      </w:r>
    </w:p>
    <w:p w14:paraId="6C846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</w:p>
    <w:p w14:paraId="1DBCD5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</w:p>
    <w:p w14:paraId="536738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This file includes the following subsections:</w:t>
      </w:r>
    </w:p>
    <w:p w14:paraId="2E037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 w:eastAsiaTheme="minorEastAsia"/>
          <w:sz w:val="24"/>
          <w:lang w:val="en-US" w:eastAsia="zh-CN"/>
        </w:rPr>
      </w:pPr>
      <w:r>
        <w:rPr>
          <w:rFonts w:hint="eastAsia" w:ascii="Times New Roman" w:hAnsi="Times New Roman" w:cs="Times New Roman"/>
          <w:sz w:val="24"/>
        </w:rPr>
        <w:t xml:space="preserve">• Figure </w:t>
      </w:r>
      <w:r>
        <w:rPr>
          <w:rFonts w:hint="default" w:ascii="Times New Roman" w:hAnsi="Times New Roman" w:cs="Times New Roman"/>
          <w:sz w:val="24"/>
          <w:lang w:val="en-US"/>
        </w:rPr>
        <w:t>S1-4</w:t>
      </w:r>
    </w:p>
    <w:p w14:paraId="2DA5E8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lang w:val="en-US"/>
        </w:rPr>
      </w:pPr>
      <w:r>
        <w:rPr>
          <w:rFonts w:hint="eastAsia" w:ascii="Times New Roman" w:hAnsi="Times New Roman" w:cs="Times New Roman"/>
          <w:sz w:val="24"/>
        </w:rPr>
        <w:t xml:space="preserve">• Table </w:t>
      </w:r>
      <w:r>
        <w:rPr>
          <w:rFonts w:hint="default" w:ascii="Times New Roman" w:hAnsi="Times New Roman" w:cs="Times New Roman"/>
          <w:sz w:val="24"/>
          <w:lang w:val="en-US"/>
        </w:rPr>
        <w:t>S1-3</w:t>
      </w:r>
    </w:p>
    <w:p w14:paraId="0850CC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lang w:val="en-US"/>
        </w:rPr>
      </w:pPr>
      <w:r>
        <w:rPr>
          <w:rFonts w:hint="default" w:ascii="Times New Roman" w:hAnsi="Times New Roman" w:cs="Times New Roman"/>
          <w:sz w:val="24"/>
          <w:lang w:val="en-US"/>
        </w:rPr>
        <w:drawing>
          <wp:inline distT="0" distB="0" distL="114300" distR="114300">
            <wp:extent cx="5268595" cy="6809105"/>
            <wp:effectExtent l="0" t="0" r="14605" b="23495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80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197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</w:p>
    <w:p w14:paraId="0A9A2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</w:p>
    <w:p w14:paraId="3C74B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</w:p>
    <w:p w14:paraId="590DA4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</w:p>
    <w:p w14:paraId="1BDCF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</w:p>
    <w:p w14:paraId="3299DC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</w:p>
    <w:p w14:paraId="796E86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Figure S1. Functional enrichment of HDAC2 expression in RNA-seq and ATAC-</w:t>
      </w:r>
      <w:r>
        <w:rPr>
          <w:rFonts w:hint="eastAsia" w:ascii="Times New Roman" w:hAnsi="Times New Roman" w:cs="Times New Roman"/>
          <w:sz w:val="24"/>
        </w:rPr>
        <w:t>seq</w:t>
      </w:r>
      <w:r>
        <w:rPr>
          <w:rFonts w:ascii="Times New Roman" w:hAnsi="Times New Roman" w:cs="Times New Roman"/>
          <w:sz w:val="24"/>
        </w:rPr>
        <w:t>.</w:t>
      </w:r>
    </w:p>
    <w:p w14:paraId="09D40F9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GO enrichment analysis for differentially up-regulated genes from bulk RNA-seq.</w:t>
      </w:r>
    </w:p>
    <w:p w14:paraId="507941F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GO enrichment analysis for differentially down-regulated genes from bulk RNA-seq.</w:t>
      </w:r>
    </w:p>
    <w:p w14:paraId="17E8A73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KEGG enrichment analysis for differentially up-regulated genes from bulk RNA-seq.</w:t>
      </w:r>
    </w:p>
    <w:p w14:paraId="0B18C7C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KEGG enrichment analysis for differentially down-regulated genes from bulk RNA-seq.</w:t>
      </w:r>
    </w:p>
    <w:p w14:paraId="425B65A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GO enrichment analysis for unique accessible ATAC peaks of HDAC2-OE group.</w:t>
      </w:r>
    </w:p>
    <w:p w14:paraId="70798FB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KEGG enrichment analysis of top 20 pathways for unique accessible ATAC peaks of HDAC2-OE group.</w:t>
      </w:r>
    </w:p>
    <w:p w14:paraId="49B7877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GO enrichment analysis for differentially accessible ATAC peaks between HDAC2-vector and HDAC2-OE group.</w:t>
      </w:r>
    </w:p>
    <w:p w14:paraId="0C81967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KEGG enrichment analysis differentially accessible ATAC peaks between HDAC2-vector and HDAC2-OE group.</w:t>
      </w:r>
    </w:p>
    <w:p w14:paraId="78B46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</w:p>
    <w:p w14:paraId="27AAF9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</w:p>
    <w:p w14:paraId="14DF7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</w:p>
    <w:p w14:paraId="02B94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</w:p>
    <w:p w14:paraId="4F54D0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  <w:lang w:val="en-US"/>
        </w:rPr>
        <w:drawing>
          <wp:inline distT="0" distB="0" distL="114300" distR="114300">
            <wp:extent cx="5268595" cy="6649720"/>
            <wp:effectExtent l="0" t="0" r="14605" b="5080"/>
            <wp:docPr id="6" name="图片 6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64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FED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Figure S2. Knockdown of GRIK2 impairs the oncogenic functions of HDAC2.</w:t>
      </w:r>
    </w:p>
    <w:p w14:paraId="1C486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(A and B) The proliferation capacity of UM-UC-3 (A) and T24 (B) cells in the indicated groups was examined by CCK-8 assays.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</w:rPr>
        <w:t xml:space="preserve">n = </w:t>
      </w:r>
      <w:r>
        <w:rPr>
          <w:rFonts w:hint="eastAsia" w:ascii="Times New Roman" w:hAnsi="Times New Roman" w:cs="Times New Roman"/>
          <w:sz w:val="24"/>
          <w:lang w:val="en-US" w:eastAsia="zh-CN"/>
        </w:rPr>
        <w:t>3</w:t>
      </w:r>
      <w:r>
        <w:rPr>
          <w:rFonts w:hint="eastAsia" w:ascii="Times New Roman" w:hAnsi="Times New Roman" w:cs="Times New Roman"/>
          <w:sz w:val="24"/>
        </w:rPr>
        <w:t xml:space="preserve"> biological replicates per group. ns: </w:t>
      </w:r>
      <w:r>
        <w:rPr>
          <w:rFonts w:hint="default" w:ascii="Times New Roman Italic" w:hAnsi="Times New Roman Italic" w:cs="Times New Roman Italic"/>
          <w:i/>
          <w:iCs/>
          <w:sz w:val="24"/>
        </w:rPr>
        <w:t>p</w:t>
      </w:r>
      <w:r>
        <w:rPr>
          <w:rFonts w:hint="eastAsia" w:ascii="Times New Roman" w:hAnsi="Times New Roman" w:cs="Times New Roman"/>
          <w:sz w:val="24"/>
        </w:rPr>
        <w:t xml:space="preserve"> &gt; 0.05, ***</w:t>
      </w:r>
      <w:r>
        <w:rPr>
          <w:rFonts w:hint="default" w:ascii="Times New Roman Italic" w:hAnsi="Times New Roman Italic" w:cs="Times New Roman Italic"/>
          <w:i/>
          <w:iCs/>
          <w:sz w:val="24"/>
        </w:rPr>
        <w:t>p</w:t>
      </w:r>
      <w:r>
        <w:rPr>
          <w:rFonts w:hint="eastAsia" w:ascii="Times New Roman" w:hAnsi="Times New Roman" w:cs="Times New Roman"/>
          <w:sz w:val="24"/>
        </w:rPr>
        <w:t xml:space="preserve"> &lt; 0.001 by Student</w:t>
      </w:r>
      <w:r>
        <w:rPr>
          <w:rFonts w:hint="default" w:ascii="Times New Roman" w:hAnsi="Times New Roman" w:cs="Times New Roman"/>
          <w:sz w:val="24"/>
          <w:lang w:val="en-US"/>
        </w:rPr>
        <w:t>’</w:t>
      </w:r>
      <w:r>
        <w:rPr>
          <w:rFonts w:hint="eastAsia" w:ascii="Times New Roman" w:hAnsi="Times New Roman" w:cs="Times New Roman"/>
          <w:sz w:val="24"/>
        </w:rPr>
        <w:t>s t test.</w:t>
      </w:r>
    </w:p>
    <w:p w14:paraId="1BBE0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(C, E and F) Representative images (C) and quantified results (E and F) of transwell assays in the indicated cells. Scale bars, 300 μm. </w:t>
      </w:r>
      <w:r>
        <w:rPr>
          <w:rFonts w:hint="eastAsia" w:ascii="Times New Roman" w:hAnsi="Times New Roman" w:cs="Times New Roman"/>
          <w:sz w:val="24"/>
        </w:rPr>
        <w:t xml:space="preserve">n = </w:t>
      </w:r>
      <w:r>
        <w:rPr>
          <w:rFonts w:hint="eastAsia" w:ascii="Times New Roman" w:hAnsi="Times New Roman" w:cs="Times New Roman"/>
          <w:sz w:val="24"/>
          <w:lang w:val="en-US" w:eastAsia="zh-CN"/>
        </w:rPr>
        <w:t>3</w:t>
      </w:r>
      <w:r>
        <w:rPr>
          <w:rFonts w:hint="eastAsia" w:ascii="Times New Roman" w:hAnsi="Times New Roman" w:cs="Times New Roman"/>
          <w:sz w:val="24"/>
        </w:rPr>
        <w:t xml:space="preserve"> biological replicates per group. ***</w:t>
      </w:r>
      <w:r>
        <w:rPr>
          <w:rFonts w:hint="default" w:ascii="Times New Roman Italic" w:hAnsi="Times New Roman Italic" w:cs="Times New Roman Italic"/>
          <w:i/>
          <w:iCs/>
          <w:sz w:val="24"/>
        </w:rPr>
        <w:t>p</w:t>
      </w:r>
      <w:r>
        <w:rPr>
          <w:rFonts w:hint="eastAsia" w:ascii="Times New Roman" w:hAnsi="Times New Roman" w:cs="Times New Roman"/>
          <w:sz w:val="24"/>
        </w:rPr>
        <w:t xml:space="preserve"> &lt; 0.001 by Student</w:t>
      </w:r>
      <w:r>
        <w:rPr>
          <w:rFonts w:hint="default" w:ascii="Times New Roman" w:hAnsi="Times New Roman" w:cs="Times New Roman"/>
          <w:sz w:val="24"/>
          <w:lang w:val="en-US"/>
        </w:rPr>
        <w:t>’</w:t>
      </w:r>
      <w:r>
        <w:rPr>
          <w:rFonts w:hint="eastAsia" w:ascii="Times New Roman" w:hAnsi="Times New Roman" w:cs="Times New Roman"/>
          <w:sz w:val="24"/>
        </w:rPr>
        <w:t>s t test.</w:t>
      </w:r>
    </w:p>
    <w:p w14:paraId="248E05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(D, G and H)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Representative images (D) and quantified results (G and H) of </w:t>
      </w:r>
      <w:r>
        <w:rPr>
          <w:rFonts w:hint="eastAsia" w:ascii="Times New Roman" w:hAnsi="Times New Roman" w:cs="Times New Roman"/>
          <w:sz w:val="24"/>
        </w:rPr>
        <w:t>col</w:t>
      </w:r>
      <w:r>
        <w:rPr>
          <w:rFonts w:ascii="Times New Roman" w:hAnsi="Times New Roman" w:cs="Times New Roman"/>
          <w:sz w:val="24"/>
        </w:rPr>
        <w:t>ony formation assays in the indicated cells.</w:t>
      </w:r>
      <w:r>
        <w:rPr>
          <w:rFonts w:hint="default" w:ascii="Times New Roman" w:hAnsi="Times New Roman" w:cs="Times New Roman"/>
          <w:sz w:val="24"/>
          <w:lang w:val="en-US"/>
        </w:rPr>
        <w:t xml:space="preserve"> </w:t>
      </w:r>
      <w:r>
        <w:rPr>
          <w:rFonts w:hint="eastAsia" w:ascii="Times New Roman" w:hAnsi="Times New Roman" w:cs="Times New Roman"/>
          <w:sz w:val="24"/>
        </w:rPr>
        <w:t xml:space="preserve">n = </w:t>
      </w:r>
      <w:r>
        <w:rPr>
          <w:rFonts w:hint="default" w:ascii="Times New Roman" w:hAnsi="Times New Roman" w:cs="Times New Roman"/>
          <w:sz w:val="24"/>
          <w:lang w:val="en-US"/>
        </w:rPr>
        <w:t>3</w:t>
      </w:r>
      <w:r>
        <w:rPr>
          <w:rFonts w:hint="eastAsia" w:ascii="Times New Roman" w:hAnsi="Times New Roman" w:cs="Times New Roman"/>
          <w:sz w:val="24"/>
        </w:rPr>
        <w:t xml:space="preserve"> biological replicates per group. *</w:t>
      </w:r>
      <w:r>
        <w:rPr>
          <w:rFonts w:hint="default" w:ascii="Times New Roman Italic" w:hAnsi="Times New Roman Italic" w:cs="Times New Roman Italic"/>
          <w:i/>
          <w:iCs/>
          <w:sz w:val="24"/>
        </w:rPr>
        <w:t>p</w:t>
      </w:r>
      <w:r>
        <w:rPr>
          <w:rFonts w:hint="eastAsia" w:ascii="Times New Roman" w:hAnsi="Times New Roman" w:cs="Times New Roman"/>
          <w:sz w:val="24"/>
        </w:rPr>
        <w:t xml:space="preserve"> &lt; 0.05, **</w:t>
      </w:r>
      <w:r>
        <w:rPr>
          <w:rFonts w:hint="default" w:ascii="Times New Roman Italic" w:hAnsi="Times New Roman Italic" w:cs="Times New Roman Italic"/>
          <w:i/>
          <w:iCs/>
          <w:sz w:val="24"/>
        </w:rPr>
        <w:t>p</w:t>
      </w:r>
      <w:r>
        <w:rPr>
          <w:rFonts w:hint="eastAsia" w:ascii="Times New Roman" w:hAnsi="Times New Roman" w:cs="Times New Roman"/>
          <w:sz w:val="24"/>
        </w:rPr>
        <w:t xml:space="preserve"> &lt; 0.01, ***</w:t>
      </w:r>
      <w:r>
        <w:rPr>
          <w:rFonts w:hint="default" w:ascii="Times New Roman Italic" w:hAnsi="Times New Roman Italic" w:cs="Times New Roman Italic"/>
          <w:i/>
          <w:iCs/>
          <w:sz w:val="24"/>
        </w:rPr>
        <w:t>p</w:t>
      </w:r>
      <w:r>
        <w:rPr>
          <w:rFonts w:hint="eastAsia" w:ascii="Times New Roman" w:hAnsi="Times New Roman" w:cs="Times New Roman"/>
          <w:sz w:val="24"/>
        </w:rPr>
        <w:t xml:space="preserve"> &lt; 0.001 by Studen</w:t>
      </w:r>
      <w:r>
        <w:rPr>
          <w:rFonts w:hint="default" w:ascii="Times New Roman" w:hAnsi="Times New Roman" w:cs="Times New Roman"/>
          <w:sz w:val="24"/>
          <w:lang w:val="en-US"/>
        </w:rPr>
        <w:t>t’</w:t>
      </w:r>
      <w:r>
        <w:rPr>
          <w:rFonts w:hint="eastAsia" w:ascii="Times New Roman" w:hAnsi="Times New Roman" w:cs="Times New Roman"/>
          <w:sz w:val="24"/>
        </w:rPr>
        <w:t>s t test.</w:t>
      </w:r>
    </w:p>
    <w:p w14:paraId="3A74B6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</w:p>
    <w:p w14:paraId="0F70E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</w:p>
    <w:p w14:paraId="3B4D4A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</w:p>
    <w:p w14:paraId="7230AD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</w:p>
    <w:p w14:paraId="73D1A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  <w:lang w:val="en-US"/>
        </w:rPr>
        <w:drawing>
          <wp:inline distT="0" distB="0" distL="114300" distR="114300">
            <wp:extent cx="5268595" cy="6995795"/>
            <wp:effectExtent l="0" t="0" r="14605" b="14605"/>
            <wp:docPr id="3" name="图片 3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99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50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Figure S3. Identification of the global lysine lactylome and acetylome in UM-UC-3 cells by HPLC-MS/MS.</w:t>
      </w:r>
    </w:p>
    <w:p w14:paraId="2CFB07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(A and F) PCA analysis of HDAC2-targeted Kac (A) and Kla (F) sites in </w:t>
      </w:r>
      <w:r>
        <w:rPr>
          <w:rFonts w:hint="eastAsia" w:ascii="Times New Roman" w:hAnsi="Times New Roman" w:cs="Times New Roman"/>
          <w:sz w:val="24"/>
        </w:rPr>
        <w:t>vector and HDAC2-overexpressing UM-UC-3 cells.</w:t>
      </w:r>
    </w:p>
    <w:p w14:paraId="2556D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(B and G) Volcano plot of differentially acetylated (B) and lactylated (G) sites between the </w:t>
      </w:r>
      <w:r>
        <w:rPr>
          <w:rFonts w:hint="eastAsia" w:ascii="Times New Roman" w:hAnsi="Times New Roman" w:cs="Times New Roman"/>
          <w:sz w:val="24"/>
        </w:rPr>
        <w:t>vector and HDAC2-overexpressing UM-UC-3 cells.</w:t>
      </w:r>
    </w:p>
    <w:p w14:paraId="7A55B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(C and H) Summary of mass spectrometry secondary spectrum in the acetylome (C) and lactylome (H).</w:t>
      </w:r>
    </w:p>
    <w:p w14:paraId="7DE72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(D and I) Subcellular location of up-regulated acetylated (D) and lactylated (I) proteins.</w:t>
      </w:r>
    </w:p>
    <w:p w14:paraId="68AA4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(E and J) Subcellular location of down-regulated acetylated (E) and lactylated (J) proteins.</w:t>
      </w:r>
    </w:p>
    <w:p w14:paraId="45060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</w:p>
    <w:p w14:paraId="40BF6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</w:p>
    <w:p w14:paraId="14144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 w:eastAsiaTheme="minorEastAsia"/>
          <w:sz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lang w:val="en-US" w:eastAsia="zh-CN"/>
        </w:rPr>
        <w:drawing>
          <wp:inline distT="0" distB="0" distL="114300" distR="114300">
            <wp:extent cx="5268595" cy="6774815"/>
            <wp:effectExtent l="0" t="0" r="14605" b="6985"/>
            <wp:docPr id="2" name="图片 2" descr="Figure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77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6E5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lang w:val="en-US"/>
        </w:rPr>
        <w:t>F</w:t>
      </w:r>
      <w:r>
        <w:rPr>
          <w:rFonts w:hint="eastAsia" w:ascii="Times New Roman" w:hAnsi="Times New Roman" w:cs="Times New Roman"/>
          <w:sz w:val="24"/>
          <w:lang w:val="en-US" w:eastAsia="zh-CN"/>
        </w:rPr>
        <w:t>igure</w:t>
      </w:r>
      <w:r>
        <w:rPr>
          <w:rFonts w:hint="default" w:ascii="Times New Roman" w:hAnsi="Times New Roman" w:cs="Times New Roman"/>
          <w:sz w:val="24"/>
          <w:lang w:val="en-US" w:eastAsia="zh-CN"/>
        </w:rPr>
        <w:t xml:space="preserve"> S4. Overexpression of </w:t>
      </w:r>
      <w:r>
        <w:rPr>
          <w:rFonts w:hint="default" w:ascii="Times New Roman Italic" w:hAnsi="Times New Roman Italic" w:cs="Times New Roman Italic"/>
          <w:i/>
          <w:iCs/>
          <w:sz w:val="24"/>
          <w:lang w:val="en-US" w:eastAsia="zh-CN"/>
        </w:rPr>
        <w:t>RPL9</w:t>
      </w:r>
      <w:r>
        <w:rPr>
          <w:rFonts w:hint="eastAsia" w:ascii="Times New Roman" w:hAnsi="Times New Roman" w:cs="Times New Roman"/>
          <w:sz w:val="24"/>
          <w:lang w:val="en-US" w:eastAsia="zh-CN"/>
        </w:rPr>
        <w:t>-222</w:t>
      </w:r>
      <w:r>
        <w:rPr>
          <w:rFonts w:hint="default" w:ascii="Times New Roman" w:hAnsi="Times New Roman" w:cs="Times New Roman"/>
          <w:sz w:val="24"/>
          <w:lang w:val="en-US" w:eastAsia="zh-CN"/>
        </w:rPr>
        <w:t xml:space="preserve"> reverses the oncogenic role of DHX15-K17 delactylation.</w:t>
      </w:r>
    </w:p>
    <w:p w14:paraId="2CE6ED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lang w:val="en-US"/>
        </w:rPr>
      </w:pPr>
      <w:r>
        <w:rPr>
          <w:rFonts w:hint="default" w:ascii="Times New Roman" w:hAnsi="Times New Roman" w:cs="Times New Roman"/>
          <w:sz w:val="24"/>
          <w:lang w:val="en-US"/>
        </w:rPr>
        <w:t xml:space="preserve">(A and B) qRT-PCR </w:t>
      </w:r>
      <w:r>
        <w:rPr>
          <w:rFonts w:ascii="Times New Roman" w:hAnsi="Times New Roman" w:cs="Times New Roman"/>
          <w:sz w:val="24"/>
        </w:rPr>
        <w:t xml:space="preserve">analysis of </w:t>
      </w:r>
      <w:r>
        <w:rPr>
          <w:rFonts w:hint="default" w:ascii="Times New Roman" w:hAnsi="Times New Roman" w:cs="Times New Roman"/>
          <w:sz w:val="24"/>
          <w:lang w:val="en-US"/>
        </w:rPr>
        <w:t xml:space="preserve">DHX15-WT and DHX15-K17R </w:t>
      </w:r>
      <w:r>
        <w:rPr>
          <w:rFonts w:ascii="Times New Roman" w:hAnsi="Times New Roman" w:cs="Times New Roman"/>
          <w:sz w:val="24"/>
        </w:rPr>
        <w:t>overexpression in</w:t>
      </w:r>
      <w:r>
        <w:rPr>
          <w:rFonts w:hint="default"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</w:rPr>
        <w:t>UM-UC-3</w:t>
      </w:r>
      <w:r>
        <w:rPr>
          <w:rFonts w:hint="default" w:ascii="Times New Roman" w:hAnsi="Times New Roman" w:cs="Times New Roman"/>
          <w:sz w:val="24"/>
          <w:lang w:val="en-US"/>
        </w:rPr>
        <w:t xml:space="preserve"> (A) and T24 (B) </w:t>
      </w:r>
      <w:r>
        <w:rPr>
          <w:rFonts w:ascii="Times New Roman" w:hAnsi="Times New Roman" w:cs="Times New Roman"/>
          <w:sz w:val="24"/>
        </w:rPr>
        <w:t>cells.</w:t>
      </w:r>
      <w:r>
        <w:rPr>
          <w:rFonts w:hint="default" w:ascii="Times New Roman" w:hAnsi="Times New Roman" w:cs="Times New Roman"/>
          <w:sz w:val="24"/>
          <w:lang w:val="en-US"/>
        </w:rPr>
        <w:t xml:space="preserve"> </w:t>
      </w:r>
      <w:r>
        <w:rPr>
          <w:rFonts w:hint="eastAsia" w:ascii="Times New Roman" w:hAnsi="Times New Roman" w:cs="Times New Roman"/>
          <w:sz w:val="24"/>
        </w:rPr>
        <w:t xml:space="preserve">n = </w:t>
      </w:r>
      <w:r>
        <w:rPr>
          <w:rFonts w:hint="default" w:ascii="Times New Roman" w:hAnsi="Times New Roman" w:cs="Times New Roman"/>
          <w:sz w:val="24"/>
          <w:lang w:val="en-US"/>
        </w:rPr>
        <w:t>3</w:t>
      </w:r>
      <w:r>
        <w:rPr>
          <w:rFonts w:hint="eastAsia" w:ascii="Times New Roman" w:hAnsi="Times New Roman" w:cs="Times New Roman"/>
          <w:sz w:val="24"/>
        </w:rPr>
        <w:t xml:space="preserve"> biological replicates per group. </w:t>
      </w:r>
      <w:r>
        <w:rPr>
          <w:rFonts w:hint="default" w:ascii="Times New Roman" w:hAnsi="Times New Roman" w:cs="Times New Roman"/>
          <w:sz w:val="24"/>
          <w:lang w:val="en-US" w:eastAsia="zh-CN"/>
        </w:rPr>
        <w:t xml:space="preserve">ns: </w:t>
      </w:r>
      <w:r>
        <w:rPr>
          <w:rFonts w:hint="default" w:ascii="Times New Roman Italic" w:hAnsi="Times New Roman Italic" w:cs="Times New Roman Italic"/>
          <w:i/>
          <w:iCs/>
          <w:sz w:val="24"/>
          <w:lang w:val="en-US" w:eastAsia="zh-CN"/>
        </w:rPr>
        <w:t>p</w:t>
      </w:r>
      <w:r>
        <w:rPr>
          <w:rFonts w:hint="default" w:ascii="Times New Roman" w:hAnsi="Times New Roman" w:cs="Times New Roman"/>
          <w:sz w:val="24"/>
          <w:lang w:val="en-US" w:eastAsia="zh-CN"/>
        </w:rPr>
        <w:t xml:space="preserve"> &gt; 0.05, </w:t>
      </w:r>
      <w:r>
        <w:rPr>
          <w:rFonts w:hint="eastAsia" w:ascii="Times New Roman" w:hAnsi="Times New Roman" w:cs="Times New Roman"/>
          <w:sz w:val="24"/>
        </w:rPr>
        <w:t>***</w:t>
      </w:r>
      <w:r>
        <w:rPr>
          <w:rFonts w:hint="default" w:ascii="Times New Roman Italic" w:hAnsi="Times New Roman Italic" w:cs="Times New Roman Italic"/>
          <w:i/>
          <w:iCs/>
          <w:sz w:val="24"/>
        </w:rPr>
        <w:t>p</w:t>
      </w:r>
      <w:r>
        <w:rPr>
          <w:rFonts w:hint="eastAsia" w:ascii="Times New Roman" w:hAnsi="Times New Roman" w:cs="Times New Roman"/>
          <w:sz w:val="24"/>
        </w:rPr>
        <w:t xml:space="preserve"> &lt; 0.001 by Student</w:t>
      </w:r>
      <w:r>
        <w:rPr>
          <w:rFonts w:hint="default" w:ascii="Times New Roman" w:hAnsi="Times New Roman" w:cs="Times New Roman"/>
          <w:sz w:val="24"/>
          <w:lang w:val="en-US"/>
        </w:rPr>
        <w:t>’</w:t>
      </w:r>
      <w:r>
        <w:rPr>
          <w:rFonts w:hint="eastAsia" w:ascii="Times New Roman" w:hAnsi="Times New Roman" w:cs="Times New Roman"/>
          <w:sz w:val="24"/>
        </w:rPr>
        <w:t>s t test.</w:t>
      </w:r>
    </w:p>
    <w:p w14:paraId="3EC77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  <w:lang w:val="en-US"/>
        </w:rPr>
        <w:t xml:space="preserve">(C and D) </w:t>
      </w:r>
      <w:r>
        <w:rPr>
          <w:rFonts w:ascii="Times New Roman" w:hAnsi="Times New Roman" w:cs="Times New Roman"/>
          <w:sz w:val="24"/>
        </w:rPr>
        <w:t>Western blot</w:t>
      </w:r>
      <w:r>
        <w:rPr>
          <w:rFonts w:hint="default"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analysis of </w:t>
      </w:r>
      <w:r>
        <w:rPr>
          <w:rFonts w:hint="default" w:ascii="Times New Roman" w:hAnsi="Times New Roman" w:cs="Times New Roman"/>
          <w:sz w:val="24"/>
          <w:lang w:val="en-US"/>
        </w:rPr>
        <w:t xml:space="preserve">DHX15-WT and DHX15-K17R </w:t>
      </w:r>
      <w:r>
        <w:rPr>
          <w:rFonts w:ascii="Times New Roman" w:hAnsi="Times New Roman" w:cs="Times New Roman"/>
          <w:sz w:val="24"/>
        </w:rPr>
        <w:t>overexpression in</w:t>
      </w:r>
      <w:r>
        <w:rPr>
          <w:rFonts w:hint="default"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</w:rPr>
        <w:t>UM-UC-3</w:t>
      </w:r>
      <w:r>
        <w:rPr>
          <w:rFonts w:hint="default" w:ascii="Times New Roman" w:hAnsi="Times New Roman" w:cs="Times New Roman"/>
          <w:sz w:val="24"/>
          <w:lang w:val="en-US"/>
        </w:rPr>
        <w:t xml:space="preserve"> (C) and T24 (D) </w:t>
      </w:r>
      <w:r>
        <w:rPr>
          <w:rFonts w:ascii="Times New Roman" w:hAnsi="Times New Roman" w:cs="Times New Roman"/>
          <w:sz w:val="24"/>
        </w:rPr>
        <w:t>cells.</w:t>
      </w:r>
    </w:p>
    <w:p w14:paraId="7D206F3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lang w:val="en-US"/>
        </w:rPr>
      </w:pPr>
      <w:r>
        <w:rPr>
          <w:rFonts w:hint="default" w:ascii="Times New Roman" w:hAnsi="Times New Roman" w:cs="Times New Roman"/>
          <w:sz w:val="24"/>
          <w:lang w:val="en-US"/>
        </w:rPr>
        <w:t>Heatmap displaying the differentially regulated transcripts between DHX15-WT and DHX15-K17R group.</w:t>
      </w:r>
    </w:p>
    <w:p w14:paraId="61261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lang w:val="en-US"/>
        </w:rPr>
      </w:pPr>
      <w:r>
        <w:rPr>
          <w:rFonts w:hint="default" w:ascii="Times New Roman" w:hAnsi="Times New Roman" w:cs="Times New Roman"/>
          <w:sz w:val="24"/>
          <w:lang w:val="en-US"/>
        </w:rPr>
        <w:t xml:space="preserve">(F and G) qRT-PCR </w:t>
      </w:r>
      <w:r>
        <w:rPr>
          <w:rFonts w:ascii="Times New Roman" w:hAnsi="Times New Roman" w:cs="Times New Roman"/>
          <w:sz w:val="24"/>
        </w:rPr>
        <w:t xml:space="preserve">analysis of </w:t>
      </w:r>
      <w:r>
        <w:rPr>
          <w:rFonts w:hint="default" w:ascii="Times New Roman Italic" w:hAnsi="Times New Roman Italic" w:cs="Times New Roman Italic"/>
          <w:i/>
          <w:iCs/>
          <w:sz w:val="24"/>
          <w:lang w:val="en-US"/>
        </w:rPr>
        <w:t>RPL9</w:t>
      </w:r>
      <w:r>
        <w:rPr>
          <w:rFonts w:hint="eastAsia" w:ascii="Times New Roman" w:hAnsi="Times New Roman" w:cs="Times New Roman"/>
          <w:sz w:val="24"/>
          <w:lang w:val="en-US" w:eastAsia="zh-CN"/>
        </w:rPr>
        <w:t>-222</w:t>
      </w:r>
      <w:r>
        <w:rPr>
          <w:rFonts w:hint="default"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</w:rPr>
        <w:t>overexpression in</w:t>
      </w:r>
      <w:r>
        <w:rPr>
          <w:rFonts w:hint="default"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</w:rPr>
        <w:t>UM-UC-3</w:t>
      </w:r>
      <w:r>
        <w:rPr>
          <w:rFonts w:hint="default" w:ascii="Times New Roman" w:hAnsi="Times New Roman" w:cs="Times New Roman"/>
          <w:sz w:val="24"/>
          <w:lang w:val="en-US"/>
        </w:rPr>
        <w:t xml:space="preserve"> (F) and T24 (G) </w:t>
      </w:r>
      <w:r>
        <w:rPr>
          <w:rFonts w:ascii="Times New Roman" w:hAnsi="Times New Roman" w:cs="Times New Roman"/>
          <w:sz w:val="24"/>
        </w:rPr>
        <w:t>cells.</w:t>
      </w:r>
      <w:r>
        <w:rPr>
          <w:rFonts w:hint="default" w:ascii="Times New Roman" w:hAnsi="Times New Roman" w:cs="Times New Roman"/>
          <w:sz w:val="24"/>
          <w:lang w:val="en-US"/>
        </w:rPr>
        <w:t xml:space="preserve"> </w:t>
      </w:r>
      <w:r>
        <w:rPr>
          <w:rFonts w:hint="eastAsia" w:ascii="Times New Roman" w:hAnsi="Times New Roman" w:cs="Times New Roman"/>
          <w:sz w:val="24"/>
        </w:rPr>
        <w:t xml:space="preserve">n = </w:t>
      </w:r>
      <w:r>
        <w:rPr>
          <w:rFonts w:hint="default" w:ascii="Times New Roman" w:hAnsi="Times New Roman" w:cs="Times New Roman"/>
          <w:sz w:val="24"/>
          <w:lang w:val="en-US"/>
        </w:rPr>
        <w:t>3</w:t>
      </w:r>
      <w:r>
        <w:rPr>
          <w:rFonts w:hint="eastAsia" w:ascii="Times New Roman" w:hAnsi="Times New Roman" w:cs="Times New Roman"/>
          <w:sz w:val="24"/>
        </w:rPr>
        <w:t xml:space="preserve"> biological replicates per group. ***</w:t>
      </w:r>
      <w:r>
        <w:rPr>
          <w:rFonts w:hint="default" w:ascii="Times New Roman Italic" w:hAnsi="Times New Roman Italic" w:cs="Times New Roman Italic"/>
          <w:i/>
          <w:iCs/>
          <w:sz w:val="24"/>
        </w:rPr>
        <w:t>p</w:t>
      </w:r>
      <w:r>
        <w:rPr>
          <w:rFonts w:hint="eastAsia" w:ascii="Times New Roman" w:hAnsi="Times New Roman" w:cs="Times New Roman"/>
          <w:sz w:val="24"/>
        </w:rPr>
        <w:t xml:space="preserve"> &lt; 0.001 by Student</w:t>
      </w:r>
      <w:r>
        <w:rPr>
          <w:rFonts w:hint="default" w:ascii="Times New Roman" w:hAnsi="Times New Roman" w:cs="Times New Roman"/>
          <w:sz w:val="24"/>
          <w:lang w:val="en-US"/>
        </w:rPr>
        <w:t>’</w:t>
      </w:r>
      <w:r>
        <w:rPr>
          <w:rFonts w:hint="eastAsia" w:ascii="Times New Roman" w:hAnsi="Times New Roman" w:cs="Times New Roman"/>
          <w:sz w:val="24"/>
        </w:rPr>
        <w:t>s t test.</w:t>
      </w:r>
    </w:p>
    <w:p w14:paraId="2CF56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  <w:lang w:val="en-US"/>
        </w:rPr>
        <w:t xml:space="preserve">(H and I) </w:t>
      </w:r>
      <w:r>
        <w:rPr>
          <w:rFonts w:ascii="Times New Roman" w:hAnsi="Times New Roman" w:cs="Times New Roman"/>
          <w:sz w:val="24"/>
        </w:rPr>
        <w:t>The proliferation capacity of UM-UC-3 (</w:t>
      </w:r>
      <w:r>
        <w:rPr>
          <w:rFonts w:hint="default" w:ascii="Times New Roman" w:hAnsi="Times New Roman" w:cs="Times New Roman"/>
          <w:sz w:val="24"/>
          <w:lang w:val="en-US"/>
        </w:rPr>
        <w:t>J</w:t>
      </w:r>
      <w:r>
        <w:rPr>
          <w:rFonts w:ascii="Times New Roman" w:hAnsi="Times New Roman" w:cs="Times New Roman"/>
          <w:sz w:val="24"/>
        </w:rPr>
        <w:t>) and T24 (</w:t>
      </w:r>
      <w:r>
        <w:rPr>
          <w:rFonts w:hint="default" w:ascii="Times New Roman" w:hAnsi="Times New Roman" w:cs="Times New Roman"/>
          <w:sz w:val="24"/>
          <w:lang w:val="en-US"/>
        </w:rPr>
        <w:t>K</w:t>
      </w:r>
      <w:r>
        <w:rPr>
          <w:rFonts w:ascii="Times New Roman" w:hAnsi="Times New Roman" w:cs="Times New Roman"/>
          <w:sz w:val="24"/>
        </w:rPr>
        <w:t>) cells in the indicated groups examined by CCK-8 assays.</w:t>
      </w:r>
      <w:r>
        <w:rPr>
          <w:rFonts w:hint="default" w:ascii="Times New Roman" w:hAnsi="Times New Roman" w:cs="Times New Roman"/>
          <w:sz w:val="24"/>
          <w:lang w:val="en-US"/>
        </w:rPr>
        <w:t xml:space="preserve"> </w:t>
      </w:r>
      <w:r>
        <w:rPr>
          <w:rFonts w:hint="eastAsia" w:ascii="Times New Roman" w:hAnsi="Times New Roman" w:cs="Times New Roman"/>
          <w:sz w:val="24"/>
        </w:rPr>
        <w:t xml:space="preserve">n = </w:t>
      </w:r>
      <w:r>
        <w:rPr>
          <w:rFonts w:hint="default" w:ascii="Times New Roman" w:hAnsi="Times New Roman" w:cs="Times New Roman"/>
          <w:sz w:val="24"/>
          <w:lang w:val="en-US"/>
        </w:rPr>
        <w:t>3</w:t>
      </w:r>
      <w:r>
        <w:rPr>
          <w:rFonts w:hint="eastAsia" w:ascii="Times New Roman" w:hAnsi="Times New Roman" w:cs="Times New Roman"/>
          <w:sz w:val="24"/>
        </w:rPr>
        <w:t xml:space="preserve"> biological replicates per group. ***</w:t>
      </w:r>
      <w:r>
        <w:rPr>
          <w:rFonts w:hint="default" w:ascii="Times New Roman Italic" w:hAnsi="Times New Roman Italic" w:cs="Times New Roman Italic"/>
          <w:i/>
          <w:iCs/>
          <w:sz w:val="24"/>
        </w:rPr>
        <w:t>p</w:t>
      </w:r>
      <w:r>
        <w:rPr>
          <w:rFonts w:hint="eastAsia" w:ascii="Times New Roman" w:hAnsi="Times New Roman" w:cs="Times New Roman"/>
          <w:sz w:val="24"/>
        </w:rPr>
        <w:t xml:space="preserve"> &lt; 0.001 by Student</w:t>
      </w:r>
      <w:r>
        <w:rPr>
          <w:rFonts w:hint="default" w:ascii="Times New Roman" w:hAnsi="Times New Roman" w:cs="Times New Roman"/>
          <w:sz w:val="24"/>
          <w:lang w:val="en-US"/>
        </w:rPr>
        <w:t>’</w:t>
      </w:r>
      <w:r>
        <w:rPr>
          <w:rFonts w:hint="eastAsia" w:ascii="Times New Roman" w:hAnsi="Times New Roman" w:cs="Times New Roman"/>
          <w:sz w:val="24"/>
        </w:rPr>
        <w:t>s t test.</w:t>
      </w:r>
    </w:p>
    <w:p w14:paraId="06B2E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</w:t>
      </w:r>
      <w:r>
        <w:rPr>
          <w:rFonts w:hint="default" w:ascii="Times New Roman" w:hAnsi="Times New Roman" w:cs="Times New Roman"/>
          <w:sz w:val="24"/>
          <w:lang w:val="en-US"/>
        </w:rPr>
        <w:t>J-L</w:t>
      </w:r>
      <w:r>
        <w:rPr>
          <w:rFonts w:ascii="Times New Roman" w:hAnsi="Times New Roman" w:cs="Times New Roman"/>
          <w:sz w:val="24"/>
        </w:rPr>
        <w:t>) Representative images (</w:t>
      </w:r>
      <w:r>
        <w:rPr>
          <w:rFonts w:hint="default" w:ascii="Times New Roman" w:hAnsi="Times New Roman" w:cs="Times New Roman"/>
          <w:sz w:val="24"/>
          <w:lang w:val="en-US"/>
        </w:rPr>
        <w:t>L</w:t>
      </w:r>
      <w:r>
        <w:rPr>
          <w:rFonts w:ascii="Times New Roman" w:hAnsi="Times New Roman" w:cs="Times New Roman"/>
          <w:sz w:val="24"/>
        </w:rPr>
        <w:t>) and quantified results (</w:t>
      </w:r>
      <w:r>
        <w:rPr>
          <w:rFonts w:hint="default" w:ascii="Times New Roman" w:hAnsi="Times New Roman" w:cs="Times New Roman"/>
          <w:sz w:val="24"/>
          <w:lang w:val="en-US"/>
        </w:rPr>
        <w:t>M and N</w:t>
      </w:r>
      <w:r>
        <w:rPr>
          <w:rFonts w:ascii="Times New Roman" w:hAnsi="Times New Roman" w:cs="Times New Roman"/>
          <w:sz w:val="24"/>
        </w:rPr>
        <w:t xml:space="preserve">) of </w:t>
      </w:r>
      <w:r>
        <w:rPr>
          <w:rFonts w:hint="eastAsia" w:ascii="Times New Roman" w:hAnsi="Times New Roman" w:cs="Times New Roman"/>
          <w:sz w:val="24"/>
        </w:rPr>
        <w:t>col</w:t>
      </w:r>
      <w:r>
        <w:rPr>
          <w:rFonts w:ascii="Times New Roman" w:hAnsi="Times New Roman" w:cs="Times New Roman"/>
          <w:sz w:val="24"/>
        </w:rPr>
        <w:t xml:space="preserve">ony formation assays in the indicated cells. </w:t>
      </w:r>
      <w:r>
        <w:rPr>
          <w:rFonts w:hint="eastAsia" w:ascii="Times New Roman" w:hAnsi="Times New Roman" w:cs="Times New Roman"/>
          <w:sz w:val="24"/>
        </w:rPr>
        <w:t xml:space="preserve">n = </w:t>
      </w:r>
      <w:r>
        <w:rPr>
          <w:rFonts w:hint="default" w:ascii="Times New Roman" w:hAnsi="Times New Roman" w:cs="Times New Roman"/>
          <w:sz w:val="24"/>
          <w:lang w:val="en-US"/>
        </w:rPr>
        <w:t>3</w:t>
      </w:r>
      <w:r>
        <w:rPr>
          <w:rFonts w:hint="eastAsia" w:ascii="Times New Roman" w:hAnsi="Times New Roman" w:cs="Times New Roman"/>
          <w:sz w:val="24"/>
        </w:rPr>
        <w:t xml:space="preserve"> biological replicates per group. ***</w:t>
      </w:r>
      <w:r>
        <w:rPr>
          <w:rFonts w:hint="default" w:ascii="Times New Roman Italic" w:hAnsi="Times New Roman Italic" w:cs="Times New Roman Italic"/>
          <w:i/>
          <w:iCs/>
          <w:sz w:val="24"/>
        </w:rPr>
        <w:t>p</w:t>
      </w:r>
      <w:r>
        <w:rPr>
          <w:rFonts w:hint="eastAsia" w:ascii="Times New Roman" w:hAnsi="Times New Roman" w:cs="Times New Roman"/>
          <w:sz w:val="24"/>
        </w:rPr>
        <w:t xml:space="preserve"> &lt; 0.001</w:t>
      </w:r>
      <w:r>
        <w:rPr>
          <w:rFonts w:hint="default" w:ascii="Times New Roman" w:hAnsi="Times New Roman" w:cs="Times New Roman"/>
          <w:sz w:val="24"/>
          <w:lang w:val="en-US"/>
        </w:rPr>
        <w:t xml:space="preserve"> </w:t>
      </w:r>
      <w:r>
        <w:rPr>
          <w:rFonts w:hint="eastAsia" w:ascii="Times New Roman" w:hAnsi="Times New Roman" w:cs="Times New Roman"/>
          <w:sz w:val="24"/>
        </w:rPr>
        <w:t>by Student</w:t>
      </w:r>
      <w:r>
        <w:rPr>
          <w:rFonts w:hint="default" w:ascii="Times New Roman" w:hAnsi="Times New Roman" w:cs="Times New Roman"/>
          <w:sz w:val="24"/>
          <w:lang w:val="en-US"/>
        </w:rPr>
        <w:t>’</w:t>
      </w:r>
      <w:r>
        <w:rPr>
          <w:rFonts w:hint="eastAsia" w:ascii="Times New Roman" w:hAnsi="Times New Roman" w:cs="Times New Roman"/>
          <w:sz w:val="24"/>
        </w:rPr>
        <w:t>s t test.</w:t>
      </w:r>
    </w:p>
    <w:p w14:paraId="1A4872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  <w:lang w:val="en-US"/>
        </w:rPr>
        <w:t xml:space="preserve">(M-O) </w:t>
      </w:r>
      <w:r>
        <w:rPr>
          <w:rFonts w:ascii="Times New Roman" w:hAnsi="Times New Roman" w:cs="Times New Roman"/>
          <w:sz w:val="24"/>
        </w:rPr>
        <w:t>Representative images (</w:t>
      </w:r>
      <w:r>
        <w:rPr>
          <w:rFonts w:hint="default" w:ascii="Times New Roman" w:hAnsi="Times New Roman" w:cs="Times New Roman"/>
          <w:sz w:val="24"/>
          <w:lang w:val="en-US"/>
        </w:rPr>
        <w:t>O</w:t>
      </w:r>
      <w:r>
        <w:rPr>
          <w:rFonts w:ascii="Times New Roman" w:hAnsi="Times New Roman" w:cs="Times New Roman"/>
          <w:sz w:val="24"/>
        </w:rPr>
        <w:t>) and quantified results (</w:t>
      </w:r>
      <w:r>
        <w:rPr>
          <w:rFonts w:hint="default" w:ascii="Times New Roman" w:hAnsi="Times New Roman" w:cs="Times New Roman"/>
          <w:sz w:val="24"/>
          <w:lang w:val="en-US"/>
        </w:rPr>
        <w:t>P and Q</w:t>
      </w:r>
      <w:r>
        <w:rPr>
          <w:rFonts w:ascii="Times New Roman" w:hAnsi="Times New Roman" w:cs="Times New Roman"/>
          <w:sz w:val="24"/>
        </w:rPr>
        <w:t xml:space="preserve">) of transwell assays in the indicated cells. Scale bars, 300 μm. </w:t>
      </w:r>
      <w:r>
        <w:rPr>
          <w:rFonts w:hint="eastAsia" w:ascii="Times New Roman" w:hAnsi="Times New Roman" w:cs="Times New Roman"/>
          <w:sz w:val="24"/>
        </w:rPr>
        <w:t>n = 3 biological replicates per group. ***</w:t>
      </w:r>
      <w:r>
        <w:rPr>
          <w:rFonts w:hint="default" w:ascii="Times New Roman Italic" w:hAnsi="Times New Roman Italic" w:cs="Times New Roman Italic"/>
          <w:i/>
          <w:iCs/>
          <w:sz w:val="24"/>
        </w:rPr>
        <w:t>p</w:t>
      </w:r>
      <w:r>
        <w:rPr>
          <w:rFonts w:hint="eastAsia" w:ascii="Times New Roman" w:hAnsi="Times New Roman" w:cs="Times New Roman"/>
          <w:sz w:val="24"/>
        </w:rPr>
        <w:t xml:space="preserve"> &lt; 0.001 by Student</w:t>
      </w:r>
      <w:r>
        <w:rPr>
          <w:rFonts w:hint="default" w:ascii="Times New Roman" w:hAnsi="Times New Roman" w:cs="Times New Roman"/>
          <w:sz w:val="24"/>
          <w:lang w:val="en-US"/>
        </w:rPr>
        <w:t>’</w:t>
      </w:r>
      <w:r>
        <w:rPr>
          <w:rFonts w:hint="eastAsia" w:ascii="Times New Roman" w:hAnsi="Times New Roman" w:cs="Times New Roman"/>
          <w:sz w:val="24"/>
        </w:rPr>
        <w:t>s t test.</w:t>
      </w:r>
    </w:p>
    <w:p w14:paraId="34860A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</w:rPr>
        <w:t>(</w:t>
      </w:r>
      <w:r>
        <w:rPr>
          <w:rFonts w:hint="default" w:ascii="Times New Roman" w:hAnsi="Times New Roman" w:cs="Times New Roman"/>
          <w:sz w:val="24"/>
          <w:lang w:val="en-US"/>
        </w:rPr>
        <w:t>P-R</w:t>
      </w:r>
      <w:r>
        <w:rPr>
          <w:rFonts w:ascii="Times New Roman" w:hAnsi="Times New Roman" w:cs="Times New Roman"/>
          <w:sz w:val="24"/>
        </w:rPr>
        <w:t>) Representative images (</w:t>
      </w:r>
      <w:r>
        <w:rPr>
          <w:rFonts w:hint="default" w:ascii="Times New Roman" w:hAnsi="Times New Roman" w:cs="Times New Roman"/>
          <w:sz w:val="24"/>
          <w:lang w:val="en-US"/>
        </w:rPr>
        <w:t>R</w:t>
      </w:r>
      <w:r>
        <w:rPr>
          <w:rFonts w:ascii="Times New Roman" w:hAnsi="Times New Roman" w:cs="Times New Roman"/>
          <w:sz w:val="24"/>
        </w:rPr>
        <w:t>) and quantified results (</w:t>
      </w:r>
      <w:r>
        <w:rPr>
          <w:rFonts w:hint="default" w:ascii="Times New Roman" w:hAnsi="Times New Roman" w:cs="Times New Roman"/>
          <w:sz w:val="24"/>
          <w:lang w:val="en-US"/>
        </w:rPr>
        <w:t>S and T</w:t>
      </w:r>
      <w:r>
        <w:rPr>
          <w:rFonts w:ascii="Times New Roman" w:hAnsi="Times New Roman" w:cs="Times New Roman"/>
          <w:sz w:val="24"/>
        </w:rPr>
        <w:t xml:space="preserve">) of </w:t>
      </w:r>
      <w:r>
        <w:rPr>
          <w:rFonts w:hint="default" w:ascii="Times New Roman" w:hAnsi="Times New Roman" w:cs="Times New Roman"/>
          <w:sz w:val="24"/>
          <w:lang w:val="en-US"/>
        </w:rPr>
        <w:t>apoptotic</w:t>
      </w:r>
      <w:r>
        <w:rPr>
          <w:rFonts w:ascii="Times New Roman" w:hAnsi="Times New Roman" w:cs="Times New Roman"/>
          <w:sz w:val="24"/>
        </w:rPr>
        <w:t xml:space="preserve"> assays</w:t>
      </w:r>
      <w:r>
        <w:rPr>
          <w:rFonts w:hint="default"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</w:rPr>
        <w:t>in the indicated cells</w:t>
      </w:r>
      <w:r>
        <w:rPr>
          <w:rFonts w:hint="default" w:ascii="Times New Roman" w:hAnsi="Times New Roman" w:cs="Times New Roman"/>
          <w:sz w:val="24"/>
          <w:lang w:val="en-US"/>
        </w:rPr>
        <w:t xml:space="preserve"> by f</w:t>
      </w:r>
      <w:r>
        <w:rPr>
          <w:rFonts w:ascii="Times New Roman" w:hAnsi="Times New Roman" w:cs="Times New Roman"/>
          <w:sz w:val="24"/>
        </w:rPr>
        <w:t>low cytometry</w:t>
      </w:r>
      <w:r>
        <w:rPr>
          <w:rFonts w:hint="default" w:ascii="Times New Roman" w:hAnsi="Times New Roman" w:cs="Times New Roman"/>
          <w:sz w:val="24"/>
          <w:lang w:val="en-US"/>
        </w:rPr>
        <w:t xml:space="preserve"> analysis</w:t>
      </w:r>
      <w:r>
        <w:rPr>
          <w:rFonts w:ascii="Times New Roman" w:hAnsi="Times New Roman" w:cs="Times New Roman"/>
          <w:sz w:val="24"/>
        </w:rPr>
        <w:t>.</w:t>
      </w:r>
      <w:r>
        <w:rPr>
          <w:rFonts w:hint="default" w:ascii="Times New Roman" w:hAnsi="Times New Roman" w:cs="Times New Roman"/>
          <w:sz w:val="24"/>
          <w:lang w:val="en-US"/>
        </w:rPr>
        <w:t xml:space="preserve"> </w:t>
      </w:r>
      <w:r>
        <w:rPr>
          <w:rFonts w:hint="eastAsia" w:ascii="Times New Roman" w:hAnsi="Times New Roman" w:cs="Times New Roman"/>
          <w:sz w:val="24"/>
        </w:rPr>
        <w:t xml:space="preserve">n = </w:t>
      </w:r>
      <w:r>
        <w:rPr>
          <w:rFonts w:hint="default" w:ascii="Times New Roman" w:hAnsi="Times New Roman" w:cs="Times New Roman"/>
          <w:sz w:val="24"/>
          <w:lang w:val="en-US"/>
        </w:rPr>
        <w:t>3</w:t>
      </w:r>
      <w:r>
        <w:rPr>
          <w:rFonts w:hint="eastAsia" w:ascii="Times New Roman" w:hAnsi="Times New Roman" w:cs="Times New Roman"/>
          <w:sz w:val="24"/>
        </w:rPr>
        <w:t xml:space="preserve"> biological replicates per group.</w:t>
      </w:r>
      <w:r>
        <w:rPr>
          <w:rFonts w:hint="default" w:ascii="Times New Roman" w:hAnsi="Times New Roman" w:cs="Times New Roman"/>
          <w:sz w:val="24"/>
          <w:lang w:val="en-US"/>
        </w:rPr>
        <w:t xml:space="preserve"> </w:t>
      </w:r>
      <w:r>
        <w:rPr>
          <w:rFonts w:hint="eastAsia" w:ascii="Times New Roman" w:hAnsi="Times New Roman" w:cs="Times New Roman"/>
          <w:sz w:val="24"/>
        </w:rPr>
        <w:t>**</w:t>
      </w:r>
      <w:r>
        <w:rPr>
          <w:rFonts w:hint="default" w:ascii="Times New Roman Italic" w:hAnsi="Times New Roman Italic" w:cs="Times New Roman Italic"/>
          <w:i/>
          <w:iCs/>
          <w:sz w:val="24"/>
        </w:rPr>
        <w:t>p</w:t>
      </w:r>
      <w:r>
        <w:rPr>
          <w:rFonts w:hint="eastAsia" w:ascii="Times New Roman" w:hAnsi="Times New Roman" w:cs="Times New Roman"/>
          <w:sz w:val="24"/>
        </w:rPr>
        <w:t xml:space="preserve"> &lt; 0.01 by Student</w:t>
      </w:r>
      <w:r>
        <w:rPr>
          <w:rFonts w:hint="default" w:ascii="Times New Roman" w:hAnsi="Times New Roman" w:cs="Times New Roman"/>
          <w:sz w:val="24"/>
          <w:lang w:val="en-US"/>
        </w:rPr>
        <w:t>’</w:t>
      </w:r>
      <w:r>
        <w:rPr>
          <w:rFonts w:hint="eastAsia" w:ascii="Times New Roman" w:hAnsi="Times New Roman" w:cs="Times New Roman"/>
          <w:sz w:val="24"/>
        </w:rPr>
        <w:t>s t test</w:t>
      </w:r>
      <w:r>
        <w:rPr>
          <w:rFonts w:hint="default" w:ascii="Times New Roman" w:hAnsi="Times New Roman" w:cs="Times New Roman"/>
          <w:sz w:val="24"/>
          <w:lang w:val="en-US"/>
        </w:rPr>
        <w:t>.</w:t>
      </w:r>
    </w:p>
    <w:p w14:paraId="5CAAA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</w:rPr>
      </w:pPr>
    </w:p>
    <w:p w14:paraId="41DE67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</w:rPr>
      </w:pPr>
    </w:p>
    <w:p w14:paraId="0BDE9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</w:p>
    <w:p w14:paraId="7DFEE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</w:p>
    <w:p w14:paraId="7FCCA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Table S1 The sequences of qRT-PCR primer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9"/>
        <w:gridCol w:w="2101"/>
        <w:gridCol w:w="4432"/>
      </w:tblGrid>
      <w:tr w14:paraId="0600C8E5">
        <w:tc>
          <w:tcPr>
            <w:tcW w:w="1989" w:type="dxa"/>
          </w:tcPr>
          <w:p w14:paraId="54061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ascii="Times New Roman" w:hAnsi="Times New Roman" w:cs="Times New Roman"/>
                <w:sz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G</w:t>
            </w: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ene</w:t>
            </w: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  <w:t xml:space="preserve"> symbol</w:t>
            </w:r>
          </w:p>
        </w:tc>
        <w:tc>
          <w:tcPr>
            <w:tcW w:w="2101" w:type="dxa"/>
          </w:tcPr>
          <w:p w14:paraId="68CA4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Sequence (5'-&gt;3')</w:t>
            </w:r>
          </w:p>
        </w:tc>
        <w:tc>
          <w:tcPr>
            <w:tcW w:w="4432" w:type="dxa"/>
          </w:tcPr>
          <w:p w14:paraId="08D3A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ascii="Times New Roman" w:hAnsi="Times New Roman" w:cs="Times New Roman"/>
                <w:sz w:val="24"/>
                <w:vertAlign w:val="baseline"/>
              </w:rPr>
            </w:pPr>
          </w:p>
        </w:tc>
      </w:tr>
      <w:tr w14:paraId="5FE928B9">
        <w:tc>
          <w:tcPr>
            <w:tcW w:w="1989" w:type="dxa"/>
            <w:vMerge w:val="restart"/>
          </w:tcPr>
          <w:p w14:paraId="15E98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 Italic" w:hAnsi="Times New Roman Italic" w:cs="Times New Roman Italic"/>
                <w:i/>
                <w:iCs/>
                <w:sz w:val="24"/>
                <w:vertAlign w:val="baseline"/>
                <w:lang w:val="en-US" w:eastAsia="zh-CN"/>
              </w:rPr>
              <w:t>ACTB</w:t>
            </w:r>
          </w:p>
        </w:tc>
        <w:tc>
          <w:tcPr>
            <w:tcW w:w="2101" w:type="dxa"/>
          </w:tcPr>
          <w:p w14:paraId="1C2E7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Forward primer</w:t>
            </w:r>
          </w:p>
        </w:tc>
        <w:tc>
          <w:tcPr>
            <w:tcW w:w="4432" w:type="dxa"/>
          </w:tcPr>
          <w:p w14:paraId="1396F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CATGTACGTTGCTATCCAGGC</w:t>
            </w:r>
          </w:p>
        </w:tc>
      </w:tr>
      <w:tr w14:paraId="377FD75C">
        <w:tc>
          <w:tcPr>
            <w:tcW w:w="1989" w:type="dxa"/>
            <w:vMerge w:val="continue"/>
          </w:tcPr>
          <w:p w14:paraId="03C39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ascii="Times New Roman" w:hAnsi="Times New Roman" w:cs="Times New Roman"/>
                <w:sz w:val="24"/>
                <w:vertAlign w:val="baseline"/>
              </w:rPr>
            </w:pPr>
          </w:p>
        </w:tc>
        <w:tc>
          <w:tcPr>
            <w:tcW w:w="2101" w:type="dxa"/>
          </w:tcPr>
          <w:p w14:paraId="40CF2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Reverse primer</w:t>
            </w:r>
          </w:p>
        </w:tc>
        <w:tc>
          <w:tcPr>
            <w:tcW w:w="4432" w:type="dxa"/>
            <w:shd w:val="clear" w:color="auto" w:fill="auto"/>
            <w:vAlign w:val="top"/>
          </w:tcPr>
          <w:p w14:paraId="02F7E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CTCCTTAATGTCACGCACGAT</w:t>
            </w:r>
          </w:p>
        </w:tc>
      </w:tr>
      <w:tr w14:paraId="4E72EDDD">
        <w:tc>
          <w:tcPr>
            <w:tcW w:w="1989" w:type="dxa"/>
            <w:vMerge w:val="restart"/>
          </w:tcPr>
          <w:p w14:paraId="3824C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 Italic" w:hAnsi="Times New Roman Italic" w:cs="Times New Roman Italic"/>
                <w:i/>
                <w:iCs/>
                <w:sz w:val="24"/>
                <w:vertAlign w:val="baseline"/>
                <w:lang w:val="en-US" w:eastAsia="zh-CN"/>
              </w:rPr>
              <w:t>HDAC2</w:t>
            </w:r>
          </w:p>
        </w:tc>
        <w:tc>
          <w:tcPr>
            <w:tcW w:w="2101" w:type="dxa"/>
            <w:shd w:val="clear" w:color="auto" w:fill="auto"/>
            <w:vAlign w:val="top"/>
          </w:tcPr>
          <w:p w14:paraId="1E6A4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Forward primer</w:t>
            </w:r>
          </w:p>
        </w:tc>
        <w:tc>
          <w:tcPr>
            <w:tcW w:w="4432" w:type="dxa"/>
            <w:shd w:val="clear" w:color="auto" w:fill="auto"/>
            <w:vAlign w:val="top"/>
          </w:tcPr>
          <w:p w14:paraId="7DE02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ATGGCGTACAGTCAAGGAGG</w:t>
            </w:r>
          </w:p>
        </w:tc>
      </w:tr>
      <w:tr w14:paraId="67452BA7">
        <w:trPr>
          <w:trHeight w:val="441" w:hRule="atLeast"/>
        </w:trPr>
        <w:tc>
          <w:tcPr>
            <w:tcW w:w="1989" w:type="dxa"/>
            <w:vMerge w:val="continue"/>
          </w:tcPr>
          <w:p w14:paraId="1A091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ascii="Times New Roman" w:hAnsi="Times New Roman" w:cs="Times New Roman"/>
                <w:sz w:val="24"/>
                <w:vertAlign w:val="baseline"/>
              </w:rPr>
            </w:pPr>
          </w:p>
        </w:tc>
        <w:tc>
          <w:tcPr>
            <w:tcW w:w="2101" w:type="dxa"/>
            <w:shd w:val="clear" w:color="auto" w:fill="auto"/>
            <w:vAlign w:val="top"/>
          </w:tcPr>
          <w:p w14:paraId="31318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Reverse primer</w:t>
            </w:r>
          </w:p>
        </w:tc>
        <w:tc>
          <w:tcPr>
            <w:tcW w:w="4432" w:type="dxa"/>
            <w:shd w:val="clear" w:color="auto" w:fill="auto"/>
            <w:vAlign w:val="top"/>
          </w:tcPr>
          <w:p w14:paraId="396D6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TGCGGATTCTATGAGGCTTCA</w:t>
            </w:r>
          </w:p>
        </w:tc>
      </w:tr>
      <w:tr w14:paraId="467B560A">
        <w:tc>
          <w:tcPr>
            <w:tcW w:w="1989" w:type="dxa"/>
            <w:vMerge w:val="restart"/>
          </w:tcPr>
          <w:p w14:paraId="2F66C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 Italic" w:hAnsi="Times New Roman Italic" w:cs="Times New Roman Italic"/>
                <w:i/>
                <w:iCs/>
                <w:sz w:val="24"/>
                <w:vertAlign w:val="baseline"/>
                <w:lang w:val="en-US" w:eastAsia="zh-CN"/>
              </w:rPr>
              <w:t>GRIK2</w:t>
            </w:r>
          </w:p>
        </w:tc>
        <w:tc>
          <w:tcPr>
            <w:tcW w:w="2101" w:type="dxa"/>
            <w:shd w:val="clear" w:color="auto" w:fill="auto"/>
            <w:vAlign w:val="top"/>
          </w:tcPr>
          <w:p w14:paraId="38A60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Forward primer</w:t>
            </w:r>
          </w:p>
        </w:tc>
        <w:tc>
          <w:tcPr>
            <w:tcW w:w="4432" w:type="dxa"/>
            <w:shd w:val="clear" w:color="auto" w:fill="auto"/>
            <w:vAlign w:val="top"/>
          </w:tcPr>
          <w:p w14:paraId="203CF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TTCAGGCGCACCGTTAAACT</w:t>
            </w:r>
          </w:p>
        </w:tc>
      </w:tr>
      <w:tr w14:paraId="38AEFE51">
        <w:tc>
          <w:tcPr>
            <w:tcW w:w="1989" w:type="dxa"/>
            <w:vMerge w:val="continue"/>
          </w:tcPr>
          <w:p w14:paraId="04EE6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ascii="Times New Roman" w:hAnsi="Times New Roman" w:cs="Times New Roman"/>
                <w:sz w:val="24"/>
                <w:vertAlign w:val="baseline"/>
              </w:rPr>
            </w:pPr>
          </w:p>
        </w:tc>
        <w:tc>
          <w:tcPr>
            <w:tcW w:w="2101" w:type="dxa"/>
            <w:shd w:val="clear" w:color="auto" w:fill="auto"/>
            <w:vAlign w:val="top"/>
          </w:tcPr>
          <w:p w14:paraId="7E224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Reverse primer</w:t>
            </w:r>
          </w:p>
        </w:tc>
        <w:tc>
          <w:tcPr>
            <w:tcW w:w="4432" w:type="dxa"/>
            <w:shd w:val="clear" w:color="auto" w:fill="auto"/>
            <w:vAlign w:val="top"/>
          </w:tcPr>
          <w:p w14:paraId="2367A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GCTCCCATTGGGCCAGATT</w:t>
            </w: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ab/>
            </w:r>
          </w:p>
        </w:tc>
      </w:tr>
      <w:tr w14:paraId="7BD09834">
        <w:tc>
          <w:tcPr>
            <w:tcW w:w="1989" w:type="dxa"/>
            <w:vMerge w:val="restart"/>
          </w:tcPr>
          <w:p w14:paraId="24852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Times New Roman Italic" w:hAnsi="Times New Roman Italic" w:cs="Times New Roman Italic"/>
                <w:i/>
                <w:iCs/>
                <w:sz w:val="24"/>
                <w:vertAlign w:val="baseline"/>
                <w:lang w:val="en-US" w:eastAsia="zh-CN"/>
              </w:rPr>
              <w:t>GRIK2</w:t>
            </w:r>
            <w:r>
              <w:rPr>
                <w:rFonts w:hint="eastAsia" w:ascii="Times New Roman Italic" w:hAnsi="Times New Roman Italic" w:cs="Times New Roman Italic"/>
                <w:i/>
                <w:iCs/>
                <w:sz w:val="24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 Italic" w:hAnsi="Times New Roman Italic" w:cs="Times New Roman Italic"/>
                <w:i/>
                <w:iCs/>
                <w:sz w:val="24"/>
                <w:vertAlign w:val="baseline"/>
                <w:lang w:val="en-US" w:eastAsia="zh-CN"/>
              </w:rPr>
              <w:t>L</w:t>
            </w:r>
          </w:p>
        </w:tc>
        <w:tc>
          <w:tcPr>
            <w:tcW w:w="2101" w:type="dxa"/>
            <w:shd w:val="clear" w:color="auto" w:fill="auto"/>
            <w:vAlign w:val="top"/>
          </w:tcPr>
          <w:p w14:paraId="380CE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Forward primer</w:t>
            </w:r>
          </w:p>
        </w:tc>
        <w:tc>
          <w:tcPr>
            <w:tcW w:w="4432" w:type="dxa"/>
            <w:shd w:val="clear" w:color="auto" w:fill="auto"/>
            <w:vAlign w:val="top"/>
          </w:tcPr>
          <w:p w14:paraId="43C84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GCGGAACTGTAACCTGACAC</w:t>
            </w:r>
          </w:p>
        </w:tc>
      </w:tr>
      <w:tr w14:paraId="42E9AE88">
        <w:tc>
          <w:tcPr>
            <w:tcW w:w="1989" w:type="dxa"/>
            <w:vMerge w:val="continue"/>
          </w:tcPr>
          <w:p w14:paraId="368AA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ascii="Times New Roman" w:hAnsi="Times New Roman" w:cs="Times New Roman"/>
                <w:sz w:val="24"/>
                <w:vertAlign w:val="baseline"/>
              </w:rPr>
            </w:pPr>
          </w:p>
        </w:tc>
        <w:tc>
          <w:tcPr>
            <w:tcW w:w="2101" w:type="dxa"/>
            <w:shd w:val="clear" w:color="auto" w:fill="auto"/>
            <w:vAlign w:val="top"/>
          </w:tcPr>
          <w:p w14:paraId="1C881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Reverse primer</w:t>
            </w:r>
          </w:p>
        </w:tc>
        <w:tc>
          <w:tcPr>
            <w:tcW w:w="4432" w:type="dxa"/>
            <w:shd w:val="clear" w:color="auto" w:fill="auto"/>
            <w:vAlign w:val="top"/>
          </w:tcPr>
          <w:p w14:paraId="1C4EE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TCCTCTTCTGGGCAACCATT</w:t>
            </w:r>
          </w:p>
        </w:tc>
      </w:tr>
      <w:tr w14:paraId="76BF1ACA">
        <w:tc>
          <w:tcPr>
            <w:tcW w:w="1989" w:type="dxa"/>
            <w:vMerge w:val="restart"/>
          </w:tcPr>
          <w:p w14:paraId="28597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Times New Roman Italic" w:hAnsi="Times New Roman Italic" w:cs="Times New Roman Italic"/>
                <w:i/>
                <w:iCs/>
                <w:sz w:val="24"/>
                <w:vertAlign w:val="baseline"/>
                <w:lang w:val="en-US"/>
              </w:rPr>
              <w:t>GRIK2-S</w:t>
            </w:r>
          </w:p>
        </w:tc>
        <w:tc>
          <w:tcPr>
            <w:tcW w:w="2101" w:type="dxa"/>
            <w:shd w:val="clear" w:color="auto" w:fill="auto"/>
            <w:vAlign w:val="top"/>
          </w:tcPr>
          <w:p w14:paraId="2F95D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Forward primer</w:t>
            </w:r>
          </w:p>
        </w:tc>
        <w:tc>
          <w:tcPr>
            <w:tcW w:w="4432" w:type="dxa"/>
            <w:shd w:val="clear" w:color="auto" w:fill="auto"/>
            <w:vAlign w:val="top"/>
          </w:tcPr>
          <w:p w14:paraId="02967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CTGCAATGCTCTGGGAGTTC</w:t>
            </w:r>
          </w:p>
        </w:tc>
      </w:tr>
      <w:tr w14:paraId="337E2A65">
        <w:tc>
          <w:tcPr>
            <w:tcW w:w="1989" w:type="dxa"/>
            <w:vMerge w:val="continue"/>
          </w:tcPr>
          <w:p w14:paraId="32B30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ascii="Times New Roman" w:hAnsi="Times New Roman" w:cs="Times New Roman"/>
                <w:sz w:val="24"/>
                <w:vertAlign w:val="baseline"/>
              </w:rPr>
            </w:pPr>
          </w:p>
        </w:tc>
        <w:tc>
          <w:tcPr>
            <w:tcW w:w="2101" w:type="dxa"/>
            <w:shd w:val="clear" w:color="auto" w:fill="auto"/>
            <w:vAlign w:val="top"/>
          </w:tcPr>
          <w:p w14:paraId="52CD0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Reverse primer</w:t>
            </w:r>
          </w:p>
        </w:tc>
        <w:tc>
          <w:tcPr>
            <w:tcW w:w="4432" w:type="dxa"/>
            <w:shd w:val="clear" w:color="auto" w:fill="auto"/>
            <w:vAlign w:val="top"/>
          </w:tcPr>
          <w:p w14:paraId="611E0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ACGGCTGAGTGAAGAGAAGT</w:t>
            </w:r>
          </w:p>
        </w:tc>
      </w:tr>
      <w:tr w14:paraId="1C3CC54D">
        <w:tc>
          <w:tcPr>
            <w:tcW w:w="1989" w:type="dxa"/>
            <w:vMerge w:val="restart"/>
          </w:tcPr>
          <w:p w14:paraId="29856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 Italic" w:hAnsi="Times New Roman Italic" w:cs="Times New Roman Italic"/>
                <w:i/>
                <w:iCs/>
                <w:sz w:val="24"/>
                <w:vertAlign w:val="baseline"/>
                <w:lang w:val="en-US" w:eastAsia="zh-CN"/>
              </w:rPr>
              <w:t>DHX15</w:t>
            </w:r>
          </w:p>
        </w:tc>
        <w:tc>
          <w:tcPr>
            <w:tcW w:w="2101" w:type="dxa"/>
            <w:shd w:val="clear" w:color="auto" w:fill="auto"/>
            <w:vAlign w:val="top"/>
          </w:tcPr>
          <w:p w14:paraId="61999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Forward primer</w:t>
            </w:r>
          </w:p>
        </w:tc>
        <w:tc>
          <w:tcPr>
            <w:tcW w:w="4432" w:type="dxa"/>
            <w:shd w:val="clear" w:color="auto" w:fill="auto"/>
            <w:vAlign w:val="top"/>
          </w:tcPr>
          <w:p w14:paraId="2D77E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GGGGACCGATGGGAAGGAT</w:t>
            </w:r>
          </w:p>
        </w:tc>
      </w:tr>
      <w:tr w14:paraId="0D3F1472">
        <w:tc>
          <w:tcPr>
            <w:tcW w:w="1989" w:type="dxa"/>
            <w:vMerge w:val="continue"/>
          </w:tcPr>
          <w:p w14:paraId="420BB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ascii="Times New Roman" w:hAnsi="Times New Roman" w:cs="Times New Roman"/>
                <w:sz w:val="24"/>
                <w:vertAlign w:val="baseline"/>
              </w:rPr>
            </w:pPr>
          </w:p>
        </w:tc>
        <w:tc>
          <w:tcPr>
            <w:tcW w:w="2101" w:type="dxa"/>
            <w:shd w:val="clear" w:color="auto" w:fill="auto"/>
            <w:vAlign w:val="top"/>
          </w:tcPr>
          <w:p w14:paraId="1DEAE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Reverse primer</w:t>
            </w:r>
          </w:p>
        </w:tc>
        <w:tc>
          <w:tcPr>
            <w:tcW w:w="4432" w:type="dxa"/>
            <w:shd w:val="clear" w:color="auto" w:fill="auto"/>
            <w:vAlign w:val="top"/>
          </w:tcPr>
          <w:p w14:paraId="2C9A5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TAGCATTTGTTGAAGCTCGCA</w:t>
            </w:r>
          </w:p>
        </w:tc>
      </w:tr>
      <w:tr w14:paraId="726DF4A0">
        <w:tc>
          <w:tcPr>
            <w:tcW w:w="1989" w:type="dxa"/>
            <w:vMerge w:val="restart"/>
          </w:tcPr>
          <w:p w14:paraId="7F2F0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 Italic" w:hAnsi="Times New Roman Italic" w:cs="Times New Roman Italic"/>
                <w:i/>
                <w:iCs/>
                <w:sz w:val="24"/>
                <w:vertAlign w:val="baseline"/>
                <w:lang w:val="en-US"/>
              </w:rPr>
              <w:t>RPL9</w:t>
            </w:r>
            <w:r>
              <w:rPr>
                <w:rFonts w:hint="default" w:ascii="Times New Roman Italic" w:hAnsi="Times New Roman Italic" w:cs="Times New Roman Italic"/>
                <w:i/>
                <w:iCs/>
                <w:sz w:val="24"/>
                <w:vertAlign w:val="baseline"/>
                <w:lang w:val="en-US" w:eastAsia="zh-CN"/>
              </w:rPr>
              <w:t>-222</w:t>
            </w:r>
          </w:p>
        </w:tc>
        <w:tc>
          <w:tcPr>
            <w:tcW w:w="2101" w:type="dxa"/>
            <w:shd w:val="clear" w:color="auto" w:fill="auto"/>
            <w:vAlign w:val="top"/>
          </w:tcPr>
          <w:p w14:paraId="69207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Forward primer</w:t>
            </w:r>
          </w:p>
        </w:tc>
        <w:tc>
          <w:tcPr>
            <w:tcW w:w="4432" w:type="dxa"/>
            <w:shd w:val="clear" w:color="auto" w:fill="auto"/>
            <w:vAlign w:val="top"/>
          </w:tcPr>
          <w:p w14:paraId="5C582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CTCCGGGTTGACAAATGGTG</w:t>
            </w:r>
          </w:p>
        </w:tc>
      </w:tr>
      <w:tr w14:paraId="64DEA5C6">
        <w:trPr>
          <w:trHeight w:val="376" w:hRule="atLeast"/>
        </w:trPr>
        <w:tc>
          <w:tcPr>
            <w:tcW w:w="1989" w:type="dxa"/>
            <w:vMerge w:val="continue"/>
          </w:tcPr>
          <w:p w14:paraId="5BA7C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ascii="Times New Roman" w:hAnsi="Times New Roman" w:cs="Times New Roman"/>
                <w:sz w:val="24"/>
                <w:vertAlign w:val="baseline"/>
              </w:rPr>
            </w:pPr>
          </w:p>
        </w:tc>
        <w:tc>
          <w:tcPr>
            <w:tcW w:w="2101" w:type="dxa"/>
            <w:shd w:val="clear" w:color="auto" w:fill="auto"/>
            <w:vAlign w:val="top"/>
          </w:tcPr>
          <w:p w14:paraId="537BE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Reverse primer</w:t>
            </w:r>
          </w:p>
        </w:tc>
        <w:tc>
          <w:tcPr>
            <w:tcW w:w="4432" w:type="dxa"/>
            <w:shd w:val="clear" w:color="auto" w:fill="auto"/>
            <w:vAlign w:val="top"/>
          </w:tcPr>
          <w:p w14:paraId="01379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TCTTGTAACGGAAGCCCAGT</w:t>
            </w:r>
          </w:p>
        </w:tc>
      </w:tr>
      <w:tr w14:paraId="03073734">
        <w:tc>
          <w:tcPr>
            <w:tcW w:w="1989" w:type="dxa"/>
            <w:vMerge w:val="restart"/>
          </w:tcPr>
          <w:p w14:paraId="4FE82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Times New Roman Italic" w:hAnsi="Times New Roman Italic" w:cs="Times New Roman Italic"/>
                <w:i/>
                <w:iCs/>
                <w:sz w:val="24"/>
                <w:vertAlign w:val="baseline"/>
                <w:lang w:val="en-US"/>
              </w:rPr>
              <w:t>LMNA</w:t>
            </w:r>
          </w:p>
        </w:tc>
        <w:tc>
          <w:tcPr>
            <w:tcW w:w="2101" w:type="dxa"/>
            <w:shd w:val="clear" w:color="auto" w:fill="auto"/>
            <w:vAlign w:val="top"/>
          </w:tcPr>
          <w:p w14:paraId="37282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Forward primer</w:t>
            </w:r>
          </w:p>
        </w:tc>
        <w:tc>
          <w:tcPr>
            <w:tcW w:w="4432" w:type="dxa"/>
            <w:shd w:val="clear" w:color="auto" w:fill="auto"/>
            <w:vAlign w:val="top"/>
          </w:tcPr>
          <w:p w14:paraId="54C68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AATGATCGCTTGGCGGTCTAC</w:t>
            </w:r>
          </w:p>
        </w:tc>
      </w:tr>
      <w:tr w14:paraId="7F02C913">
        <w:tc>
          <w:tcPr>
            <w:tcW w:w="1989" w:type="dxa"/>
            <w:vMerge w:val="continue"/>
          </w:tcPr>
          <w:p w14:paraId="0018F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ascii="Times New Roman" w:hAnsi="Times New Roman" w:cs="Times New Roman"/>
                <w:sz w:val="24"/>
                <w:vertAlign w:val="baseline"/>
              </w:rPr>
            </w:pPr>
          </w:p>
        </w:tc>
        <w:tc>
          <w:tcPr>
            <w:tcW w:w="2101" w:type="dxa"/>
            <w:shd w:val="clear" w:color="auto" w:fill="auto"/>
            <w:vAlign w:val="top"/>
          </w:tcPr>
          <w:p w14:paraId="35BBA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Reverse primer</w:t>
            </w:r>
          </w:p>
        </w:tc>
        <w:tc>
          <w:tcPr>
            <w:tcW w:w="4432" w:type="dxa"/>
            <w:shd w:val="clear" w:color="auto" w:fill="auto"/>
            <w:vAlign w:val="top"/>
          </w:tcPr>
          <w:p w14:paraId="64891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CACCTCTTCAGACTCGGTGAT</w:t>
            </w:r>
          </w:p>
        </w:tc>
      </w:tr>
      <w:tr w14:paraId="5C652B95">
        <w:tc>
          <w:tcPr>
            <w:tcW w:w="1989" w:type="dxa"/>
            <w:vMerge w:val="restart"/>
          </w:tcPr>
          <w:p w14:paraId="3E1E4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 Italic" w:hAnsi="Times New Roman Italic" w:cs="Times New Roman Italic"/>
                <w:i/>
                <w:iCs/>
                <w:sz w:val="24"/>
                <w:vertAlign w:val="baseline"/>
                <w:lang w:val="en-US"/>
              </w:rPr>
              <w:t>RPL9</w:t>
            </w:r>
            <w:r>
              <w:rPr>
                <w:rFonts w:hint="default" w:ascii="Times New Roman Italic" w:hAnsi="Times New Roman Italic" w:cs="Times New Roman Italic"/>
                <w:i/>
                <w:iCs/>
                <w:sz w:val="24"/>
                <w:vertAlign w:val="baseline"/>
                <w:lang w:val="en-US" w:eastAsia="zh-CN"/>
              </w:rPr>
              <w:t>-222</w:t>
            </w:r>
            <w:r>
              <w:rPr>
                <w:rFonts w:hint="default" w:ascii="Times New Roman Italic" w:hAnsi="Times New Roman Italic" w:cs="Times New Roman Italic"/>
                <w:i/>
                <w:iCs/>
                <w:sz w:val="24"/>
                <w:vertAlign w:val="baseline"/>
                <w:lang w:val="en-US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pre-mRNA</w:t>
            </w:r>
          </w:p>
        </w:tc>
        <w:tc>
          <w:tcPr>
            <w:tcW w:w="2101" w:type="dxa"/>
            <w:shd w:val="clear" w:color="auto" w:fill="auto"/>
            <w:vAlign w:val="top"/>
          </w:tcPr>
          <w:p w14:paraId="6658C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Forward primer</w:t>
            </w:r>
          </w:p>
        </w:tc>
        <w:tc>
          <w:tcPr>
            <w:tcW w:w="4432" w:type="dxa"/>
            <w:shd w:val="clear" w:color="auto" w:fill="auto"/>
            <w:vAlign w:val="top"/>
          </w:tcPr>
          <w:p w14:paraId="2A33C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GAGTACGGTGGCGTGATCT</w:t>
            </w:r>
          </w:p>
        </w:tc>
      </w:tr>
      <w:tr w14:paraId="298947C3">
        <w:tc>
          <w:tcPr>
            <w:tcW w:w="1989" w:type="dxa"/>
            <w:vMerge w:val="continue"/>
          </w:tcPr>
          <w:p w14:paraId="08705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ascii="Times New Roman" w:hAnsi="Times New Roman" w:cs="Times New Roman"/>
                <w:sz w:val="24"/>
                <w:vertAlign w:val="baseline"/>
              </w:rPr>
            </w:pPr>
          </w:p>
        </w:tc>
        <w:tc>
          <w:tcPr>
            <w:tcW w:w="2101" w:type="dxa"/>
            <w:shd w:val="clear" w:color="auto" w:fill="auto"/>
            <w:vAlign w:val="top"/>
          </w:tcPr>
          <w:p w14:paraId="6DABD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Reverse primer</w:t>
            </w:r>
          </w:p>
        </w:tc>
        <w:tc>
          <w:tcPr>
            <w:tcW w:w="4432" w:type="dxa"/>
            <w:shd w:val="clear" w:color="auto" w:fill="auto"/>
            <w:vAlign w:val="top"/>
          </w:tcPr>
          <w:p w14:paraId="7E373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AGGTGGGAGAAACACCTGAG</w:t>
            </w:r>
          </w:p>
        </w:tc>
      </w:tr>
    </w:tbl>
    <w:p w14:paraId="4E280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</w:p>
    <w:p w14:paraId="129199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</w:p>
    <w:p w14:paraId="2C6725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Table S</w:t>
      </w:r>
      <w:r>
        <w:rPr>
          <w:rFonts w:hint="eastAsia" w:ascii="Times New Roman" w:hAnsi="Times New Roman" w:cs="Times New Roman"/>
          <w:sz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lang w:val="en-US"/>
        </w:rPr>
        <w:t xml:space="preserve"> The</w:t>
      </w:r>
      <w:r>
        <w:rPr>
          <w:rFonts w:hint="eastAsia" w:ascii="Times New Roman" w:hAnsi="Times New Roman" w:cs="Times New Roman"/>
          <w:sz w:val="24"/>
        </w:rPr>
        <w:t xml:space="preserve"> target sequences of siRNAs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2034"/>
        <w:gridCol w:w="4778"/>
      </w:tblGrid>
      <w:tr w14:paraId="61804ED8">
        <w:tc>
          <w:tcPr>
            <w:tcW w:w="1710" w:type="dxa"/>
            <w:vMerge w:val="restart"/>
          </w:tcPr>
          <w:p w14:paraId="25DF7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Times New Roman Italic" w:hAnsi="Times New Roman Italic" w:cs="Times New Roman Italic"/>
                <w:i/>
                <w:iCs/>
                <w:sz w:val="24"/>
                <w:vertAlign w:val="baseline"/>
                <w:lang w:val="en-US"/>
              </w:rPr>
              <w:t xml:space="preserve">HDAC2 </w:t>
            </w: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siRNA1</w:t>
            </w:r>
          </w:p>
        </w:tc>
        <w:tc>
          <w:tcPr>
            <w:tcW w:w="2034" w:type="dxa"/>
          </w:tcPr>
          <w:p w14:paraId="76576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Sense (5'-3')</w:t>
            </w:r>
          </w:p>
        </w:tc>
        <w:tc>
          <w:tcPr>
            <w:tcW w:w="4778" w:type="dxa"/>
          </w:tcPr>
          <w:p w14:paraId="3C240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GCAAAUACUAUGCUGUCAAUUTT</w:t>
            </w:r>
          </w:p>
        </w:tc>
      </w:tr>
      <w:tr w14:paraId="78F3A8FD">
        <w:tc>
          <w:tcPr>
            <w:tcW w:w="1710" w:type="dxa"/>
            <w:vMerge w:val="continue"/>
          </w:tcPr>
          <w:p w14:paraId="695F9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</w:p>
        </w:tc>
        <w:tc>
          <w:tcPr>
            <w:tcW w:w="2034" w:type="dxa"/>
          </w:tcPr>
          <w:p w14:paraId="11AA4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Antisense(5'-3')</w:t>
            </w:r>
          </w:p>
        </w:tc>
        <w:tc>
          <w:tcPr>
            <w:tcW w:w="4778" w:type="dxa"/>
          </w:tcPr>
          <w:p w14:paraId="0097C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AAUUGACAGCAUAGUAUUUGCTT</w:t>
            </w:r>
          </w:p>
        </w:tc>
      </w:tr>
      <w:tr w14:paraId="7062DB11">
        <w:tc>
          <w:tcPr>
            <w:tcW w:w="1710" w:type="dxa"/>
            <w:vMerge w:val="restart"/>
          </w:tcPr>
          <w:p w14:paraId="3699B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Times New Roman Italic" w:hAnsi="Times New Roman Italic" w:cs="Times New Roman Italic"/>
                <w:i/>
                <w:iCs/>
                <w:sz w:val="24"/>
                <w:vertAlign w:val="baseline"/>
                <w:lang w:val="en-US"/>
              </w:rPr>
              <w:t xml:space="preserve">HDAC2 </w:t>
            </w: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siRNA2</w:t>
            </w:r>
          </w:p>
        </w:tc>
        <w:tc>
          <w:tcPr>
            <w:tcW w:w="2034" w:type="dxa"/>
            <w:shd w:val="clear" w:color="auto" w:fill="auto"/>
            <w:vAlign w:val="top"/>
          </w:tcPr>
          <w:p w14:paraId="275C1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Sense (5'-3')</w:t>
            </w:r>
          </w:p>
        </w:tc>
        <w:tc>
          <w:tcPr>
            <w:tcW w:w="4778" w:type="dxa"/>
          </w:tcPr>
          <w:p w14:paraId="65D65D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CAGACUGAUAUGGCUGUUAAUTT</w:t>
            </w:r>
          </w:p>
        </w:tc>
      </w:tr>
      <w:tr w14:paraId="5A43B160">
        <w:tc>
          <w:tcPr>
            <w:tcW w:w="1710" w:type="dxa"/>
            <w:vMerge w:val="continue"/>
          </w:tcPr>
          <w:p w14:paraId="496DD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</w:p>
        </w:tc>
        <w:tc>
          <w:tcPr>
            <w:tcW w:w="2034" w:type="dxa"/>
            <w:shd w:val="clear" w:color="auto" w:fill="auto"/>
            <w:vAlign w:val="top"/>
          </w:tcPr>
          <w:p w14:paraId="36FAB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Antisense(5'-3')</w:t>
            </w:r>
          </w:p>
        </w:tc>
        <w:tc>
          <w:tcPr>
            <w:tcW w:w="4778" w:type="dxa"/>
          </w:tcPr>
          <w:p w14:paraId="2D414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AUUAACAGCCAUAUCAGUCUGTT</w:t>
            </w:r>
          </w:p>
        </w:tc>
      </w:tr>
      <w:tr w14:paraId="4C037AEA">
        <w:tc>
          <w:tcPr>
            <w:tcW w:w="1710" w:type="dxa"/>
            <w:vMerge w:val="restart"/>
          </w:tcPr>
          <w:p w14:paraId="0655B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 Italic" w:hAnsi="Times New Roman Italic" w:cs="Times New Roman Italic"/>
                <w:i/>
                <w:iCs/>
                <w:sz w:val="24"/>
                <w:vertAlign w:val="baseline"/>
                <w:lang w:val="en-US"/>
              </w:rPr>
            </w:pPr>
            <w:r>
              <w:rPr>
                <w:rFonts w:hint="default" w:ascii="Times New Roman Italic" w:hAnsi="Times New Roman Italic" w:cs="Times New Roman Italic"/>
                <w:i/>
                <w:iCs/>
                <w:sz w:val="24"/>
                <w:vertAlign w:val="baseline"/>
                <w:lang w:val="en-US"/>
              </w:rPr>
              <w:t>GRIK2</w:t>
            </w:r>
          </w:p>
          <w:p w14:paraId="5175B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siRNA1</w:t>
            </w:r>
          </w:p>
        </w:tc>
        <w:tc>
          <w:tcPr>
            <w:tcW w:w="2034" w:type="dxa"/>
            <w:shd w:val="clear" w:color="auto" w:fill="auto"/>
            <w:vAlign w:val="top"/>
          </w:tcPr>
          <w:p w14:paraId="225B3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Sense (5'-3')</w:t>
            </w:r>
          </w:p>
        </w:tc>
        <w:tc>
          <w:tcPr>
            <w:tcW w:w="4778" w:type="dxa"/>
          </w:tcPr>
          <w:p w14:paraId="3A70C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CUCUAUGGUAAUGAUCGAUUUTT</w:t>
            </w:r>
          </w:p>
        </w:tc>
      </w:tr>
      <w:tr w14:paraId="533D3692">
        <w:tc>
          <w:tcPr>
            <w:tcW w:w="1710" w:type="dxa"/>
            <w:vMerge w:val="continue"/>
          </w:tcPr>
          <w:p w14:paraId="19298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</w:p>
        </w:tc>
        <w:tc>
          <w:tcPr>
            <w:tcW w:w="2034" w:type="dxa"/>
            <w:shd w:val="clear" w:color="auto" w:fill="auto"/>
            <w:vAlign w:val="top"/>
          </w:tcPr>
          <w:p w14:paraId="3CD47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Antisense(5'-3')</w:t>
            </w:r>
          </w:p>
        </w:tc>
        <w:tc>
          <w:tcPr>
            <w:tcW w:w="4778" w:type="dxa"/>
          </w:tcPr>
          <w:p w14:paraId="16ED7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AAAUCGAUCAUUACCAUAGAGTT</w:t>
            </w:r>
          </w:p>
        </w:tc>
      </w:tr>
      <w:tr w14:paraId="2FB44EA2">
        <w:tc>
          <w:tcPr>
            <w:tcW w:w="1710" w:type="dxa"/>
            <w:vMerge w:val="restart"/>
          </w:tcPr>
          <w:p w14:paraId="6D065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 Italic" w:hAnsi="Times New Roman Italic" w:cs="Times New Roman Italic"/>
                <w:i/>
                <w:iCs/>
                <w:sz w:val="24"/>
                <w:vertAlign w:val="baseline"/>
                <w:lang w:val="en-US"/>
              </w:rPr>
            </w:pPr>
            <w:r>
              <w:rPr>
                <w:rFonts w:hint="default" w:ascii="Times New Roman Italic" w:hAnsi="Times New Roman Italic" w:cs="Times New Roman Italic"/>
                <w:i/>
                <w:iCs/>
                <w:sz w:val="24"/>
                <w:vertAlign w:val="baseline"/>
                <w:lang w:val="en-US"/>
              </w:rPr>
              <w:t>GRIK2</w:t>
            </w:r>
          </w:p>
          <w:p w14:paraId="3F9D3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siRNA2</w:t>
            </w:r>
          </w:p>
        </w:tc>
        <w:tc>
          <w:tcPr>
            <w:tcW w:w="2034" w:type="dxa"/>
            <w:shd w:val="clear" w:color="auto" w:fill="auto"/>
            <w:vAlign w:val="top"/>
          </w:tcPr>
          <w:p w14:paraId="6A4A0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Sense (5'-3')</w:t>
            </w:r>
          </w:p>
        </w:tc>
        <w:tc>
          <w:tcPr>
            <w:tcW w:w="4778" w:type="dxa"/>
          </w:tcPr>
          <w:p w14:paraId="1660B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GUUAUCAACAUGCACACAUUUTT</w:t>
            </w:r>
          </w:p>
        </w:tc>
      </w:tr>
      <w:tr w14:paraId="208D87E1">
        <w:tc>
          <w:tcPr>
            <w:tcW w:w="1710" w:type="dxa"/>
            <w:vMerge w:val="continue"/>
          </w:tcPr>
          <w:p w14:paraId="17239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</w:p>
        </w:tc>
        <w:tc>
          <w:tcPr>
            <w:tcW w:w="2034" w:type="dxa"/>
            <w:shd w:val="clear" w:color="auto" w:fill="auto"/>
            <w:vAlign w:val="top"/>
          </w:tcPr>
          <w:p w14:paraId="4BCE0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Antisense(5'-3')</w:t>
            </w:r>
          </w:p>
        </w:tc>
        <w:tc>
          <w:tcPr>
            <w:tcW w:w="4778" w:type="dxa"/>
          </w:tcPr>
          <w:p w14:paraId="2F591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AAAUGUGUGCAUGUUGAUAACTT</w:t>
            </w:r>
          </w:p>
        </w:tc>
      </w:tr>
    </w:tbl>
    <w:p w14:paraId="05B413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</w:rPr>
      </w:pPr>
    </w:p>
    <w:p w14:paraId="5D24E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</w:rPr>
      </w:pPr>
      <w:bookmarkStart w:id="0" w:name="_GoBack"/>
      <w:bookmarkEnd w:id="0"/>
    </w:p>
    <w:p w14:paraId="762A2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Table S</w:t>
      </w:r>
      <w:r>
        <w:rPr>
          <w:rFonts w:hint="eastAsia" w:ascii="Times New Roman" w:hAnsi="Times New Roman" w:cs="Times New Roman"/>
          <w:sz w:val="24"/>
          <w:lang w:val="en-US" w:eastAsia="zh-CN"/>
        </w:rPr>
        <w:t>3</w:t>
      </w:r>
      <w:r>
        <w:rPr>
          <w:rFonts w:hint="eastAsia" w:ascii="Times New Roman" w:hAnsi="Times New Roman" w:cs="Times New Roman"/>
          <w:sz w:val="24"/>
        </w:rPr>
        <w:t xml:space="preserve"> Antibody information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39"/>
        <w:gridCol w:w="2254"/>
        <w:gridCol w:w="1929"/>
      </w:tblGrid>
      <w:tr w14:paraId="6E135F94">
        <w:tc>
          <w:tcPr>
            <w:tcW w:w="4339" w:type="dxa"/>
          </w:tcPr>
          <w:p w14:paraId="772D7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A</w:t>
            </w: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ntibody</w:t>
            </w:r>
          </w:p>
        </w:tc>
        <w:tc>
          <w:tcPr>
            <w:tcW w:w="2254" w:type="dxa"/>
          </w:tcPr>
          <w:p w14:paraId="4FC0D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Company</w:t>
            </w:r>
          </w:p>
        </w:tc>
        <w:tc>
          <w:tcPr>
            <w:tcW w:w="1929" w:type="dxa"/>
          </w:tcPr>
          <w:p w14:paraId="349A5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Cat#</w:t>
            </w:r>
          </w:p>
        </w:tc>
      </w:tr>
      <w:tr w14:paraId="53DF01CF">
        <w:tc>
          <w:tcPr>
            <w:tcW w:w="4339" w:type="dxa"/>
          </w:tcPr>
          <w:p w14:paraId="07E3E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Mouse monoclonal anti-GAPDH</w:t>
            </w:r>
          </w:p>
        </w:tc>
        <w:tc>
          <w:tcPr>
            <w:tcW w:w="2254" w:type="dxa"/>
          </w:tcPr>
          <w:p w14:paraId="57F29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Proteintech</w:t>
            </w:r>
          </w:p>
        </w:tc>
        <w:tc>
          <w:tcPr>
            <w:tcW w:w="1929" w:type="dxa"/>
          </w:tcPr>
          <w:p w14:paraId="20EF6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60004-1-Ig</w:t>
            </w:r>
          </w:p>
        </w:tc>
      </w:tr>
      <w:tr w14:paraId="2D19AD10">
        <w:tc>
          <w:tcPr>
            <w:tcW w:w="4339" w:type="dxa"/>
          </w:tcPr>
          <w:p w14:paraId="1E6E4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Mouse monoclonal anti-β-actin</w:t>
            </w:r>
          </w:p>
        </w:tc>
        <w:tc>
          <w:tcPr>
            <w:tcW w:w="2254" w:type="dxa"/>
          </w:tcPr>
          <w:p w14:paraId="27A79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Proteintech</w:t>
            </w:r>
          </w:p>
        </w:tc>
        <w:tc>
          <w:tcPr>
            <w:tcW w:w="1929" w:type="dxa"/>
          </w:tcPr>
          <w:p w14:paraId="67C81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66009-1-Ig</w:t>
            </w:r>
          </w:p>
        </w:tc>
      </w:tr>
      <w:tr w14:paraId="70EF6817">
        <w:tc>
          <w:tcPr>
            <w:tcW w:w="4339" w:type="dxa"/>
          </w:tcPr>
          <w:p w14:paraId="7F6C8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Rabbit polyclonal anti-DYKDDDDK tag</w:t>
            </w:r>
          </w:p>
        </w:tc>
        <w:tc>
          <w:tcPr>
            <w:tcW w:w="2254" w:type="dxa"/>
          </w:tcPr>
          <w:p w14:paraId="5FC1B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Proteintech</w:t>
            </w:r>
          </w:p>
        </w:tc>
        <w:tc>
          <w:tcPr>
            <w:tcW w:w="1929" w:type="dxa"/>
          </w:tcPr>
          <w:p w14:paraId="0589A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20543-1-AP</w:t>
            </w:r>
          </w:p>
        </w:tc>
      </w:tr>
      <w:tr w14:paraId="45D73FE5">
        <w:tc>
          <w:tcPr>
            <w:tcW w:w="4339" w:type="dxa"/>
          </w:tcPr>
          <w:p w14:paraId="731D1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Rabbit polyclonal anti-HA tag</w:t>
            </w:r>
          </w:p>
        </w:tc>
        <w:tc>
          <w:tcPr>
            <w:tcW w:w="2254" w:type="dxa"/>
          </w:tcPr>
          <w:p w14:paraId="7FB5C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Proteintech</w:t>
            </w:r>
          </w:p>
        </w:tc>
        <w:tc>
          <w:tcPr>
            <w:tcW w:w="1929" w:type="dxa"/>
          </w:tcPr>
          <w:p w14:paraId="43822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51064-2-AP</w:t>
            </w:r>
          </w:p>
        </w:tc>
      </w:tr>
      <w:tr w14:paraId="4FFB7186">
        <w:tc>
          <w:tcPr>
            <w:tcW w:w="4339" w:type="dxa"/>
          </w:tcPr>
          <w:p w14:paraId="45D10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Rabbit polyclonal anti-HDAC2</w:t>
            </w:r>
          </w:p>
        </w:tc>
        <w:tc>
          <w:tcPr>
            <w:tcW w:w="2254" w:type="dxa"/>
          </w:tcPr>
          <w:p w14:paraId="1DC9B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Proteintech</w:t>
            </w:r>
          </w:p>
        </w:tc>
        <w:tc>
          <w:tcPr>
            <w:tcW w:w="1929" w:type="dxa"/>
          </w:tcPr>
          <w:p w14:paraId="54DD9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12922-3-AP</w:t>
            </w:r>
          </w:p>
        </w:tc>
      </w:tr>
      <w:tr w14:paraId="021B4FAF">
        <w:tc>
          <w:tcPr>
            <w:tcW w:w="4339" w:type="dxa"/>
          </w:tcPr>
          <w:p w14:paraId="2A5A8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Rabbit monoclonal anti-L-lactyl lysine</w:t>
            </w:r>
          </w:p>
        </w:tc>
        <w:tc>
          <w:tcPr>
            <w:tcW w:w="2254" w:type="dxa"/>
          </w:tcPr>
          <w:p w14:paraId="115E9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PTM Bio</w:t>
            </w:r>
          </w:p>
        </w:tc>
        <w:tc>
          <w:tcPr>
            <w:tcW w:w="1929" w:type="dxa"/>
          </w:tcPr>
          <w:p w14:paraId="5C73F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PTM-1401RM</w:t>
            </w:r>
          </w:p>
        </w:tc>
      </w:tr>
      <w:tr w14:paraId="1B236840">
        <w:tc>
          <w:tcPr>
            <w:tcW w:w="4339" w:type="dxa"/>
          </w:tcPr>
          <w:p w14:paraId="7DAAD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Mouse monoclonal anti-Acetyllysine</w:t>
            </w:r>
          </w:p>
        </w:tc>
        <w:tc>
          <w:tcPr>
            <w:tcW w:w="2254" w:type="dxa"/>
          </w:tcPr>
          <w:p w14:paraId="70828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PTM Bio</w:t>
            </w:r>
          </w:p>
        </w:tc>
        <w:tc>
          <w:tcPr>
            <w:tcW w:w="1929" w:type="dxa"/>
          </w:tcPr>
          <w:p w14:paraId="11976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PTM-101</w:t>
            </w:r>
          </w:p>
        </w:tc>
      </w:tr>
      <w:tr w14:paraId="03FBCBBB">
        <w:tc>
          <w:tcPr>
            <w:tcW w:w="4339" w:type="dxa"/>
          </w:tcPr>
          <w:p w14:paraId="43C92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 xml:space="preserve">Rabbit monoclonal Anti-Histone H3 </w:t>
            </w:r>
          </w:p>
        </w:tc>
        <w:tc>
          <w:tcPr>
            <w:tcW w:w="2254" w:type="dxa"/>
          </w:tcPr>
          <w:p w14:paraId="453DD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PTM Bio</w:t>
            </w:r>
          </w:p>
        </w:tc>
        <w:tc>
          <w:tcPr>
            <w:tcW w:w="1929" w:type="dxa"/>
          </w:tcPr>
          <w:p w14:paraId="78DAE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PTM-1001RM</w:t>
            </w:r>
          </w:p>
        </w:tc>
      </w:tr>
      <w:tr w14:paraId="68272619">
        <w:tc>
          <w:tcPr>
            <w:tcW w:w="4339" w:type="dxa"/>
          </w:tcPr>
          <w:p w14:paraId="20432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Rabbit monoclonal Anti-Histone H</w:t>
            </w: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254" w:type="dxa"/>
          </w:tcPr>
          <w:p w14:paraId="0F0F6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PTM Bio</w:t>
            </w:r>
          </w:p>
        </w:tc>
        <w:tc>
          <w:tcPr>
            <w:tcW w:w="1929" w:type="dxa"/>
          </w:tcPr>
          <w:p w14:paraId="4806E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PTM-1015RM</w:t>
            </w:r>
          </w:p>
        </w:tc>
      </w:tr>
      <w:tr w14:paraId="2FEC3090">
        <w:tc>
          <w:tcPr>
            <w:tcW w:w="4339" w:type="dxa"/>
          </w:tcPr>
          <w:p w14:paraId="72FA1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 xml:space="preserve">Rabbit monoclonal Anti-Lactyl-Histone H3 (Lys9) </w:t>
            </w:r>
          </w:p>
        </w:tc>
        <w:tc>
          <w:tcPr>
            <w:tcW w:w="2254" w:type="dxa"/>
          </w:tcPr>
          <w:p w14:paraId="26520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PTM Bio</w:t>
            </w:r>
          </w:p>
        </w:tc>
        <w:tc>
          <w:tcPr>
            <w:tcW w:w="1929" w:type="dxa"/>
          </w:tcPr>
          <w:p w14:paraId="361F5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PTM-1419RM</w:t>
            </w:r>
          </w:p>
        </w:tc>
      </w:tr>
      <w:tr w14:paraId="3E0E1F4D">
        <w:tc>
          <w:tcPr>
            <w:tcW w:w="4339" w:type="dxa"/>
          </w:tcPr>
          <w:p w14:paraId="4E95E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 xml:space="preserve">Rabbit monoclonal Anti-Lactyl-Histone H3 (Lys14) </w:t>
            </w:r>
          </w:p>
        </w:tc>
        <w:tc>
          <w:tcPr>
            <w:tcW w:w="2254" w:type="dxa"/>
          </w:tcPr>
          <w:p w14:paraId="7B80C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PTM Bio</w:t>
            </w:r>
          </w:p>
        </w:tc>
        <w:tc>
          <w:tcPr>
            <w:tcW w:w="1929" w:type="dxa"/>
          </w:tcPr>
          <w:p w14:paraId="7B10B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PTM-1414RM</w:t>
            </w:r>
          </w:p>
        </w:tc>
      </w:tr>
      <w:tr w14:paraId="26CB4D1C">
        <w:tc>
          <w:tcPr>
            <w:tcW w:w="4339" w:type="dxa"/>
          </w:tcPr>
          <w:p w14:paraId="3E745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 xml:space="preserve">Rabbit monoclonal Anti-L-Lactyl-Histone H3 (Lys18) </w:t>
            </w:r>
          </w:p>
        </w:tc>
        <w:tc>
          <w:tcPr>
            <w:tcW w:w="2254" w:type="dxa"/>
          </w:tcPr>
          <w:p w14:paraId="40293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PTM Bio</w:t>
            </w:r>
          </w:p>
        </w:tc>
        <w:tc>
          <w:tcPr>
            <w:tcW w:w="1929" w:type="dxa"/>
          </w:tcPr>
          <w:p w14:paraId="77D1C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PTM-1427RM</w:t>
            </w:r>
          </w:p>
        </w:tc>
      </w:tr>
      <w:tr w14:paraId="085D6BE1">
        <w:tc>
          <w:tcPr>
            <w:tcW w:w="4339" w:type="dxa"/>
          </w:tcPr>
          <w:p w14:paraId="77255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Rabbit monoclonal Anti-Lactyl-Histone H4 (Lys5)</w:t>
            </w:r>
          </w:p>
        </w:tc>
        <w:tc>
          <w:tcPr>
            <w:tcW w:w="2254" w:type="dxa"/>
          </w:tcPr>
          <w:p w14:paraId="1C0DD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PTM Bio</w:t>
            </w:r>
          </w:p>
        </w:tc>
        <w:tc>
          <w:tcPr>
            <w:tcW w:w="1929" w:type="dxa"/>
          </w:tcPr>
          <w:p w14:paraId="61C9F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PTM-1407RM</w:t>
            </w:r>
          </w:p>
        </w:tc>
      </w:tr>
      <w:tr w14:paraId="799CF347">
        <w:tc>
          <w:tcPr>
            <w:tcW w:w="4339" w:type="dxa"/>
          </w:tcPr>
          <w:p w14:paraId="62E99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Rabbit monoclonal</w:t>
            </w: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Anti-Lactyl-Histone H4 (Lys8)</w:t>
            </w:r>
          </w:p>
        </w:tc>
        <w:tc>
          <w:tcPr>
            <w:tcW w:w="2254" w:type="dxa"/>
          </w:tcPr>
          <w:p w14:paraId="61F2E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PTM Bio</w:t>
            </w:r>
          </w:p>
        </w:tc>
        <w:tc>
          <w:tcPr>
            <w:tcW w:w="1929" w:type="dxa"/>
          </w:tcPr>
          <w:p w14:paraId="69939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PTM-1415RM</w:t>
            </w:r>
          </w:p>
        </w:tc>
      </w:tr>
      <w:tr w14:paraId="782D6F78">
        <w:tc>
          <w:tcPr>
            <w:tcW w:w="4339" w:type="dxa"/>
          </w:tcPr>
          <w:p w14:paraId="4DDB3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Rabbit monoclonal</w:t>
            </w: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Anti-Lactyl-Histone H4 (Lys12)</w:t>
            </w:r>
          </w:p>
        </w:tc>
        <w:tc>
          <w:tcPr>
            <w:tcW w:w="2254" w:type="dxa"/>
          </w:tcPr>
          <w:p w14:paraId="2C590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PTM Bio</w:t>
            </w:r>
          </w:p>
        </w:tc>
        <w:tc>
          <w:tcPr>
            <w:tcW w:w="1929" w:type="dxa"/>
          </w:tcPr>
          <w:p w14:paraId="5F759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PTM-1411RM</w:t>
            </w:r>
          </w:p>
        </w:tc>
      </w:tr>
      <w:tr w14:paraId="16269073">
        <w:tc>
          <w:tcPr>
            <w:tcW w:w="4339" w:type="dxa"/>
          </w:tcPr>
          <w:p w14:paraId="712C3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Rabbit monoclonal</w:t>
            </w: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 xml:space="preserve">Anti-Lactyl-Histone H4 (Lys16) </w:t>
            </w:r>
          </w:p>
        </w:tc>
        <w:tc>
          <w:tcPr>
            <w:tcW w:w="2254" w:type="dxa"/>
          </w:tcPr>
          <w:p w14:paraId="18132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  <w:t>PTM Bio</w:t>
            </w:r>
          </w:p>
        </w:tc>
        <w:tc>
          <w:tcPr>
            <w:tcW w:w="1929" w:type="dxa"/>
          </w:tcPr>
          <w:p w14:paraId="1BC3A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PTM-1417RM</w:t>
            </w:r>
          </w:p>
        </w:tc>
      </w:tr>
    </w:tbl>
    <w:p w14:paraId="2BD5658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5FC8DE"/>
    <w:multiLevelType w:val="singleLevel"/>
    <w:tmpl w:val="995FC8DE"/>
    <w:lvl w:ilvl="0" w:tentative="0">
      <w:start w:val="1"/>
      <w:numFmt w:val="upperLetter"/>
      <w:suff w:val="space"/>
      <w:lvlText w:val="(%1)"/>
      <w:lvlJc w:val="left"/>
    </w:lvl>
  </w:abstractNum>
  <w:abstractNum w:abstractNumId="1">
    <w:nsid w:val="FFBCFB84"/>
    <w:multiLevelType w:val="singleLevel"/>
    <w:tmpl w:val="FFBCFB84"/>
    <w:lvl w:ilvl="0" w:tentative="0">
      <w:start w:val="5"/>
      <w:numFmt w:val="upperLetter"/>
      <w:suff w:val="space"/>
      <w:lvlText w:val="(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FDD9B0"/>
    <w:rsid w:val="2FFB1E35"/>
    <w:rsid w:val="357A6BB1"/>
    <w:rsid w:val="3F4D9E81"/>
    <w:rsid w:val="3F5D4A1B"/>
    <w:rsid w:val="57DDFA27"/>
    <w:rsid w:val="67BFFF35"/>
    <w:rsid w:val="6F6F8DB8"/>
    <w:rsid w:val="74FF114F"/>
    <w:rsid w:val="7BF86DB3"/>
    <w:rsid w:val="7DDA8B73"/>
    <w:rsid w:val="7F7FB788"/>
    <w:rsid w:val="7FEF9AA6"/>
    <w:rsid w:val="9AFF2530"/>
    <w:rsid w:val="9FDB06A2"/>
    <w:rsid w:val="ADB7A8F2"/>
    <w:rsid w:val="BFF5CE47"/>
    <w:rsid w:val="BFFDD9B0"/>
    <w:rsid w:val="DEAFEB2C"/>
    <w:rsid w:val="F79E2B82"/>
    <w:rsid w:val="FBBDA3C7"/>
    <w:rsid w:val="FEF79EC1"/>
    <w:rsid w:val="FFFF9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9</TotalTime>
  <ScaleCrop>false</ScaleCrop>
  <LinksUpToDate>false</LinksUpToDate>
  <CharactersWithSpaces>0</CharactersWithSpaces>
  <Application>WPS Office_7.3.1.8967_F1E327BC-269C-435d-A152-05C5408002CA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2025-06-19T12:56:00Z</dcterms:created>
  <dc:creator>哈哈</dc:creator>
  <cp:lastModifiedBy>哈哈</cp:lastModifiedBy>
  <dcterms:modified xsi:type="dcterms:W3CDTF">2025-11-25T12:14:47Z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67D1D18FF8826AA06A634D68341FE878_41</vt:lpwstr>
  </property>
</Properties>
</file>