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D9C87">
      <w:pPr>
        <w:spacing w:line="480" w:lineRule="auto"/>
        <w:rPr>
          <w:rFonts w:ascii="Times New Roman" w:hAnsi="Times New Roman" w:eastAsia="宋体" w:cs="Times New Roman"/>
          <w:b/>
          <w:bCs/>
          <w:color w:val="000000"/>
          <w:szCs w:val="21"/>
        </w:rPr>
      </w:pP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Supplementary Figures</w:t>
      </w:r>
    </w:p>
    <w:p w14:paraId="5931EDC1">
      <w:pPr>
        <w:spacing w:line="480" w:lineRule="auto"/>
        <w:rPr>
          <w:rFonts w:ascii="Times New Roman" w:hAnsi="Times New Roman" w:eastAsia="宋体" w:cs="Times New Roman"/>
          <w:b/>
          <w:bCs/>
          <w:color w:val="000000"/>
          <w:szCs w:val="21"/>
        </w:rPr>
      </w:pPr>
      <w:r>
        <w:rPr>
          <w:rFonts w:ascii="Times New Roman" w:hAnsi="Times New Roman" w:cs="Times New Roman"/>
          <w:lang w:eastAsia="en-PH"/>
        </w:rPr>
        <w:drawing>
          <wp:inline distT="0" distB="0" distL="0" distR="0">
            <wp:extent cx="5274310" cy="2946400"/>
            <wp:effectExtent l="0" t="0" r="0" b="0"/>
            <wp:docPr id="28055406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554068" name="图片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6108A">
      <w:pPr>
        <w:spacing w:line="480" w:lineRule="auto"/>
        <w:rPr>
          <w:rFonts w:ascii="Times New Roman" w:hAnsi="Times New Roman" w:eastAsia="宋体" w:cs="Times New Roman"/>
          <w:b/>
          <w:bCs/>
          <w:color w:val="000000"/>
          <w:szCs w:val="21"/>
        </w:rPr>
      </w:pP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Figure S1. NAT10 mediated ac4C modification promotes breast cancer progression.</w:t>
      </w:r>
    </w:p>
    <w:p w14:paraId="341388EE">
      <w:pPr>
        <w:pStyle w:val="7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eastAsia="宋体" w:cs="Times New Roman"/>
          <w:color w:val="000000"/>
          <w:szCs w:val="21"/>
        </w:rPr>
      </w:pPr>
      <w:r>
        <w:rPr>
          <w:rFonts w:ascii="Times New Roman" w:hAnsi="Times New Roman" w:eastAsia="宋体" w:cs="Times New Roman"/>
          <w:color w:val="000000"/>
          <w:szCs w:val="21"/>
        </w:rPr>
        <w:t>Pan-cancer analysis of NAT10 expression using the TIMER 2.0 database.</w:t>
      </w:r>
    </w:p>
    <w:p w14:paraId="30FFDA72">
      <w:pPr>
        <w:pStyle w:val="7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eastAsia="宋体" w:cs="Times New Roman"/>
          <w:color w:val="000000"/>
          <w:szCs w:val="21"/>
        </w:rPr>
      </w:pPr>
      <w:r>
        <w:rPr>
          <w:rFonts w:ascii="Times New Roman" w:hAnsi="Times New Roman" w:eastAsia="宋体" w:cs="Times New Roman"/>
          <w:color w:val="000000"/>
          <w:szCs w:val="21"/>
        </w:rPr>
        <w:t xml:space="preserve">Western blot analysis of NAT10 protein levels in MDA-MB-231 and BT549 cells transfected with shNC, shNAT10-1, or shNAT10-2, with or without rescue by </w:t>
      </w:r>
      <w:bookmarkStart w:id="0" w:name="_Hlk216706883"/>
      <w:r>
        <w:rPr>
          <w:rFonts w:ascii="Times New Roman" w:hAnsi="Times New Roman" w:eastAsia="宋体" w:cs="Times New Roman"/>
          <w:color w:val="000000"/>
          <w:szCs w:val="21"/>
        </w:rPr>
        <w:t>NAT10</w:t>
      </w:r>
      <w:r>
        <w:rPr>
          <w:rFonts w:ascii="Times New Roman" w:hAnsi="Times New Roman" w:eastAsia="宋体" w:cs="Times New Roman"/>
          <w:color w:val="000000"/>
          <w:szCs w:val="21"/>
          <w:vertAlign w:val="superscript"/>
        </w:rPr>
        <w:t>WT-res</w:t>
      </w:r>
      <w:bookmarkEnd w:id="0"/>
      <w:r>
        <w:rPr>
          <w:rFonts w:ascii="Times New Roman" w:hAnsi="Times New Roman" w:eastAsia="宋体" w:cs="Times New Roman"/>
          <w:color w:val="000000"/>
          <w:szCs w:val="21"/>
        </w:rPr>
        <w:t xml:space="preserve"> or NAT10</w:t>
      </w:r>
      <w:r>
        <w:rPr>
          <w:rFonts w:ascii="Times New Roman" w:hAnsi="Times New Roman" w:eastAsia="宋体" w:cs="Times New Roman"/>
          <w:color w:val="000000"/>
          <w:szCs w:val="21"/>
          <w:vertAlign w:val="superscript"/>
        </w:rPr>
        <w:t>G614E-res</w:t>
      </w:r>
      <w:r>
        <w:rPr>
          <w:rFonts w:ascii="Times New Roman" w:hAnsi="Times New Roman" w:eastAsia="宋体" w:cs="Times New Roman"/>
          <w:color w:val="000000"/>
          <w:szCs w:val="21"/>
        </w:rPr>
        <w:t xml:space="preserve">. </w:t>
      </w:r>
      <w:r>
        <w:rPr>
          <w:rFonts w:ascii="Times New Roman" w:hAnsi="Times New Roman" w:cs="Times New Roman"/>
          <w:szCs w:val="21"/>
        </w:rPr>
        <w:t xml:space="preserve">All data are presented as mean ± SD. 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0.05, **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0.01, ***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0.001, ****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0.0001.</w:t>
      </w:r>
      <w:r>
        <w:rPr>
          <w:rFonts w:ascii="Times New Roman" w:hAnsi="Times New Roman" w:cs="Times New Roman"/>
          <w:szCs w:val="21"/>
        </w:rPr>
        <w:br w:type="page"/>
      </w:r>
    </w:p>
    <w:p w14:paraId="55A89011">
      <w:pPr>
        <w:spacing w:line="480" w:lineRule="auto"/>
        <w:rPr>
          <w:rFonts w:hint="eastAsia" w:ascii="Times New Roman" w:hAnsi="Times New Roman" w:eastAsia="宋体" w:cs="Times New Roman"/>
          <w:b/>
          <w:bCs/>
          <w:color w:val="000000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szCs w:val="21"/>
          <w:lang w:eastAsia="zh-CN"/>
        </w:rPr>
        <w:drawing>
          <wp:inline distT="0" distB="0" distL="114300" distR="114300">
            <wp:extent cx="5267960" cy="5540375"/>
            <wp:effectExtent l="0" t="0" r="8890" b="3175"/>
            <wp:docPr id="1" name="图片 1" descr="Supplementary 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554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9CE3B">
      <w:pPr>
        <w:rPr>
          <w:rFonts w:ascii="Times New Roman" w:hAnsi="Times New Roman" w:eastAsia="宋体" w:cs="Times New Roman"/>
          <w:b/>
          <w:bCs/>
          <w:color w:val="000000"/>
          <w:szCs w:val="21"/>
        </w:rPr>
      </w:pP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 xml:space="preserve">Figure S2. NAT10 stimulates HDAC4 expression via ac4C modification. (A) </w:t>
      </w:r>
      <w:r>
        <w:rPr>
          <w:rFonts w:ascii="Times New Roman" w:hAnsi="Times New Roman" w:eastAsia="宋体" w:cs="Times New Roman"/>
          <w:color w:val="000000"/>
          <w:szCs w:val="21"/>
        </w:rPr>
        <w:t>Distribution of ac4C peaks predominantly within CDS and 3′UTR regions.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 xml:space="preserve"> (B-C) </w:t>
      </w:r>
      <w:r>
        <w:rPr>
          <w:rFonts w:ascii="Times New Roman" w:hAnsi="Times New Roman" w:eastAsia="宋体" w:cs="Times New Roman"/>
          <w:color w:val="000000"/>
          <w:szCs w:val="21"/>
        </w:rPr>
        <w:t>GO (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B</w:t>
      </w:r>
      <w:r>
        <w:rPr>
          <w:rFonts w:ascii="Times New Roman" w:hAnsi="Times New Roman" w:eastAsia="宋体" w:cs="Times New Roman"/>
          <w:color w:val="000000"/>
          <w:szCs w:val="21"/>
        </w:rPr>
        <w:t>) and KEGG pathway (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C</w:t>
      </w:r>
      <w:r>
        <w:rPr>
          <w:rFonts w:ascii="Times New Roman" w:hAnsi="Times New Roman" w:eastAsia="宋体" w:cs="Times New Roman"/>
          <w:color w:val="000000"/>
          <w:szCs w:val="21"/>
        </w:rPr>
        <w:t>) analyses of genes with differential ac4C modification identified by acRIP-seq.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 xml:space="preserve"> (D) </w:t>
      </w:r>
      <w:r>
        <w:rPr>
          <w:rFonts w:ascii="Times New Roman" w:hAnsi="Times New Roman" w:eastAsia="宋体" w:cs="Times New Roman"/>
          <w:color w:val="000000"/>
          <w:szCs w:val="21"/>
        </w:rPr>
        <w:t>Relative gene expression measured by qRT-PCR upon NAT10 knockdown.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 xml:space="preserve"> (E-F) </w:t>
      </w:r>
      <w:r>
        <w:rPr>
          <w:rFonts w:ascii="Times New Roman" w:hAnsi="Times New Roman" w:eastAsia="宋体" w:cs="Times New Roman"/>
          <w:color w:val="000000"/>
          <w:szCs w:val="21"/>
        </w:rPr>
        <w:t xml:space="preserve">acRIP-qPCR analysis of ac4C modification 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(E)</w:t>
      </w:r>
      <w:r>
        <w:rPr>
          <w:rFonts w:ascii="Times New Roman" w:hAnsi="Times New Roman" w:eastAsia="宋体" w:cs="Times New Roman"/>
          <w:color w:val="000000"/>
          <w:szCs w:val="21"/>
        </w:rPr>
        <w:t xml:space="preserve"> and RIP-qPCR analysis of NAT10 binding to target mRNAs 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(F)</w:t>
      </w:r>
      <w:r>
        <w:rPr>
          <w:rFonts w:ascii="Times New Roman" w:hAnsi="Times New Roman" w:eastAsia="宋体" w:cs="Times New Roman"/>
          <w:color w:val="000000"/>
          <w:szCs w:val="21"/>
        </w:rPr>
        <w:t xml:space="preserve"> following NAT10 knockdown.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 xml:space="preserve"> (G-H) </w:t>
      </w:r>
      <w:r>
        <w:rPr>
          <w:rFonts w:ascii="Times New Roman" w:hAnsi="Times New Roman" w:eastAsia="宋体" w:cs="Times New Roman"/>
          <w:color w:val="000000"/>
          <w:szCs w:val="21"/>
        </w:rPr>
        <w:t>Relative HDAC4 expression assessed by qRT-PCR, Western blot, and dot blot after transfection with shNC, shNAT10, shNAT10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eastAsia="宋体" w:cs="Times New Roman"/>
          <w:color w:val="000000"/>
          <w:szCs w:val="21"/>
        </w:rPr>
        <w:t>plus oeNAT10, or shNAT10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eastAsia="宋体" w:cs="Times New Roman"/>
          <w:color w:val="000000"/>
          <w:szCs w:val="21"/>
        </w:rPr>
        <w:t>plus NAT10</w:t>
      </w:r>
      <w:r>
        <w:rPr>
          <w:rFonts w:ascii="Times New Roman" w:hAnsi="Times New Roman" w:eastAsia="宋体" w:cs="Times New Roman"/>
          <w:color w:val="000000"/>
          <w:szCs w:val="21"/>
          <w:vertAlign w:val="superscript"/>
        </w:rPr>
        <w:t>G641E</w:t>
      </w:r>
      <w:r>
        <w:rPr>
          <w:rFonts w:ascii="Times New Roman" w:hAnsi="Times New Roman" w:eastAsia="宋体" w:cs="Times New Roman"/>
          <w:color w:val="000000"/>
          <w:szCs w:val="21"/>
        </w:rPr>
        <w:t>.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All data are presented as mean ± SD. 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0.05, **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0.01, ***</w:t>
      </w:r>
      <w:r>
        <w:rPr>
          <w:rFonts w:ascii="Times New Roman" w:hAnsi="Times New Roman" w:cs="Times New Roman"/>
          <w:i/>
          <w:iCs/>
          <w:szCs w:val="21"/>
        </w:rPr>
        <w:t xml:space="preserve"> P</w:t>
      </w:r>
      <w:r>
        <w:rPr>
          <w:rFonts w:ascii="Times New Roman" w:hAnsi="Times New Roman" w:cs="Times New Roman"/>
          <w:szCs w:val="21"/>
        </w:rPr>
        <w:t xml:space="preserve"> &lt; 0.001, ****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0.0001.</w:t>
      </w:r>
      <w:r>
        <w:rPr>
          <w:rFonts w:ascii="Times New Roman" w:hAnsi="Times New Roman" w:cs="Times New Roman"/>
        </w:rPr>
        <w:br w:type="page"/>
      </w:r>
    </w:p>
    <w:p w14:paraId="0D69F78D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lang w:eastAsia="en-PH"/>
        </w:rPr>
        <w:drawing>
          <wp:inline distT="0" distB="0" distL="0" distR="0">
            <wp:extent cx="4079875" cy="6121400"/>
            <wp:effectExtent l="0" t="0" r="0" b="0"/>
            <wp:docPr id="23882230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822309" name="图片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84369" cy="6127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EFF6C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Figure S3. The proliferative function of NAT10 in breast cancer depends on HDAC4. (A)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Cs w:val="21"/>
        </w:rPr>
        <w:t>Relative HDAC4 expression assessed by qRT-PCR after HDAC4 knockdown or overexpression.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 xml:space="preserve">(B) </w:t>
      </w:r>
      <w:r>
        <w:rPr>
          <w:rFonts w:ascii="Times New Roman" w:hAnsi="Times New Roman" w:eastAsia="宋体" w:cs="Times New Roman"/>
          <w:color w:val="000000"/>
          <w:szCs w:val="21"/>
        </w:rPr>
        <w:t>Body weight curves of mice treated with vector, oeNAT10, oeNAT10 plus LMK235 (5 mg/kg), or oeNAT10 plus LMK235 (10 mg/kg) (</w:t>
      </w:r>
      <w:r>
        <w:rPr>
          <w:rFonts w:ascii="Times New Roman" w:hAnsi="Times New Roman" w:eastAsia="宋体" w:cs="Times New Roman"/>
          <w:i/>
          <w:iCs/>
          <w:color w:val="000000"/>
          <w:szCs w:val="21"/>
        </w:rPr>
        <w:t>n</w:t>
      </w:r>
      <w:r>
        <w:rPr>
          <w:rFonts w:ascii="Times New Roman" w:hAnsi="Times New Roman" w:eastAsia="宋体" w:cs="Times New Roman"/>
          <w:color w:val="000000"/>
          <w:szCs w:val="21"/>
        </w:rPr>
        <w:t xml:space="preserve"> = 6).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(C)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eastAsia="宋体" w:cs="Times New Roman"/>
          <w:color w:val="000000"/>
          <w:szCs w:val="21"/>
        </w:rPr>
        <w:t>Representative H&amp;E images of the heart, lung, liver, and kidney from mice treated with vector, oeNAT10, oeNAT10 plus LMK235 (5 mg/kg), or oeNAT10 plus LMK235 (10 mg/kg).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eastAsia="宋体" w:cs="Times New Roman"/>
          <w:color w:val="000000"/>
          <w:szCs w:val="21"/>
        </w:rPr>
        <w:t>(</w:t>
      </w:r>
      <w:r>
        <w:rPr>
          <w:rFonts w:ascii="Times New Roman" w:hAnsi="Times New Roman" w:eastAsia="宋体" w:cs="Times New Roman"/>
          <w:i/>
          <w:iCs/>
          <w:color w:val="000000"/>
          <w:szCs w:val="21"/>
        </w:rPr>
        <w:t>n</w:t>
      </w:r>
      <w:r>
        <w:rPr>
          <w:rFonts w:ascii="Times New Roman" w:hAnsi="Times New Roman" w:eastAsia="宋体" w:cs="Times New Roman"/>
          <w:color w:val="000000"/>
          <w:szCs w:val="21"/>
        </w:rPr>
        <w:t xml:space="preserve"> = 6; scale bars, 50 μm).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(D-F)</w:t>
      </w:r>
      <w:r>
        <w:rPr>
          <w:rFonts w:ascii="Times New Roman" w:hAnsi="Times New Roman" w:eastAsia="宋体" w:cs="Times New Roman"/>
          <w:color w:val="000000"/>
          <w:szCs w:val="21"/>
        </w:rPr>
        <w:t xml:space="preserve"> CCK-8 assays 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(D)</w:t>
      </w:r>
      <w:r>
        <w:rPr>
          <w:rFonts w:ascii="Times New Roman" w:hAnsi="Times New Roman" w:eastAsia="宋体" w:cs="Times New Roman"/>
          <w:color w:val="000000"/>
          <w:szCs w:val="21"/>
        </w:rPr>
        <w:t xml:space="preserve"> and flow cytometry analyses of apoptotic rates 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(E)</w:t>
      </w:r>
      <w:r>
        <w:rPr>
          <w:rFonts w:ascii="Times New Roman" w:hAnsi="Times New Roman" w:eastAsia="宋体" w:cs="Times New Roman"/>
          <w:color w:val="000000"/>
          <w:szCs w:val="21"/>
        </w:rPr>
        <w:t xml:space="preserve"> and cell cycle distribution 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(F)</w:t>
      </w:r>
      <w:r>
        <w:rPr>
          <w:rFonts w:ascii="Times New Roman" w:hAnsi="Times New Roman" w:eastAsia="宋体" w:cs="Times New Roman"/>
          <w:color w:val="000000"/>
          <w:szCs w:val="21"/>
        </w:rPr>
        <w:t xml:space="preserve"> in cells transfected with vector, oeNAT10, oeNAT10 plus LMK235 (2 µM), oeNAT10 plus LMK235 (2 µM) plus HDAC4</w:t>
      </w:r>
      <w:r>
        <w:rPr>
          <w:rFonts w:ascii="Times New Roman" w:hAnsi="Times New Roman" w:eastAsia="宋体" w:cs="Times New Roman"/>
          <w:color w:val="000000"/>
          <w:szCs w:val="21"/>
          <w:vertAlign w:val="superscript"/>
        </w:rPr>
        <w:t>WT</w:t>
      </w:r>
      <w:r>
        <w:rPr>
          <w:rFonts w:ascii="Times New Roman" w:hAnsi="Times New Roman" w:eastAsia="宋体" w:cs="Times New Roman"/>
          <w:color w:val="000000"/>
          <w:szCs w:val="21"/>
        </w:rPr>
        <w:t>, or oeNAT10 plus LMK235 (2 µM) plus HDAC4</w:t>
      </w:r>
      <w:r>
        <w:rPr>
          <w:rFonts w:ascii="Times New Roman" w:hAnsi="Times New Roman" w:eastAsia="宋体" w:cs="Times New Roman"/>
          <w:color w:val="000000"/>
          <w:szCs w:val="21"/>
          <w:vertAlign w:val="superscript"/>
        </w:rPr>
        <w:t>D840N</w:t>
      </w:r>
      <w:r>
        <w:rPr>
          <w:rFonts w:ascii="Times New Roman" w:hAnsi="Times New Roman" w:eastAsia="宋体" w:cs="Times New Roman"/>
          <w:color w:val="000000"/>
          <w:szCs w:val="21"/>
        </w:rPr>
        <w:t>.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All data are presented as mean ± SD. 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0.05, ** </w:t>
      </w:r>
      <w:r>
        <w:rPr>
          <w:rFonts w:ascii="Times New Roman" w:hAnsi="Times New Roman" w:cs="Times New Roman"/>
          <w:i/>
          <w:iCs/>
          <w:szCs w:val="21"/>
        </w:rPr>
        <w:t xml:space="preserve">P </w:t>
      </w:r>
      <w:r>
        <w:rPr>
          <w:rFonts w:ascii="Times New Roman" w:hAnsi="Times New Roman" w:cs="Times New Roman"/>
          <w:szCs w:val="21"/>
        </w:rPr>
        <w:t xml:space="preserve">&lt; 0.01, *** </w:t>
      </w:r>
      <w:r>
        <w:rPr>
          <w:rFonts w:ascii="Times New Roman" w:hAnsi="Times New Roman" w:cs="Times New Roman"/>
          <w:i/>
          <w:iCs/>
          <w:szCs w:val="21"/>
        </w:rPr>
        <w:t xml:space="preserve">P </w:t>
      </w:r>
      <w:r>
        <w:rPr>
          <w:rFonts w:ascii="Times New Roman" w:hAnsi="Times New Roman" w:cs="Times New Roman"/>
          <w:szCs w:val="21"/>
        </w:rPr>
        <w:t xml:space="preserve">&lt; 0.001, **** </w:t>
      </w:r>
      <w:r>
        <w:rPr>
          <w:rFonts w:ascii="Times New Roman" w:hAnsi="Times New Roman" w:cs="Times New Roman"/>
          <w:i/>
          <w:iCs/>
          <w:szCs w:val="21"/>
        </w:rPr>
        <w:t xml:space="preserve">P </w:t>
      </w:r>
      <w:r>
        <w:rPr>
          <w:rFonts w:ascii="Times New Roman" w:hAnsi="Times New Roman" w:cs="Times New Roman"/>
          <w:szCs w:val="21"/>
        </w:rPr>
        <w:t>&lt; 0.0001.</w:t>
      </w:r>
      <w:r>
        <w:rPr>
          <w:rFonts w:ascii="Times New Roman" w:hAnsi="Times New Roman" w:cs="Times New Roman"/>
          <w:szCs w:val="21"/>
        </w:rPr>
        <w:br w:type="page"/>
      </w:r>
    </w:p>
    <w:p w14:paraId="4C111E45">
      <w:pPr>
        <w:spacing w:line="480" w:lineRule="auto"/>
        <w:jc w:val="center"/>
        <w:rPr>
          <w:rFonts w:hint="eastAsia" w:ascii="Times New Roman" w:hAnsi="Times New Roman" w:eastAsia="宋体" w:cs="Times New Roman"/>
          <w:b/>
          <w:bCs/>
          <w:szCs w:val="21"/>
          <w:lang w:eastAsia="zh-CN"/>
        </w:rPr>
      </w:pPr>
      <w:bookmarkStart w:id="1" w:name="_GoBack"/>
      <w:r>
        <w:rPr>
          <w:rFonts w:hint="eastAsia" w:ascii="Times New Roman" w:hAnsi="Times New Roman" w:eastAsia="宋体" w:cs="Times New Roman"/>
          <w:b/>
          <w:bCs/>
          <w:szCs w:val="21"/>
          <w:lang w:eastAsia="zh-CN"/>
        </w:rPr>
        <w:drawing>
          <wp:inline distT="0" distB="0" distL="114300" distR="114300">
            <wp:extent cx="5271770" cy="6805295"/>
            <wp:effectExtent l="0" t="0" r="5080" b="5080"/>
            <wp:docPr id="3" name="图片 3" descr="Supplementary Fig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upplementary Figure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80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14:paraId="4924C45A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Figure S4. Inhibition of NAT10 enhances the efficacy of anti-PD-L1 therapy </w:t>
      </w:r>
      <w:r>
        <w:rPr>
          <w:rFonts w:ascii="Times New Roman" w:hAnsi="Times New Roman" w:cs="Times New Roman"/>
          <w:b/>
          <w:bCs/>
          <w:i/>
          <w:szCs w:val="21"/>
        </w:rPr>
        <w:t>in vivo</w:t>
      </w:r>
      <w:r>
        <w:rPr>
          <w:rFonts w:ascii="Times New Roman" w:hAnsi="Times New Roman" w:cs="Times New Roman"/>
          <w:b/>
          <w:bCs/>
          <w:szCs w:val="21"/>
        </w:rPr>
        <w:t xml:space="preserve">. 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(A)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eastAsia="宋体" w:cs="Times New Roman"/>
          <w:color w:val="000000"/>
          <w:szCs w:val="21"/>
        </w:rPr>
        <w:t>Body weight curves of mice treated with shNC, shNAT10, anti-PD-L1 antibody, or the combination of shNAT10 and anti-PD-L1 (</w:t>
      </w:r>
      <w:r>
        <w:rPr>
          <w:rFonts w:ascii="Times New Roman" w:hAnsi="Times New Roman" w:eastAsia="宋体" w:cs="Times New Roman"/>
          <w:i/>
          <w:iCs/>
          <w:color w:val="000000"/>
          <w:szCs w:val="21"/>
        </w:rPr>
        <w:t>n</w:t>
      </w:r>
      <w:r>
        <w:rPr>
          <w:rFonts w:ascii="Times New Roman" w:hAnsi="Times New Roman" w:eastAsia="宋体" w:cs="Times New Roman"/>
          <w:color w:val="000000"/>
          <w:szCs w:val="21"/>
        </w:rPr>
        <w:t xml:space="preserve"> = 6).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(B)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eastAsia="宋体" w:cs="Times New Roman"/>
          <w:color w:val="000000"/>
          <w:szCs w:val="21"/>
        </w:rPr>
        <w:t>Representative H&amp;E staining of the heart, lung, liver, and kidney from mice bearing 4T1 tumors across different treatment groups (</w:t>
      </w:r>
      <w:r>
        <w:rPr>
          <w:rFonts w:ascii="Times New Roman" w:hAnsi="Times New Roman" w:eastAsia="宋体" w:cs="Times New Roman"/>
          <w:i/>
          <w:iCs/>
          <w:color w:val="000000"/>
          <w:szCs w:val="21"/>
        </w:rPr>
        <w:t>n</w:t>
      </w:r>
      <w:r>
        <w:rPr>
          <w:rFonts w:ascii="Times New Roman" w:hAnsi="Times New Roman" w:eastAsia="宋体" w:cs="Times New Roman"/>
          <w:color w:val="000000"/>
          <w:szCs w:val="21"/>
        </w:rPr>
        <w:t xml:space="preserve"> = 6; scale bars, 50 μm).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(C-F)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eastAsia="宋体" w:cs="Times New Roman"/>
          <w:color w:val="000000"/>
          <w:szCs w:val="21"/>
        </w:rPr>
        <w:t>Tumor growth in nude mice bearing shNC or shNAT10 4T1 tumors (</w:t>
      </w:r>
      <w:r>
        <w:rPr>
          <w:rFonts w:ascii="Times New Roman" w:hAnsi="Times New Roman" w:eastAsia="宋体" w:cs="Times New Roman"/>
          <w:i/>
          <w:iCs/>
          <w:color w:val="000000"/>
          <w:szCs w:val="21"/>
        </w:rPr>
        <w:t>n</w:t>
      </w:r>
      <w:r>
        <w:rPr>
          <w:rFonts w:ascii="Times New Roman" w:hAnsi="Times New Roman" w:eastAsia="宋体" w:cs="Times New Roman"/>
          <w:color w:val="000000"/>
          <w:szCs w:val="21"/>
        </w:rPr>
        <w:t xml:space="preserve"> = 6), including representative tumor images 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(C)</w:t>
      </w:r>
      <w:r>
        <w:rPr>
          <w:rFonts w:ascii="Times New Roman" w:hAnsi="Times New Roman" w:eastAsia="宋体" w:cs="Times New Roman"/>
          <w:color w:val="000000"/>
          <w:szCs w:val="21"/>
        </w:rPr>
        <w:t xml:space="preserve">, tumor growth curves 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(D)</w:t>
      </w:r>
      <w:r>
        <w:rPr>
          <w:rFonts w:ascii="Times New Roman" w:hAnsi="Times New Roman" w:eastAsia="宋体" w:cs="Times New Roman"/>
          <w:color w:val="000000"/>
          <w:szCs w:val="21"/>
        </w:rPr>
        <w:t xml:space="preserve">, tumor weights 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(E)</w:t>
      </w:r>
      <w:r>
        <w:rPr>
          <w:rFonts w:ascii="Times New Roman" w:hAnsi="Times New Roman" w:eastAsia="宋体" w:cs="Times New Roman"/>
          <w:color w:val="000000"/>
          <w:szCs w:val="21"/>
        </w:rPr>
        <w:t xml:space="preserve">, and body weight curves 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(F)</w:t>
      </w:r>
      <w:r>
        <w:rPr>
          <w:rFonts w:ascii="Times New Roman" w:hAnsi="Times New Roman" w:eastAsia="宋体" w:cs="Times New Roman"/>
          <w:color w:val="000000"/>
          <w:szCs w:val="21"/>
        </w:rPr>
        <w:t>.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 xml:space="preserve"> (G) </w:t>
      </w:r>
      <w:r>
        <w:rPr>
          <w:rFonts w:ascii="Times New Roman" w:hAnsi="Times New Roman" w:eastAsia="宋体" w:cs="Times New Roman"/>
          <w:color w:val="000000"/>
          <w:szCs w:val="21"/>
        </w:rPr>
        <w:t>Schematic illustration of the tumor model and treatment schedule with anti-CD8α antibody administration.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 xml:space="preserve">(H-I) </w:t>
      </w:r>
      <w:r>
        <w:rPr>
          <w:rFonts w:ascii="Times New Roman" w:hAnsi="Times New Roman" w:eastAsia="宋体" w:cs="Times New Roman"/>
          <w:color w:val="000000"/>
          <w:szCs w:val="21"/>
        </w:rPr>
        <w:t xml:space="preserve">Representative flow cytometry plots showing CD3⁺CD8⁺ T cells (PE-CD3 vs. APC-CD8) in the peripheral blood of mice bearing shNC or shNAT10 tumors treated with IgG or anti-CD8α antibody, together with quantification of CD3⁺CD8⁺ T cells frequencies. 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(J-M)</w:t>
      </w:r>
      <w:r>
        <w:rPr>
          <w:rFonts w:ascii="Times New Roman" w:hAnsi="Times New Roman" w:eastAsia="宋体" w:cs="Times New Roman"/>
          <w:color w:val="000000"/>
          <w:szCs w:val="21"/>
        </w:rPr>
        <w:t xml:space="preserve"> Representative tumor images 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(J)</w:t>
      </w:r>
      <w:r>
        <w:rPr>
          <w:rFonts w:ascii="Times New Roman" w:hAnsi="Times New Roman" w:eastAsia="宋体" w:cs="Times New Roman"/>
          <w:color w:val="000000"/>
          <w:szCs w:val="21"/>
        </w:rPr>
        <w:t xml:space="preserve">, tumor growth curves 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(K)</w:t>
      </w:r>
      <w:r>
        <w:rPr>
          <w:rFonts w:ascii="Times New Roman" w:hAnsi="Times New Roman" w:eastAsia="宋体" w:cs="Times New Roman"/>
          <w:color w:val="000000"/>
          <w:szCs w:val="21"/>
        </w:rPr>
        <w:t xml:space="preserve">, tumor weights 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(L)</w:t>
      </w:r>
      <w:r>
        <w:rPr>
          <w:rFonts w:ascii="Times New Roman" w:hAnsi="Times New Roman" w:eastAsia="宋体" w:cs="Times New Roman"/>
          <w:color w:val="000000"/>
          <w:szCs w:val="21"/>
        </w:rPr>
        <w:t xml:space="preserve">, and body weight curves 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 xml:space="preserve">(M) </w:t>
      </w:r>
      <w:r>
        <w:rPr>
          <w:rFonts w:ascii="Times New Roman" w:hAnsi="Times New Roman" w:eastAsia="宋体" w:cs="Times New Roman"/>
          <w:color w:val="000000"/>
          <w:szCs w:val="21"/>
        </w:rPr>
        <w:t>of 4T1 tumor bearing mice treated with shNC plus anti-IgG, shNAT10 plus anti-IgG, shNC plus anti-CD8α, or shNAT10 plus anti-CD8α (</w:t>
      </w:r>
      <w:r>
        <w:rPr>
          <w:rFonts w:ascii="Times New Roman" w:hAnsi="Times New Roman" w:eastAsia="宋体" w:cs="Times New Roman"/>
          <w:i/>
          <w:iCs/>
          <w:color w:val="000000"/>
          <w:szCs w:val="21"/>
        </w:rPr>
        <w:t>n</w:t>
      </w:r>
      <w:r>
        <w:rPr>
          <w:rFonts w:ascii="Times New Roman" w:hAnsi="Times New Roman" w:eastAsia="宋体" w:cs="Times New Roman"/>
          <w:color w:val="000000"/>
          <w:szCs w:val="21"/>
        </w:rPr>
        <w:t xml:space="preserve"> = 6).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 xml:space="preserve">(N) </w:t>
      </w:r>
      <w:r>
        <w:rPr>
          <w:rFonts w:ascii="Times New Roman" w:hAnsi="Times New Roman" w:eastAsia="宋体" w:cs="Times New Roman"/>
          <w:color w:val="000000"/>
          <w:szCs w:val="21"/>
        </w:rPr>
        <w:t>Correlation analysis of NAT10, HDAC4, and PD-L1 mRNA expression with Treg infiltration levels in the TCGA RNA-seq dataset.</w:t>
      </w:r>
    </w:p>
    <w:p w14:paraId="798EE497">
      <w:r>
        <w:rPr>
          <w:rFonts w:ascii="Times New Roman" w:hAnsi="Times New Roman" w:cs="Times New Roman"/>
          <w:szCs w:val="21"/>
        </w:rPr>
        <w:t xml:space="preserve">All data are presented as mean ± SD. 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0.05, ** </w:t>
      </w:r>
      <w:r>
        <w:rPr>
          <w:rFonts w:ascii="Times New Roman" w:hAnsi="Times New Roman" w:cs="Times New Roman"/>
          <w:i/>
          <w:iCs/>
          <w:szCs w:val="21"/>
        </w:rPr>
        <w:t xml:space="preserve">P </w:t>
      </w:r>
      <w:r>
        <w:rPr>
          <w:rFonts w:ascii="Times New Roman" w:hAnsi="Times New Roman" w:cs="Times New Roman"/>
          <w:szCs w:val="21"/>
        </w:rPr>
        <w:t xml:space="preserve">&lt; 0.01, *** </w:t>
      </w:r>
      <w:r>
        <w:rPr>
          <w:rFonts w:ascii="Times New Roman" w:hAnsi="Times New Roman" w:cs="Times New Roman"/>
          <w:i/>
          <w:iCs/>
          <w:szCs w:val="21"/>
        </w:rPr>
        <w:t xml:space="preserve">P </w:t>
      </w:r>
      <w:r>
        <w:rPr>
          <w:rFonts w:ascii="Times New Roman" w:hAnsi="Times New Roman" w:cs="Times New Roman"/>
          <w:szCs w:val="21"/>
        </w:rPr>
        <w:t xml:space="preserve">&lt; 0.001, **** </w:t>
      </w:r>
      <w:r>
        <w:rPr>
          <w:rFonts w:ascii="Times New Roman" w:hAnsi="Times New Roman" w:cs="Times New Roman"/>
          <w:i/>
          <w:iCs/>
          <w:szCs w:val="21"/>
        </w:rPr>
        <w:t xml:space="preserve">P </w:t>
      </w:r>
      <w:r>
        <w:rPr>
          <w:rFonts w:ascii="Times New Roman" w:hAnsi="Times New Roman" w:cs="Times New Roman"/>
          <w:szCs w:val="21"/>
        </w:rPr>
        <w:t>&lt; 0.0001.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35639598"/>
      <w:docPartObj>
        <w:docPartGallery w:val="autotext"/>
      </w:docPartObj>
    </w:sdtPr>
    <w:sdtContent>
      <w:p w14:paraId="170CDBEF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04999D3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5C6B1E"/>
    <w:multiLevelType w:val="multilevel"/>
    <w:tmpl w:val="175C6B1E"/>
    <w:lvl w:ilvl="0" w:tentative="0">
      <w:start w:val="1"/>
      <w:numFmt w:val="upperLetter"/>
      <w:lvlText w:val="(%1)"/>
      <w:lvlJc w:val="left"/>
      <w:pPr>
        <w:ind w:left="360" w:hanging="36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3E9"/>
    <w:rsid w:val="009703E9"/>
    <w:rsid w:val="00A26810"/>
    <w:rsid w:val="00F773B2"/>
    <w:rsid w:val="2D673B1C"/>
    <w:rsid w:val="64AA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PH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6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eastAsiaTheme="minorEastAsia"/>
      <w:kern w:val="2"/>
      <w:sz w:val="18"/>
      <w:szCs w:val="18"/>
      <w:lang w:val="en-US" w:eastAsia="zh-CN"/>
    </w:rPr>
  </w:style>
  <w:style w:type="character" w:customStyle="1" w:styleId="6">
    <w:name w:val="Footer Char"/>
    <w:basedOn w:val="5"/>
    <w:link w:val="3"/>
    <w:qFormat/>
    <w:uiPriority w:val="99"/>
    <w:rPr>
      <w:rFonts w:eastAsiaTheme="minorEastAsia"/>
      <w:kern w:val="2"/>
      <w:sz w:val="18"/>
      <w:szCs w:val="18"/>
      <w:lang w:val="en-US" w:eastAsia="zh-CN"/>
    </w:rPr>
  </w:style>
  <w:style w:type="paragraph" w:styleId="7">
    <w:name w:val="List Paragraph"/>
    <w:basedOn w:val="1"/>
    <w:qFormat/>
    <w:uiPriority w:val="34"/>
    <w:pPr>
      <w:widowControl w:val="0"/>
      <w:spacing w:after="0" w:line="240" w:lineRule="auto"/>
      <w:ind w:firstLine="420" w:firstLineChars="200"/>
      <w:jc w:val="both"/>
    </w:pPr>
    <w:rPr>
      <w:rFonts w:eastAsiaTheme="minorEastAsia"/>
      <w:kern w:val="2"/>
      <w:sz w:val="21"/>
      <w:lang w:val="en-US" w:eastAsia="zh-CN"/>
    </w:rPr>
  </w:style>
  <w:style w:type="character" w:customStyle="1" w:styleId="8">
    <w:name w:val="Balloon Text Char"/>
    <w:basedOn w:val="5"/>
    <w:link w:val="2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tiff"/><Relationship Id="rId8" Type="http://schemas.openxmlformats.org/officeDocument/2006/relationships/image" Target="media/image2.tiff"/><Relationship Id="rId7" Type="http://schemas.openxmlformats.org/officeDocument/2006/relationships/image" Target="media/image1.tiff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4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566</Words>
  <Characters>2878</Characters>
  <Lines>27</Lines>
  <Paragraphs>7</Paragraphs>
  <TotalTime>81</TotalTime>
  <ScaleCrop>false</ScaleCrop>
  <LinksUpToDate>false</LinksUpToDate>
  <CharactersWithSpaces>3436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2026-01-05T03:10:00Z</dcterms:created>
  <dc:creator>Merriecris Palopalo</dc:creator>
  <cp:lastModifiedBy>风吹草低见牛羊的 。</cp:lastModifiedBy>
  <dcterms:modified xsi:type="dcterms:W3CDTF">2026-01-06T14:54:35Z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eyJoZGlkIjoiOTkyZTExODg3OWI4ZWQ4NjJlODk2YWUyNzY4YmFhZjMiLCJ1c2VySWQiOiI0ODc2MTE5NDYifQ==</vt:lpwstr>
  </property>
  <property fmtid="{D5CDD505-2E9C-101B-9397-08002B2CF9AE}" pid="3" name="KSOProductBuildVer">
    <vt:lpwstr>2052-12.1.0.24034</vt:lpwstr>
  </property>
  <property fmtid="{D5CDD505-2E9C-101B-9397-08002B2CF9AE}" pid="4" name="ICV">
    <vt:lpwstr>468815648B6A4D5A806BF185E4F511B2_13</vt:lpwstr>
  </property>
</Properties>
</file>