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7FF066">
      <w:pPr>
        <w:spacing w:line="480" w:lineRule="auto"/>
        <w:jc w:val="left"/>
        <w:rPr>
          <w:rFonts w:hint="eastAsia" w:ascii="Arial" w:hAnsi="Arial" w:cs="Arial" w:eastAsiaTheme="minorEastAsia"/>
          <w:b/>
          <w:bCs/>
          <w:kern w:val="0"/>
          <w:szCs w:val="21"/>
          <w:lang w:val="en-US" w:eastAsia="zh-CN"/>
        </w:rPr>
      </w:pPr>
      <w:r>
        <w:rPr>
          <w:rFonts w:hint="eastAsia" w:ascii="Arial" w:hAnsi="Arial" w:cs="Arial"/>
          <w:b/>
          <w:bCs/>
          <w:kern w:val="0"/>
          <w:szCs w:val="21"/>
        </w:rPr>
        <w:t>Table S1. Key reagents, antibodies, chemicals, and assay kits</w:t>
      </w:r>
      <w:r>
        <w:rPr>
          <w:rFonts w:hint="eastAsia" w:ascii="Arial" w:hAnsi="Arial" w:cs="Arial"/>
          <w:b/>
          <w:bCs/>
          <w:kern w:val="0"/>
          <w:szCs w:val="21"/>
          <w:lang w:val="en-US" w:eastAsia="zh-CN"/>
        </w:rPr>
        <w:t>.</w:t>
      </w:r>
      <w:bookmarkStart w:id="13" w:name="_GoBack"/>
      <w:bookmarkEnd w:id="13"/>
    </w:p>
    <w:tbl>
      <w:tblPr>
        <w:tblStyle w:val="4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34"/>
        <w:gridCol w:w="2006"/>
        <w:gridCol w:w="2879"/>
      </w:tblGrid>
      <w:tr w14:paraId="72E601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32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05A19893">
            <w:pPr>
              <w:spacing w:line="360" w:lineRule="auto"/>
              <w:jc w:val="left"/>
              <w:rPr>
                <w:rFonts w:ascii="Arial" w:hAnsi="Arial" w:cs="Arial"/>
                <w:b/>
                <w:bCs/>
                <w:kern w:val="0"/>
                <w:szCs w:val="21"/>
              </w:rPr>
            </w:pPr>
            <w:bookmarkStart w:id="0" w:name="_Hlk206867123"/>
            <w:r>
              <w:rPr>
                <w:rFonts w:ascii="Arial" w:hAnsi="Arial" w:cs="Arial"/>
                <w:b/>
                <w:bCs/>
                <w:kern w:val="0"/>
                <w:szCs w:val="21"/>
              </w:rPr>
              <w:t>REAGENT or RESOURCE</w:t>
            </w:r>
          </w:p>
        </w:tc>
        <w:tc>
          <w:tcPr>
            <w:tcW w:w="1177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2366F787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kern w:val="0"/>
                <w:szCs w:val="21"/>
              </w:rPr>
            </w:pPr>
            <w:r>
              <w:rPr>
                <w:rFonts w:ascii="Arial" w:hAnsi="Arial" w:cs="Arial"/>
                <w:b/>
                <w:bCs/>
                <w:kern w:val="0"/>
                <w:szCs w:val="21"/>
              </w:rPr>
              <w:t>SOURCE</w:t>
            </w:r>
          </w:p>
        </w:tc>
        <w:tc>
          <w:tcPr>
            <w:tcW w:w="1689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4032AB64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kern w:val="0"/>
                <w:szCs w:val="21"/>
              </w:rPr>
            </w:pPr>
            <w:r>
              <w:rPr>
                <w:rFonts w:ascii="Arial" w:hAnsi="Arial" w:cs="Arial"/>
                <w:b/>
                <w:bCs/>
                <w:kern w:val="0"/>
                <w:szCs w:val="21"/>
              </w:rPr>
              <w:t>IDENTIFIER</w:t>
            </w:r>
          </w:p>
        </w:tc>
      </w:tr>
      <w:bookmarkEnd w:id="0"/>
      <w:tr w14:paraId="6CB2CD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32" w:type="pct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 w14:paraId="7CDE2E90">
            <w:pPr>
              <w:spacing w:line="360" w:lineRule="auto"/>
              <w:rPr>
                <w:rFonts w:ascii="Arial" w:hAnsi="Arial" w:cs="Arial"/>
                <w:b/>
                <w:bCs/>
                <w:szCs w:val="21"/>
              </w:rPr>
            </w:pPr>
            <w:r>
              <w:rPr>
                <w:rFonts w:ascii="Arial" w:hAnsi="Arial" w:cs="Arial"/>
                <w:b/>
                <w:bCs/>
                <w:szCs w:val="21"/>
              </w:rPr>
              <w:t>Antibodies</w:t>
            </w:r>
          </w:p>
        </w:tc>
        <w:tc>
          <w:tcPr>
            <w:tcW w:w="1177" w:type="pct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 w14:paraId="72AD486A">
            <w:pPr>
              <w:spacing w:line="360" w:lineRule="auto"/>
              <w:jc w:val="center"/>
              <w:rPr>
                <w:rFonts w:ascii="Arial" w:hAnsi="Arial" w:cs="Arial"/>
                <w:szCs w:val="21"/>
              </w:rPr>
            </w:pPr>
          </w:p>
        </w:tc>
        <w:tc>
          <w:tcPr>
            <w:tcW w:w="1689" w:type="pct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 w14:paraId="7CBFFF51">
            <w:pPr>
              <w:spacing w:line="360" w:lineRule="auto"/>
              <w:jc w:val="center"/>
              <w:rPr>
                <w:rFonts w:ascii="Arial" w:hAnsi="Arial" w:cs="Arial"/>
                <w:szCs w:val="21"/>
              </w:rPr>
            </w:pPr>
          </w:p>
        </w:tc>
      </w:tr>
      <w:tr w14:paraId="5C335F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32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22835457">
            <w:pPr>
              <w:spacing w:line="360" w:lineRule="auto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H3K4me3</w:t>
            </w:r>
          </w:p>
        </w:tc>
        <w:tc>
          <w:tcPr>
            <w:tcW w:w="1177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23474C2C">
            <w:pPr>
              <w:spacing w:line="360" w:lineRule="auto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CST</w:t>
            </w:r>
          </w:p>
        </w:tc>
        <w:tc>
          <w:tcPr>
            <w:tcW w:w="1689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0142012A">
            <w:pPr>
              <w:spacing w:line="360" w:lineRule="auto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9751S</w:t>
            </w:r>
          </w:p>
        </w:tc>
      </w:tr>
      <w:tr w14:paraId="1EA6D3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D74706">
            <w:pPr>
              <w:spacing w:line="360" w:lineRule="auto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H3K9me3</w:t>
            </w:r>
          </w:p>
        </w:tc>
        <w:tc>
          <w:tcPr>
            <w:tcW w:w="117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CC71EC">
            <w:pPr>
              <w:spacing w:line="360" w:lineRule="auto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CST</w:t>
            </w:r>
          </w:p>
        </w:tc>
        <w:tc>
          <w:tcPr>
            <w:tcW w:w="16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3B1BD0">
            <w:pPr>
              <w:spacing w:line="360" w:lineRule="auto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13969S</w:t>
            </w:r>
          </w:p>
        </w:tc>
      </w:tr>
      <w:tr w14:paraId="1CEE95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2FBBC4">
            <w:pPr>
              <w:spacing w:line="360" w:lineRule="auto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H3K27me3</w:t>
            </w:r>
          </w:p>
        </w:tc>
        <w:tc>
          <w:tcPr>
            <w:tcW w:w="117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432CD7">
            <w:pPr>
              <w:spacing w:line="360" w:lineRule="auto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CST</w:t>
            </w:r>
          </w:p>
        </w:tc>
        <w:tc>
          <w:tcPr>
            <w:tcW w:w="16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1BF765">
            <w:pPr>
              <w:spacing w:line="360" w:lineRule="auto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9733S</w:t>
            </w:r>
          </w:p>
        </w:tc>
      </w:tr>
      <w:tr w14:paraId="525B88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D1EB34">
            <w:pPr>
              <w:spacing w:line="360" w:lineRule="auto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H3K36me3</w:t>
            </w:r>
          </w:p>
        </w:tc>
        <w:tc>
          <w:tcPr>
            <w:tcW w:w="117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391663">
            <w:pPr>
              <w:spacing w:line="360" w:lineRule="auto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CST</w:t>
            </w:r>
          </w:p>
        </w:tc>
        <w:tc>
          <w:tcPr>
            <w:tcW w:w="16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1CAE67">
            <w:pPr>
              <w:spacing w:line="360" w:lineRule="auto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4909S</w:t>
            </w:r>
          </w:p>
        </w:tc>
      </w:tr>
      <w:tr w14:paraId="77CBE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C23BF8">
            <w:pPr>
              <w:spacing w:line="360" w:lineRule="auto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P53</w:t>
            </w:r>
          </w:p>
        </w:tc>
        <w:tc>
          <w:tcPr>
            <w:tcW w:w="117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8362BF">
            <w:pPr>
              <w:spacing w:line="360" w:lineRule="auto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CST</w:t>
            </w:r>
          </w:p>
        </w:tc>
        <w:tc>
          <w:tcPr>
            <w:tcW w:w="16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70286E">
            <w:pPr>
              <w:spacing w:line="360" w:lineRule="auto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32532S</w:t>
            </w:r>
          </w:p>
        </w:tc>
      </w:tr>
      <w:tr w14:paraId="37F4CC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96F47E">
            <w:pPr>
              <w:spacing w:line="360" w:lineRule="auto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IgG</w:t>
            </w:r>
          </w:p>
        </w:tc>
        <w:tc>
          <w:tcPr>
            <w:tcW w:w="117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2E73C4">
            <w:pPr>
              <w:spacing w:line="360" w:lineRule="auto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CST</w:t>
            </w:r>
          </w:p>
        </w:tc>
        <w:tc>
          <w:tcPr>
            <w:tcW w:w="16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1C18EC">
            <w:pPr>
              <w:spacing w:line="360" w:lineRule="auto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2729S</w:t>
            </w:r>
          </w:p>
        </w:tc>
      </w:tr>
      <w:tr w14:paraId="3D4E64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D8C431">
            <w:pPr>
              <w:spacing w:line="360" w:lineRule="auto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CXCL10</w:t>
            </w:r>
          </w:p>
        </w:tc>
        <w:tc>
          <w:tcPr>
            <w:tcW w:w="117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EB47BE">
            <w:pPr>
              <w:spacing w:line="360" w:lineRule="auto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Affinity</w:t>
            </w:r>
          </w:p>
        </w:tc>
        <w:tc>
          <w:tcPr>
            <w:tcW w:w="16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2C29DA">
            <w:pPr>
              <w:spacing w:line="360" w:lineRule="auto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DF6417</w:t>
            </w:r>
          </w:p>
        </w:tc>
      </w:tr>
      <w:tr w14:paraId="583243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09E6C6">
            <w:pPr>
              <w:spacing w:line="360" w:lineRule="auto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eastAsia="Segoe UI" w:cs="Arial"/>
                <w:szCs w:val="21"/>
                <w:shd w:val="clear" w:color="auto" w:fill="FFFFFF"/>
                <w:lang w:bidi="ar"/>
              </w:rPr>
              <w:t>Pan-CK</w:t>
            </w:r>
          </w:p>
        </w:tc>
        <w:tc>
          <w:tcPr>
            <w:tcW w:w="117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E6FC2A">
            <w:pPr>
              <w:spacing w:line="360" w:lineRule="auto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abcam</w:t>
            </w:r>
          </w:p>
        </w:tc>
        <w:tc>
          <w:tcPr>
            <w:tcW w:w="16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64C6F9">
            <w:pPr>
              <w:spacing w:line="360" w:lineRule="auto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ab7753</w:t>
            </w:r>
          </w:p>
        </w:tc>
      </w:tr>
      <w:tr w14:paraId="12F34C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58629C">
            <w:pPr>
              <w:spacing w:line="360" w:lineRule="auto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eastAsia="Segoe UI" w:cs="Arial"/>
                <w:szCs w:val="21"/>
                <w:shd w:val="clear" w:color="auto" w:fill="FFFFFF"/>
                <w:lang w:bidi="ar"/>
              </w:rPr>
              <w:t>CD4</w:t>
            </w:r>
          </w:p>
        </w:tc>
        <w:tc>
          <w:tcPr>
            <w:tcW w:w="117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CBB139">
            <w:pPr>
              <w:spacing w:line="360" w:lineRule="auto"/>
              <w:jc w:val="center"/>
              <w:rPr>
                <w:rFonts w:ascii="Arial" w:hAnsi="Arial" w:cs="Arial"/>
                <w:szCs w:val="21"/>
              </w:rPr>
            </w:pPr>
            <w:bookmarkStart w:id="1" w:name="OLE_LINK43"/>
            <w:bookmarkStart w:id="2" w:name="OLE_LINK42"/>
            <w:r>
              <w:rPr>
                <w:rFonts w:ascii="Arial" w:hAnsi="Arial" w:cs="Arial"/>
                <w:szCs w:val="21"/>
              </w:rPr>
              <w:t>abcam</w:t>
            </w:r>
            <w:bookmarkEnd w:id="1"/>
            <w:bookmarkEnd w:id="2"/>
          </w:p>
        </w:tc>
        <w:tc>
          <w:tcPr>
            <w:tcW w:w="16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5A942D">
            <w:pPr>
              <w:spacing w:line="360" w:lineRule="auto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ab288724</w:t>
            </w:r>
          </w:p>
        </w:tc>
      </w:tr>
      <w:tr w14:paraId="1D46B0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C02AA9">
            <w:pPr>
              <w:spacing w:line="360" w:lineRule="auto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CD8</w:t>
            </w:r>
          </w:p>
        </w:tc>
        <w:tc>
          <w:tcPr>
            <w:tcW w:w="117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3143D9">
            <w:pPr>
              <w:spacing w:line="360" w:lineRule="auto"/>
              <w:jc w:val="center"/>
              <w:rPr>
                <w:rFonts w:ascii="Arial" w:hAnsi="Arial" w:cs="Arial"/>
                <w:szCs w:val="21"/>
              </w:rPr>
            </w:pPr>
            <w:bookmarkStart w:id="3" w:name="OLE_LINK93"/>
            <w:bookmarkStart w:id="4" w:name="OLE_LINK94"/>
            <w:r>
              <w:rPr>
                <w:rFonts w:ascii="Arial" w:hAnsi="Arial" w:cs="Arial"/>
                <w:szCs w:val="21"/>
              </w:rPr>
              <w:t>abcam</w:t>
            </w:r>
            <w:bookmarkEnd w:id="3"/>
            <w:bookmarkEnd w:id="4"/>
          </w:p>
        </w:tc>
        <w:tc>
          <w:tcPr>
            <w:tcW w:w="16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04CD59">
            <w:pPr>
              <w:spacing w:line="360" w:lineRule="auto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ab316778</w:t>
            </w:r>
          </w:p>
        </w:tc>
      </w:tr>
      <w:tr w14:paraId="520CC8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488A62">
            <w:pPr>
              <w:spacing w:line="360" w:lineRule="auto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CD3</w:t>
            </w:r>
          </w:p>
        </w:tc>
        <w:tc>
          <w:tcPr>
            <w:tcW w:w="117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F19E40">
            <w:pPr>
              <w:spacing w:line="360" w:lineRule="auto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abcam</w:t>
            </w:r>
          </w:p>
        </w:tc>
        <w:tc>
          <w:tcPr>
            <w:tcW w:w="16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50F67D">
            <w:pPr>
              <w:spacing w:line="360" w:lineRule="auto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ab135372</w:t>
            </w:r>
          </w:p>
        </w:tc>
      </w:tr>
      <w:tr w14:paraId="0E300A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248781">
            <w:pPr>
              <w:spacing w:line="360" w:lineRule="auto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CD20</w:t>
            </w:r>
          </w:p>
        </w:tc>
        <w:tc>
          <w:tcPr>
            <w:tcW w:w="117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6F40D3">
            <w:pPr>
              <w:spacing w:line="360" w:lineRule="auto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proteintech</w:t>
            </w:r>
          </w:p>
        </w:tc>
        <w:tc>
          <w:tcPr>
            <w:tcW w:w="16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1693C7">
            <w:pPr>
              <w:spacing w:line="360" w:lineRule="auto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24828-1-AP</w:t>
            </w:r>
          </w:p>
        </w:tc>
      </w:tr>
      <w:tr w14:paraId="7AD253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125A79">
            <w:pPr>
              <w:spacing w:line="360" w:lineRule="auto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CD31</w:t>
            </w:r>
          </w:p>
        </w:tc>
        <w:tc>
          <w:tcPr>
            <w:tcW w:w="117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25A482">
            <w:pPr>
              <w:spacing w:line="360" w:lineRule="auto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abcam</w:t>
            </w:r>
          </w:p>
        </w:tc>
        <w:tc>
          <w:tcPr>
            <w:tcW w:w="16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24CCD2">
            <w:pPr>
              <w:spacing w:line="360" w:lineRule="auto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ab222783</w:t>
            </w:r>
          </w:p>
        </w:tc>
      </w:tr>
      <w:tr w14:paraId="7328BD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B6286A">
            <w:pPr>
              <w:spacing w:line="360" w:lineRule="auto"/>
              <w:rPr>
                <w:rFonts w:ascii="Arial" w:hAnsi="Arial" w:eastAsia="Segoe UI" w:cs="Arial"/>
                <w:szCs w:val="21"/>
                <w:shd w:val="clear" w:color="auto" w:fill="FFFFFF"/>
                <w:lang w:bidi="ar"/>
              </w:rPr>
            </w:pPr>
            <w:r>
              <w:rPr>
                <w:rFonts w:ascii="Arial" w:hAnsi="Arial" w:eastAsia="Segoe UI" w:cs="Arial"/>
                <w:szCs w:val="21"/>
                <w:shd w:val="clear" w:color="auto" w:fill="FFFFFF"/>
                <w:lang w:bidi="ar"/>
              </w:rPr>
              <w:t>FOXP3</w:t>
            </w:r>
          </w:p>
        </w:tc>
        <w:tc>
          <w:tcPr>
            <w:tcW w:w="117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3948D7">
            <w:pPr>
              <w:spacing w:line="360" w:lineRule="auto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Affinity</w:t>
            </w:r>
          </w:p>
        </w:tc>
        <w:tc>
          <w:tcPr>
            <w:tcW w:w="16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AC543E">
            <w:pPr>
              <w:spacing w:line="360" w:lineRule="auto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AF6544</w:t>
            </w:r>
          </w:p>
        </w:tc>
      </w:tr>
      <w:tr w14:paraId="5F8E25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B9C380">
            <w:pPr>
              <w:spacing w:line="360" w:lineRule="auto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eastAsia="Segoe UI" w:cs="Arial"/>
                <w:szCs w:val="21"/>
                <w:shd w:val="clear" w:color="auto" w:fill="FFFFFF"/>
                <w:lang w:bidi="ar"/>
              </w:rPr>
              <w:t>CD68</w:t>
            </w:r>
          </w:p>
        </w:tc>
        <w:tc>
          <w:tcPr>
            <w:tcW w:w="117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8DCA83">
            <w:pPr>
              <w:spacing w:line="360" w:lineRule="auto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Affinity</w:t>
            </w:r>
          </w:p>
        </w:tc>
        <w:tc>
          <w:tcPr>
            <w:tcW w:w="16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9EC23B">
            <w:pPr>
              <w:spacing w:line="360" w:lineRule="auto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DF7518</w:t>
            </w:r>
          </w:p>
        </w:tc>
      </w:tr>
      <w:tr w14:paraId="26F0B5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D1BCAC">
            <w:pPr>
              <w:spacing w:line="360" w:lineRule="auto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eastAsia="Segoe UI" w:cs="Arial"/>
                <w:szCs w:val="21"/>
                <w:shd w:val="clear" w:color="auto" w:fill="FFFFFF"/>
                <w:lang w:bidi="ar"/>
              </w:rPr>
              <w:t>CD163</w:t>
            </w:r>
          </w:p>
        </w:tc>
        <w:tc>
          <w:tcPr>
            <w:tcW w:w="117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3FF9CF">
            <w:pPr>
              <w:spacing w:line="360" w:lineRule="auto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Affinity</w:t>
            </w:r>
          </w:p>
        </w:tc>
        <w:tc>
          <w:tcPr>
            <w:tcW w:w="16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5F669F">
            <w:pPr>
              <w:spacing w:line="360" w:lineRule="auto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DF8235</w:t>
            </w:r>
          </w:p>
        </w:tc>
      </w:tr>
      <w:tr w14:paraId="15E22B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C21814">
            <w:pPr>
              <w:spacing w:line="360" w:lineRule="auto"/>
              <w:rPr>
                <w:rFonts w:ascii="Arial" w:hAnsi="Arial" w:eastAsia="Segoe UI" w:cs="Arial"/>
                <w:szCs w:val="21"/>
                <w:shd w:val="clear" w:color="auto" w:fill="FFFFFF"/>
                <w:lang w:bidi="ar"/>
              </w:rPr>
            </w:pPr>
            <w:r>
              <w:rPr>
                <w:rFonts w:ascii="Arial" w:hAnsi="Arial" w:eastAsia="Segoe UI" w:cs="Arial"/>
                <w:szCs w:val="21"/>
                <w:shd w:val="clear" w:color="auto" w:fill="FFFFFF"/>
                <w:lang w:bidi="ar"/>
              </w:rPr>
              <w:t>CXCR3</w:t>
            </w:r>
          </w:p>
        </w:tc>
        <w:tc>
          <w:tcPr>
            <w:tcW w:w="117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228292">
            <w:pPr>
              <w:spacing w:line="360" w:lineRule="auto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Abcam</w:t>
            </w:r>
          </w:p>
        </w:tc>
        <w:tc>
          <w:tcPr>
            <w:tcW w:w="16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F7E392">
            <w:pPr>
              <w:spacing w:line="360" w:lineRule="auto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Ab288437</w:t>
            </w:r>
          </w:p>
        </w:tc>
      </w:tr>
      <w:tr w14:paraId="51F266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30EB23">
            <w:pPr>
              <w:spacing w:line="360" w:lineRule="auto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eastAsia="Segoe UI" w:cs="Arial"/>
                <w:szCs w:val="21"/>
                <w:shd w:val="clear" w:color="auto" w:fill="FFFFFF"/>
                <w:lang w:bidi="ar"/>
              </w:rPr>
              <w:t>CTLA-4</w:t>
            </w:r>
          </w:p>
        </w:tc>
        <w:tc>
          <w:tcPr>
            <w:tcW w:w="117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B96379">
            <w:pPr>
              <w:spacing w:line="360" w:lineRule="auto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CST</w:t>
            </w:r>
          </w:p>
        </w:tc>
        <w:tc>
          <w:tcPr>
            <w:tcW w:w="16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29F6EB">
            <w:pPr>
              <w:spacing w:line="360" w:lineRule="auto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53560T</w:t>
            </w:r>
          </w:p>
        </w:tc>
      </w:tr>
      <w:tr w14:paraId="3729F5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1FEBB8">
            <w:pPr>
              <w:spacing w:line="360" w:lineRule="auto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eastAsia="Segoe UI" w:cs="Arial"/>
                <w:szCs w:val="21"/>
                <w:shd w:val="clear" w:color="auto" w:fill="FFFFFF"/>
                <w:lang w:bidi="ar"/>
              </w:rPr>
              <w:t>Granzyme B</w:t>
            </w:r>
          </w:p>
        </w:tc>
        <w:tc>
          <w:tcPr>
            <w:tcW w:w="117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A2C6A9">
            <w:pPr>
              <w:spacing w:line="360" w:lineRule="auto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Abcam</w:t>
            </w:r>
          </w:p>
        </w:tc>
        <w:tc>
          <w:tcPr>
            <w:tcW w:w="16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AC32EA">
            <w:pPr>
              <w:spacing w:line="360" w:lineRule="auto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ab317458</w:t>
            </w:r>
          </w:p>
        </w:tc>
      </w:tr>
      <w:tr w14:paraId="79026A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BFB75C">
            <w:pPr>
              <w:spacing w:line="360" w:lineRule="auto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IFN-γ</w:t>
            </w:r>
          </w:p>
        </w:tc>
        <w:tc>
          <w:tcPr>
            <w:tcW w:w="117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EA2515">
            <w:pPr>
              <w:spacing w:line="360" w:lineRule="auto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Affinity</w:t>
            </w:r>
          </w:p>
        </w:tc>
        <w:tc>
          <w:tcPr>
            <w:tcW w:w="16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9D563E">
            <w:pPr>
              <w:spacing w:line="360" w:lineRule="auto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DF6045</w:t>
            </w:r>
          </w:p>
        </w:tc>
      </w:tr>
      <w:tr w14:paraId="347AF7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146CFD">
            <w:pPr>
              <w:spacing w:line="360" w:lineRule="auto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CXCL12</w:t>
            </w:r>
          </w:p>
        </w:tc>
        <w:tc>
          <w:tcPr>
            <w:tcW w:w="117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A5FF00">
            <w:pPr>
              <w:spacing w:line="360" w:lineRule="auto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Proteintech</w:t>
            </w:r>
          </w:p>
        </w:tc>
        <w:tc>
          <w:tcPr>
            <w:tcW w:w="16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347BB6">
            <w:pPr>
              <w:spacing w:line="360" w:lineRule="auto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17402-1-AP</w:t>
            </w:r>
          </w:p>
        </w:tc>
      </w:tr>
      <w:tr w14:paraId="074086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AA4526">
            <w:pPr>
              <w:spacing w:line="360" w:lineRule="auto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GAPDH</w:t>
            </w:r>
          </w:p>
        </w:tc>
        <w:tc>
          <w:tcPr>
            <w:tcW w:w="117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2B9EAC">
            <w:pPr>
              <w:spacing w:line="360" w:lineRule="auto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Affinity</w:t>
            </w:r>
          </w:p>
        </w:tc>
        <w:tc>
          <w:tcPr>
            <w:tcW w:w="16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72D420">
            <w:pPr>
              <w:spacing w:line="360" w:lineRule="auto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AF7021</w:t>
            </w:r>
          </w:p>
        </w:tc>
      </w:tr>
      <w:tr w14:paraId="3C7048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632EEB">
            <w:pPr>
              <w:spacing w:line="360" w:lineRule="auto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PC5.5-CD8</w:t>
            </w:r>
          </w:p>
        </w:tc>
        <w:tc>
          <w:tcPr>
            <w:tcW w:w="117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0BC436">
            <w:pPr>
              <w:spacing w:line="360" w:lineRule="auto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BD Pharmingen™</w:t>
            </w:r>
          </w:p>
        </w:tc>
        <w:tc>
          <w:tcPr>
            <w:tcW w:w="16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733977">
            <w:pPr>
              <w:spacing w:line="360" w:lineRule="auto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561092</w:t>
            </w:r>
          </w:p>
        </w:tc>
      </w:tr>
      <w:tr w14:paraId="3D9ED9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E08247">
            <w:pPr>
              <w:spacing w:line="360" w:lineRule="auto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PE-IFN-γ</w:t>
            </w:r>
          </w:p>
        </w:tc>
        <w:tc>
          <w:tcPr>
            <w:tcW w:w="117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F2E484">
            <w:pPr>
              <w:spacing w:line="360" w:lineRule="auto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BD Pharmingen™</w:t>
            </w:r>
          </w:p>
        </w:tc>
        <w:tc>
          <w:tcPr>
            <w:tcW w:w="16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356636">
            <w:pPr>
              <w:spacing w:line="360" w:lineRule="auto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562020</w:t>
            </w:r>
          </w:p>
        </w:tc>
      </w:tr>
      <w:tr w14:paraId="6570C7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FC4E6C">
            <w:pPr>
              <w:spacing w:line="360" w:lineRule="auto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FITC-Granzyme B</w:t>
            </w:r>
          </w:p>
        </w:tc>
        <w:tc>
          <w:tcPr>
            <w:tcW w:w="117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597EB1">
            <w:pPr>
              <w:spacing w:line="360" w:lineRule="auto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Biolegend</w:t>
            </w:r>
          </w:p>
        </w:tc>
        <w:tc>
          <w:tcPr>
            <w:tcW w:w="16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5E3700">
            <w:pPr>
              <w:spacing w:line="360" w:lineRule="auto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372206</w:t>
            </w:r>
          </w:p>
        </w:tc>
      </w:tr>
      <w:tr w14:paraId="230FC3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051B62">
            <w:pPr>
              <w:spacing w:line="360" w:lineRule="auto"/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V</w:t>
            </w:r>
            <w:r>
              <w:rPr>
                <w:rFonts w:ascii="Arial" w:hAnsi="Arial" w:cs="Arial"/>
                <w:szCs w:val="21"/>
              </w:rPr>
              <w:t>CL</w:t>
            </w:r>
          </w:p>
        </w:tc>
        <w:tc>
          <w:tcPr>
            <w:tcW w:w="117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F87E34">
            <w:pPr>
              <w:spacing w:line="360" w:lineRule="auto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Proteintech</w:t>
            </w:r>
          </w:p>
        </w:tc>
        <w:tc>
          <w:tcPr>
            <w:tcW w:w="16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0E779F">
            <w:pPr>
              <w:spacing w:line="360" w:lineRule="auto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2</w:t>
            </w:r>
            <w:r>
              <w:rPr>
                <w:rFonts w:ascii="Arial" w:hAnsi="Arial" w:cs="Arial"/>
                <w:szCs w:val="21"/>
              </w:rPr>
              <w:t>6520-1-AP</w:t>
            </w:r>
          </w:p>
        </w:tc>
      </w:tr>
      <w:tr w14:paraId="5BB0AC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32" w:type="pct"/>
            <w:tcBorders>
              <w:left w:val="nil"/>
              <w:right w:val="nil"/>
            </w:tcBorders>
            <w:vAlign w:val="center"/>
          </w:tcPr>
          <w:p w14:paraId="53BF049B">
            <w:pPr>
              <w:spacing w:line="360" w:lineRule="auto"/>
              <w:rPr>
                <w:rFonts w:ascii="Arial" w:hAnsi="Arial" w:cs="Arial"/>
                <w:b/>
                <w:bCs/>
                <w:szCs w:val="21"/>
              </w:rPr>
            </w:pPr>
            <w:r>
              <w:rPr>
                <w:rFonts w:ascii="Arial" w:hAnsi="Arial" w:cs="Arial"/>
                <w:b/>
                <w:bCs/>
                <w:kern w:val="0"/>
                <w:szCs w:val="21"/>
              </w:rPr>
              <w:t>Chemicals</w:t>
            </w:r>
          </w:p>
        </w:tc>
        <w:tc>
          <w:tcPr>
            <w:tcW w:w="1177" w:type="pct"/>
            <w:tcBorders>
              <w:left w:val="nil"/>
              <w:right w:val="nil"/>
            </w:tcBorders>
            <w:vAlign w:val="center"/>
          </w:tcPr>
          <w:p w14:paraId="622087FF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kern w:val="0"/>
                <w:szCs w:val="21"/>
              </w:rPr>
            </w:pPr>
          </w:p>
        </w:tc>
        <w:tc>
          <w:tcPr>
            <w:tcW w:w="1689" w:type="pct"/>
            <w:tcBorders>
              <w:left w:val="nil"/>
              <w:right w:val="nil"/>
            </w:tcBorders>
            <w:vAlign w:val="center"/>
          </w:tcPr>
          <w:p w14:paraId="150E2BB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kern w:val="0"/>
                <w:szCs w:val="21"/>
              </w:rPr>
            </w:pPr>
          </w:p>
        </w:tc>
      </w:tr>
      <w:tr w14:paraId="0D41C6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32" w:type="pct"/>
            <w:tcBorders>
              <w:left w:val="nil"/>
              <w:bottom w:val="nil"/>
              <w:right w:val="nil"/>
            </w:tcBorders>
            <w:vAlign w:val="center"/>
          </w:tcPr>
          <w:p w14:paraId="3D33B3A6">
            <w:pPr>
              <w:spacing w:line="360" w:lineRule="auto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eastAsia="Segoe UI" w:cs="Arial"/>
                <w:szCs w:val="21"/>
                <w:shd w:val="clear" w:color="auto" w:fill="FFFFFF"/>
                <w:lang w:bidi="ar"/>
              </w:rPr>
              <w:t>PD-1 antibody</w:t>
            </w:r>
          </w:p>
        </w:tc>
        <w:tc>
          <w:tcPr>
            <w:tcW w:w="1177" w:type="pct"/>
            <w:tcBorders>
              <w:left w:val="nil"/>
              <w:bottom w:val="nil"/>
              <w:right w:val="nil"/>
            </w:tcBorders>
            <w:vAlign w:val="center"/>
          </w:tcPr>
          <w:p w14:paraId="037FB8AE">
            <w:pPr>
              <w:spacing w:line="360" w:lineRule="auto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eastAsia="Segoe UI" w:cs="Arial"/>
                <w:szCs w:val="21"/>
                <w:shd w:val="clear" w:color="auto" w:fill="FFFFFF"/>
                <w:lang w:bidi="ar"/>
              </w:rPr>
              <w:t>BioXcell,</w:t>
            </w:r>
          </w:p>
        </w:tc>
        <w:tc>
          <w:tcPr>
            <w:tcW w:w="1689" w:type="pct"/>
            <w:tcBorders>
              <w:left w:val="nil"/>
              <w:bottom w:val="nil"/>
              <w:right w:val="nil"/>
            </w:tcBorders>
            <w:vAlign w:val="center"/>
          </w:tcPr>
          <w:p w14:paraId="55DCA8BA">
            <w:pPr>
              <w:spacing w:line="360" w:lineRule="auto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eastAsia="Segoe UI" w:cs="Arial"/>
                <w:szCs w:val="21"/>
                <w:shd w:val="clear" w:color="auto" w:fill="FFFFFF"/>
                <w:lang w:bidi="ar"/>
              </w:rPr>
              <w:t>BP0273</w:t>
            </w:r>
          </w:p>
        </w:tc>
      </w:tr>
      <w:tr w14:paraId="4F7F5A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4B2368">
            <w:pPr>
              <w:spacing w:line="360" w:lineRule="auto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eastAsia="Segoe UI" w:cs="Arial"/>
                <w:szCs w:val="21"/>
                <w:shd w:val="clear" w:color="auto" w:fill="FFFFFF"/>
                <w:lang w:bidi="ar"/>
              </w:rPr>
              <w:t>AMG487</w:t>
            </w:r>
          </w:p>
        </w:tc>
        <w:tc>
          <w:tcPr>
            <w:tcW w:w="117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9A1C21">
            <w:pPr>
              <w:spacing w:line="360" w:lineRule="auto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eastAsia="Segoe UI" w:cs="Arial"/>
                <w:szCs w:val="21"/>
                <w:shd w:val="clear" w:color="auto" w:fill="FFFFFF"/>
                <w:lang w:bidi="ar"/>
              </w:rPr>
              <w:t>MedChemExpress</w:t>
            </w:r>
          </w:p>
        </w:tc>
        <w:tc>
          <w:tcPr>
            <w:tcW w:w="16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36058A">
            <w:pPr>
              <w:spacing w:line="360" w:lineRule="auto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eastAsia="Segoe UI" w:cs="Arial"/>
                <w:szCs w:val="21"/>
                <w:shd w:val="clear" w:color="auto" w:fill="FFFFFF"/>
                <w:lang w:bidi="ar"/>
              </w:rPr>
              <w:t>HY-15319</w:t>
            </w:r>
          </w:p>
        </w:tc>
      </w:tr>
      <w:tr w14:paraId="2B46C4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EE6F28">
            <w:pPr>
              <w:spacing w:line="360" w:lineRule="auto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eastAsia="Segoe UI" w:cs="Arial"/>
                <w:szCs w:val="21"/>
                <w:shd w:val="clear" w:color="auto" w:fill="FFFFFF"/>
                <w:lang w:bidi="ar"/>
              </w:rPr>
              <w:t>Matrigel</w:t>
            </w:r>
          </w:p>
        </w:tc>
        <w:tc>
          <w:tcPr>
            <w:tcW w:w="117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2B2ED1">
            <w:pPr>
              <w:spacing w:line="360" w:lineRule="auto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eastAsia="Segoe UI" w:cs="Arial"/>
                <w:szCs w:val="21"/>
                <w:shd w:val="clear" w:color="auto" w:fill="FFFFFF"/>
                <w:lang w:bidi="ar"/>
              </w:rPr>
              <w:t>Shanghai Nova Pharmaceuticals</w:t>
            </w:r>
          </w:p>
        </w:tc>
        <w:tc>
          <w:tcPr>
            <w:tcW w:w="16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AFE73C">
            <w:pPr>
              <w:spacing w:line="360" w:lineRule="auto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082704</w:t>
            </w:r>
          </w:p>
        </w:tc>
      </w:tr>
      <w:tr w14:paraId="287DA3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B21403">
            <w:pPr>
              <w:spacing w:line="360" w:lineRule="auto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Glafenine</w:t>
            </w:r>
          </w:p>
        </w:tc>
        <w:tc>
          <w:tcPr>
            <w:tcW w:w="117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B6B1D2">
            <w:pPr>
              <w:spacing w:line="360" w:lineRule="auto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MCE</w:t>
            </w:r>
          </w:p>
        </w:tc>
        <w:tc>
          <w:tcPr>
            <w:tcW w:w="16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D0B35B">
            <w:pPr>
              <w:spacing w:line="360" w:lineRule="auto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HY-B1153</w:t>
            </w:r>
          </w:p>
        </w:tc>
      </w:tr>
      <w:tr w14:paraId="68F24D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3EE4A7">
            <w:pPr>
              <w:spacing w:line="360" w:lineRule="auto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LY3522348</w:t>
            </w:r>
          </w:p>
        </w:tc>
        <w:tc>
          <w:tcPr>
            <w:tcW w:w="117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D6BD94">
            <w:pPr>
              <w:spacing w:line="360" w:lineRule="auto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MCE</w:t>
            </w:r>
          </w:p>
        </w:tc>
        <w:tc>
          <w:tcPr>
            <w:tcW w:w="16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338141">
            <w:pPr>
              <w:spacing w:line="360" w:lineRule="auto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HY-149987</w:t>
            </w:r>
          </w:p>
        </w:tc>
      </w:tr>
      <w:tr w14:paraId="3DD37E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4FB0BA">
            <w:pPr>
              <w:spacing w:line="360" w:lineRule="auto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Lipofectamine™ 3000 Transfection Reagent</w:t>
            </w:r>
          </w:p>
        </w:tc>
        <w:tc>
          <w:tcPr>
            <w:tcW w:w="117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3B9B2B">
            <w:pPr>
              <w:spacing w:line="360" w:lineRule="auto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Invitrogen</w:t>
            </w:r>
          </w:p>
        </w:tc>
        <w:tc>
          <w:tcPr>
            <w:tcW w:w="16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BCCB64">
            <w:pPr>
              <w:spacing w:line="360" w:lineRule="auto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L3000075</w:t>
            </w:r>
          </w:p>
        </w:tc>
      </w:tr>
      <w:tr w14:paraId="11D5ED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29C4D7">
            <w:pPr>
              <w:spacing w:line="360" w:lineRule="auto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Deoxyribonuclease I (DNase I, bovine pancreas)</w:t>
            </w:r>
          </w:p>
        </w:tc>
        <w:tc>
          <w:tcPr>
            <w:tcW w:w="117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7144D2">
            <w:pPr>
              <w:spacing w:line="360" w:lineRule="auto"/>
              <w:jc w:val="center"/>
              <w:rPr>
                <w:rFonts w:ascii="Arial" w:hAnsi="Arial" w:cs="Arial"/>
                <w:szCs w:val="21"/>
              </w:rPr>
            </w:pPr>
            <w:bookmarkStart w:id="5" w:name="OLE_LINK5"/>
            <w:bookmarkStart w:id="6" w:name="OLE_LINK6"/>
            <w:r>
              <w:rPr>
                <w:rFonts w:ascii="Arial" w:hAnsi="Arial" w:cs="Arial"/>
                <w:szCs w:val="21"/>
              </w:rPr>
              <w:t>Absin</w:t>
            </w:r>
            <w:bookmarkEnd w:id="5"/>
            <w:bookmarkEnd w:id="6"/>
          </w:p>
        </w:tc>
        <w:tc>
          <w:tcPr>
            <w:tcW w:w="16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6A0887">
            <w:pPr>
              <w:spacing w:line="360" w:lineRule="auto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abs47047435</w:t>
            </w:r>
          </w:p>
        </w:tc>
      </w:tr>
      <w:tr w14:paraId="14351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1887D9">
            <w:pPr>
              <w:spacing w:line="360" w:lineRule="auto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Hyaluronidase</w:t>
            </w:r>
          </w:p>
        </w:tc>
        <w:tc>
          <w:tcPr>
            <w:tcW w:w="117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20537E">
            <w:pPr>
              <w:spacing w:line="360" w:lineRule="auto"/>
              <w:jc w:val="center"/>
              <w:rPr>
                <w:rFonts w:ascii="Arial" w:hAnsi="Arial" w:cs="Arial"/>
                <w:szCs w:val="21"/>
              </w:rPr>
            </w:pPr>
            <w:bookmarkStart w:id="7" w:name="OLE_LINK8"/>
            <w:bookmarkStart w:id="8" w:name="OLE_LINK7"/>
            <w:r>
              <w:rPr>
                <w:rFonts w:ascii="Arial" w:hAnsi="Arial" w:cs="Arial"/>
                <w:szCs w:val="21"/>
              </w:rPr>
              <w:t>Absin</w:t>
            </w:r>
            <w:bookmarkEnd w:id="7"/>
            <w:bookmarkEnd w:id="8"/>
          </w:p>
        </w:tc>
        <w:tc>
          <w:tcPr>
            <w:tcW w:w="16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2FE370">
            <w:pPr>
              <w:spacing w:line="360" w:lineRule="auto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abs47014926</w:t>
            </w:r>
          </w:p>
        </w:tc>
      </w:tr>
      <w:tr w14:paraId="60FA30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3A3A90">
            <w:pPr>
              <w:spacing w:line="360" w:lineRule="auto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Collagenase IV</w:t>
            </w:r>
          </w:p>
        </w:tc>
        <w:tc>
          <w:tcPr>
            <w:tcW w:w="117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E57669">
            <w:pPr>
              <w:spacing w:line="360" w:lineRule="auto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Absin</w:t>
            </w:r>
          </w:p>
        </w:tc>
        <w:tc>
          <w:tcPr>
            <w:tcW w:w="16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FC7AA7">
            <w:pPr>
              <w:spacing w:line="360" w:lineRule="auto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abs47048003</w:t>
            </w:r>
          </w:p>
        </w:tc>
      </w:tr>
      <w:tr w14:paraId="359440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32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EE7BFF7">
            <w:pPr>
              <w:spacing w:line="360" w:lineRule="auto"/>
              <w:rPr>
                <w:rFonts w:hint="eastAsia" w:ascii="Arial" w:hAnsi="Arial" w:cs="Arial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1"/>
              </w:rPr>
              <w:t xml:space="preserve">Anti-mouse CD8α       </w:t>
            </w:r>
          </w:p>
        </w:tc>
        <w:tc>
          <w:tcPr>
            <w:tcW w:w="1177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A26DF78">
            <w:pPr>
              <w:spacing w:line="360" w:lineRule="auto"/>
              <w:jc w:val="center"/>
              <w:rPr>
                <w:rFonts w:ascii="Arial" w:hAnsi="Arial" w:cs="Arial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1"/>
              </w:rPr>
              <w:t>Selleck</w:t>
            </w:r>
          </w:p>
        </w:tc>
        <w:tc>
          <w:tcPr>
            <w:tcW w:w="1689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5100D01">
            <w:pPr>
              <w:spacing w:line="360" w:lineRule="auto"/>
              <w:jc w:val="center"/>
              <w:rPr>
                <w:rFonts w:hint="eastAsia" w:ascii="Arial" w:hAnsi="Arial" w:cs="Arial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1"/>
              </w:rPr>
              <w:t>A2102</w:t>
            </w:r>
          </w:p>
        </w:tc>
      </w:tr>
      <w:tr w14:paraId="2FA9D3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32" w:type="pct"/>
            <w:tcBorders>
              <w:left w:val="nil"/>
              <w:right w:val="nil"/>
            </w:tcBorders>
            <w:vAlign w:val="center"/>
          </w:tcPr>
          <w:p w14:paraId="76FF8943">
            <w:pPr>
              <w:spacing w:line="360" w:lineRule="auto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b/>
                <w:bCs/>
                <w:kern w:val="0"/>
                <w:szCs w:val="21"/>
              </w:rPr>
              <w:t>Critical commercial assays</w:t>
            </w:r>
          </w:p>
        </w:tc>
        <w:tc>
          <w:tcPr>
            <w:tcW w:w="1177" w:type="pct"/>
            <w:tcBorders>
              <w:left w:val="nil"/>
              <w:right w:val="nil"/>
            </w:tcBorders>
            <w:vAlign w:val="center"/>
          </w:tcPr>
          <w:p w14:paraId="4441B5FE">
            <w:pPr>
              <w:spacing w:line="360" w:lineRule="auto"/>
              <w:jc w:val="center"/>
              <w:rPr>
                <w:rFonts w:ascii="Arial" w:hAnsi="Arial" w:cs="Arial"/>
                <w:szCs w:val="21"/>
              </w:rPr>
            </w:pPr>
          </w:p>
        </w:tc>
        <w:tc>
          <w:tcPr>
            <w:tcW w:w="1689" w:type="pct"/>
            <w:tcBorders>
              <w:left w:val="nil"/>
              <w:right w:val="nil"/>
            </w:tcBorders>
            <w:vAlign w:val="center"/>
          </w:tcPr>
          <w:p w14:paraId="27EFA56B">
            <w:pPr>
              <w:spacing w:line="360" w:lineRule="auto"/>
              <w:jc w:val="center"/>
              <w:rPr>
                <w:rFonts w:ascii="Arial" w:hAnsi="Arial" w:cs="Arial"/>
                <w:szCs w:val="21"/>
              </w:rPr>
            </w:pPr>
          </w:p>
        </w:tc>
      </w:tr>
      <w:tr w14:paraId="0440CD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32" w:type="pct"/>
            <w:tcBorders>
              <w:left w:val="nil"/>
              <w:bottom w:val="nil"/>
              <w:right w:val="nil"/>
            </w:tcBorders>
            <w:vAlign w:val="center"/>
          </w:tcPr>
          <w:p w14:paraId="2111DFF5">
            <w:pPr>
              <w:spacing w:line="360" w:lineRule="auto"/>
              <w:rPr>
                <w:rFonts w:ascii="Arial" w:hAnsi="Arial" w:eastAsia="Segoe UI" w:cs="Arial"/>
                <w:szCs w:val="21"/>
                <w:shd w:val="clear" w:color="auto" w:fill="FFFFFF"/>
                <w:lang w:bidi="ar"/>
              </w:rPr>
            </w:pPr>
            <w:r>
              <w:rPr>
                <w:rFonts w:ascii="Arial" w:hAnsi="Arial" w:eastAsia="Segoe UI" w:cs="Arial"/>
                <w:szCs w:val="21"/>
                <w:shd w:val="clear" w:color="auto" w:fill="FFFFFF"/>
                <w:lang w:bidi="ar"/>
              </w:rPr>
              <w:t>BeyoChIPTm Enzymatic ChlP Assay Kit (Protein A/G)</w:t>
            </w:r>
          </w:p>
        </w:tc>
        <w:tc>
          <w:tcPr>
            <w:tcW w:w="1177" w:type="pct"/>
            <w:tcBorders>
              <w:left w:val="nil"/>
              <w:bottom w:val="nil"/>
              <w:right w:val="nil"/>
            </w:tcBorders>
            <w:vAlign w:val="center"/>
          </w:tcPr>
          <w:p w14:paraId="45C96BC2">
            <w:pPr>
              <w:spacing w:line="360" w:lineRule="auto"/>
              <w:jc w:val="center"/>
              <w:rPr>
                <w:rFonts w:ascii="Arial" w:hAnsi="Arial" w:cs="Arial"/>
                <w:szCs w:val="21"/>
              </w:rPr>
            </w:pPr>
            <w:bookmarkStart w:id="9" w:name="OLE_LINK1"/>
            <w:bookmarkStart w:id="10" w:name="OLE_LINK2"/>
            <w:r>
              <w:rPr>
                <w:rFonts w:ascii="Arial" w:hAnsi="Arial" w:cs="Arial"/>
                <w:szCs w:val="21"/>
              </w:rPr>
              <w:t>Beyotime</w:t>
            </w:r>
            <w:bookmarkEnd w:id="9"/>
            <w:bookmarkEnd w:id="10"/>
          </w:p>
        </w:tc>
        <w:tc>
          <w:tcPr>
            <w:tcW w:w="1689" w:type="pct"/>
            <w:tcBorders>
              <w:left w:val="nil"/>
              <w:bottom w:val="nil"/>
              <w:right w:val="nil"/>
            </w:tcBorders>
            <w:vAlign w:val="center"/>
          </w:tcPr>
          <w:p w14:paraId="5B37BC54">
            <w:pPr>
              <w:spacing w:line="360" w:lineRule="auto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P2083S</w:t>
            </w:r>
          </w:p>
        </w:tc>
      </w:tr>
      <w:tr w14:paraId="7B7C65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2A4257">
            <w:pPr>
              <w:spacing w:line="360" w:lineRule="auto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CXCL10 ELISA Kit</w:t>
            </w:r>
          </w:p>
        </w:tc>
        <w:tc>
          <w:tcPr>
            <w:tcW w:w="117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3FD3A2">
            <w:pPr>
              <w:spacing w:line="360" w:lineRule="auto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Elabscience</w:t>
            </w:r>
          </w:p>
        </w:tc>
        <w:tc>
          <w:tcPr>
            <w:tcW w:w="16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A6A108">
            <w:pPr>
              <w:spacing w:line="360" w:lineRule="auto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E-EL-M0021</w:t>
            </w:r>
          </w:p>
        </w:tc>
      </w:tr>
      <w:tr w14:paraId="774689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569FC3">
            <w:pPr>
              <w:spacing w:line="360" w:lineRule="auto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Enhanced Cell Counting Kit-8</w:t>
            </w:r>
          </w:p>
        </w:tc>
        <w:tc>
          <w:tcPr>
            <w:tcW w:w="117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3BFDB2">
            <w:pPr>
              <w:spacing w:line="360" w:lineRule="auto"/>
              <w:jc w:val="center"/>
              <w:rPr>
                <w:rFonts w:ascii="Arial" w:hAnsi="Arial" w:cs="Arial"/>
                <w:szCs w:val="21"/>
              </w:rPr>
            </w:pPr>
            <w:bookmarkStart w:id="11" w:name="OLE_LINK3"/>
            <w:bookmarkStart w:id="12" w:name="OLE_LINK4"/>
            <w:r>
              <w:rPr>
                <w:rFonts w:ascii="Arial" w:hAnsi="Arial" w:cs="Arial"/>
                <w:szCs w:val="21"/>
              </w:rPr>
              <w:t>Beyotime</w:t>
            </w:r>
            <w:bookmarkEnd w:id="11"/>
            <w:bookmarkEnd w:id="12"/>
          </w:p>
        </w:tc>
        <w:tc>
          <w:tcPr>
            <w:tcW w:w="16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8040E5">
            <w:pPr>
              <w:spacing w:line="360" w:lineRule="auto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C0041</w:t>
            </w:r>
          </w:p>
        </w:tc>
      </w:tr>
      <w:tr w14:paraId="1AA3C5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280E2A">
            <w:pPr>
              <w:pStyle w:val="2"/>
              <w:spacing w:before="0" w:beforeAutospacing="0" w:after="0" w:afterAutospacing="0" w:line="360" w:lineRule="auto"/>
              <w:jc w:val="both"/>
              <w:rPr>
                <w:rFonts w:ascii="Arial" w:hAnsi="Arial" w:cs="Arial" w:eastAsiaTheme="minorEastAsia"/>
                <w:kern w:val="2"/>
                <w:sz w:val="21"/>
                <w:szCs w:val="21"/>
              </w:rPr>
            </w:pPr>
            <w:r>
              <w:rPr>
                <w:rFonts w:ascii="Arial" w:hAnsi="Arial" w:cs="Arial" w:eastAsiaTheme="minorEastAsia"/>
                <w:kern w:val="2"/>
                <w:sz w:val="21"/>
                <w:szCs w:val="21"/>
              </w:rPr>
              <w:t>BeyoClick™ EdU-488 Cell Proliferation Detection Kit</w:t>
            </w:r>
          </w:p>
        </w:tc>
        <w:tc>
          <w:tcPr>
            <w:tcW w:w="117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B45312">
            <w:pPr>
              <w:spacing w:line="360" w:lineRule="auto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Beyotime</w:t>
            </w:r>
          </w:p>
        </w:tc>
        <w:tc>
          <w:tcPr>
            <w:tcW w:w="16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E3D65F">
            <w:pPr>
              <w:spacing w:line="360" w:lineRule="auto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C0071S</w:t>
            </w:r>
          </w:p>
        </w:tc>
      </w:tr>
      <w:tr w14:paraId="4BAF85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0DE4DA">
            <w:pPr>
              <w:spacing w:line="360" w:lineRule="auto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RNA Easy Fast Total RNA Extraction Kit for Animal Tissues/Cells</w:t>
            </w:r>
          </w:p>
        </w:tc>
        <w:tc>
          <w:tcPr>
            <w:tcW w:w="117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114674">
            <w:pPr>
              <w:spacing w:line="360" w:lineRule="auto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TIANGEN</w:t>
            </w:r>
          </w:p>
        </w:tc>
        <w:tc>
          <w:tcPr>
            <w:tcW w:w="16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C8A004">
            <w:pPr>
              <w:spacing w:line="360" w:lineRule="auto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Y1428</w:t>
            </w:r>
          </w:p>
        </w:tc>
      </w:tr>
      <w:tr w14:paraId="3A6EE3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904E7E">
            <w:pPr>
              <w:pStyle w:val="2"/>
              <w:spacing w:before="0" w:beforeAutospacing="0" w:after="0" w:afterAutospacing="0" w:line="360" w:lineRule="auto"/>
              <w:jc w:val="both"/>
              <w:rPr>
                <w:rFonts w:ascii="Arial" w:hAnsi="Arial" w:cs="Arial" w:eastAsiaTheme="minorEastAsia"/>
                <w:kern w:val="2"/>
                <w:sz w:val="21"/>
                <w:szCs w:val="21"/>
              </w:rPr>
            </w:pPr>
            <w:r>
              <w:rPr>
                <w:rFonts w:ascii="Arial" w:hAnsi="Arial" w:cs="Arial" w:eastAsiaTheme="minorEastAsia"/>
                <w:kern w:val="2"/>
                <w:sz w:val="21"/>
                <w:szCs w:val="21"/>
              </w:rPr>
              <w:t>Eight-Color Multiplex Immunofluorescence Kit, Plus Edition</w:t>
            </w:r>
          </w:p>
        </w:tc>
        <w:tc>
          <w:tcPr>
            <w:tcW w:w="117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1FFA88">
            <w:pPr>
              <w:pStyle w:val="2"/>
              <w:spacing w:before="0" w:beforeAutospacing="0" w:after="0" w:afterAutospacing="0" w:line="360" w:lineRule="auto"/>
              <w:jc w:val="center"/>
              <w:rPr>
                <w:rFonts w:ascii="Arial" w:hAnsi="Arial" w:cs="Arial" w:eastAsiaTheme="minorEastAsia"/>
                <w:kern w:val="2"/>
                <w:sz w:val="21"/>
                <w:szCs w:val="21"/>
              </w:rPr>
            </w:pPr>
            <w:r>
              <w:rPr>
                <w:rFonts w:ascii="Arial" w:hAnsi="Arial" w:cs="Arial" w:eastAsiaTheme="minorEastAsia"/>
                <w:kern w:val="2"/>
                <w:sz w:val="21"/>
                <w:szCs w:val="21"/>
              </w:rPr>
              <w:t>HUILAN BIOTECH</w:t>
            </w:r>
          </w:p>
        </w:tc>
        <w:tc>
          <w:tcPr>
            <w:tcW w:w="16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DB2D89">
            <w:pPr>
              <w:pStyle w:val="2"/>
              <w:spacing w:before="0" w:beforeAutospacing="0" w:after="0" w:afterAutospacing="0" w:line="360" w:lineRule="auto"/>
              <w:jc w:val="center"/>
              <w:rPr>
                <w:rFonts w:ascii="Arial" w:hAnsi="Arial" w:cs="Arial" w:eastAsiaTheme="minorEastAsia"/>
                <w:kern w:val="2"/>
                <w:sz w:val="21"/>
                <w:szCs w:val="21"/>
              </w:rPr>
            </w:pPr>
            <w:r>
              <w:rPr>
                <w:rFonts w:ascii="Arial" w:hAnsi="Arial" w:cs="Arial" w:eastAsiaTheme="minorEastAsia"/>
                <w:kern w:val="2"/>
                <w:sz w:val="21"/>
                <w:szCs w:val="21"/>
              </w:rPr>
              <w:t>RC0086Plus-78RM</w:t>
            </w:r>
          </w:p>
        </w:tc>
      </w:tr>
      <w:tr w14:paraId="642A71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32" w:type="pct"/>
            <w:tcBorders>
              <w:top w:val="nil"/>
              <w:left w:val="nil"/>
              <w:right w:val="nil"/>
            </w:tcBorders>
            <w:vAlign w:val="center"/>
          </w:tcPr>
          <w:p w14:paraId="4B26BD4A">
            <w:pPr>
              <w:pStyle w:val="2"/>
              <w:spacing w:before="0" w:beforeAutospacing="0" w:after="0" w:afterAutospacing="0" w:line="360" w:lineRule="auto"/>
              <w:jc w:val="both"/>
              <w:rPr>
                <w:rFonts w:ascii="Arial" w:hAnsi="Arial" w:cs="Arial" w:eastAsiaTheme="minorEastAsia"/>
                <w:kern w:val="2"/>
                <w:sz w:val="21"/>
                <w:szCs w:val="21"/>
              </w:rPr>
            </w:pPr>
            <w:r>
              <w:rPr>
                <w:rFonts w:ascii="Arial" w:hAnsi="Arial" w:cs="Arial" w:eastAsiaTheme="minorEastAsia"/>
                <w:kern w:val="2"/>
                <w:sz w:val="21"/>
                <w:szCs w:val="21"/>
              </w:rPr>
              <w:t>Four-Color Multiplex Immunofluorescence Kit, Plus Edition</w:t>
            </w:r>
          </w:p>
        </w:tc>
        <w:tc>
          <w:tcPr>
            <w:tcW w:w="1177" w:type="pct"/>
            <w:tcBorders>
              <w:top w:val="nil"/>
              <w:left w:val="nil"/>
              <w:right w:val="nil"/>
            </w:tcBorders>
            <w:vAlign w:val="center"/>
          </w:tcPr>
          <w:p w14:paraId="28389D18">
            <w:pPr>
              <w:pStyle w:val="2"/>
              <w:spacing w:before="0" w:beforeAutospacing="0" w:after="0" w:afterAutospacing="0" w:line="360" w:lineRule="auto"/>
              <w:jc w:val="center"/>
              <w:rPr>
                <w:rFonts w:ascii="Arial" w:hAnsi="Arial" w:cs="Arial" w:eastAsiaTheme="minorEastAsia"/>
                <w:kern w:val="2"/>
                <w:sz w:val="21"/>
                <w:szCs w:val="21"/>
              </w:rPr>
            </w:pPr>
            <w:r>
              <w:rPr>
                <w:rFonts w:ascii="Arial" w:hAnsi="Arial" w:cs="Arial" w:eastAsiaTheme="minorEastAsia"/>
                <w:kern w:val="2"/>
                <w:sz w:val="21"/>
                <w:szCs w:val="21"/>
              </w:rPr>
              <w:t>HUILAN BIOTECH</w:t>
            </w:r>
          </w:p>
        </w:tc>
        <w:tc>
          <w:tcPr>
            <w:tcW w:w="1689" w:type="pct"/>
            <w:tcBorders>
              <w:top w:val="nil"/>
              <w:left w:val="nil"/>
              <w:right w:val="nil"/>
            </w:tcBorders>
            <w:vAlign w:val="center"/>
          </w:tcPr>
          <w:p w14:paraId="1EEF7A10">
            <w:pPr>
              <w:pStyle w:val="2"/>
              <w:spacing w:before="0" w:beforeAutospacing="0" w:after="0" w:afterAutospacing="0" w:line="360" w:lineRule="auto"/>
              <w:jc w:val="center"/>
              <w:rPr>
                <w:rFonts w:ascii="Arial" w:hAnsi="Arial" w:cs="Arial" w:eastAsiaTheme="minorEastAsia"/>
                <w:kern w:val="2"/>
                <w:sz w:val="21"/>
                <w:szCs w:val="21"/>
              </w:rPr>
            </w:pPr>
            <w:r>
              <w:rPr>
                <w:rFonts w:ascii="Arial" w:hAnsi="Arial" w:cs="Arial" w:eastAsiaTheme="minorEastAsia"/>
                <w:kern w:val="2"/>
                <w:sz w:val="21"/>
                <w:szCs w:val="21"/>
              </w:rPr>
              <w:t>RC0086-34RM</w:t>
            </w:r>
          </w:p>
        </w:tc>
      </w:tr>
    </w:tbl>
    <w:p w14:paraId="4C961536">
      <w:pPr>
        <w:spacing w:before="156" w:beforeLines="50" w:line="360" w:lineRule="auto"/>
        <w:rPr>
          <w:rFonts w:hint="eastAsia" w:ascii="Arial" w:hAnsi="Arial" w:cs="Arial"/>
          <w:szCs w:val="21"/>
        </w:rPr>
      </w:pPr>
      <w:r>
        <w:rPr>
          <w:rFonts w:ascii="Arial" w:hAnsi="Arial" w:cs="Arial"/>
          <w:b/>
          <w:bCs/>
          <w:szCs w:val="21"/>
        </w:rPr>
        <w:t>Abbreviations:</w:t>
      </w:r>
      <w:r>
        <w:rPr>
          <w:rFonts w:hint="eastAsia" w:ascii="Arial" w:hAnsi="Arial" w:cs="Arial"/>
          <w:b/>
          <w:bCs/>
          <w:szCs w:val="21"/>
        </w:rPr>
        <w:t xml:space="preserve"> </w:t>
      </w:r>
      <w:r>
        <w:rPr>
          <w:rFonts w:ascii="Arial" w:hAnsi="Arial" w:cs="Arial"/>
          <w:szCs w:val="21"/>
        </w:rPr>
        <w:t>CST: Cell Signaling Technology</w:t>
      </w:r>
      <w:r>
        <w:rPr>
          <w:rFonts w:hint="eastAsia" w:ascii="Arial" w:hAnsi="Arial" w:cs="Arial"/>
          <w:szCs w:val="21"/>
        </w:rPr>
        <w:t xml:space="preserve">; </w:t>
      </w:r>
      <w:r>
        <w:rPr>
          <w:rFonts w:ascii="Arial" w:hAnsi="Arial" w:cs="Arial"/>
          <w:szCs w:val="21"/>
        </w:rPr>
        <w:t>CK: Cytokeratin</w:t>
      </w:r>
      <w:r>
        <w:rPr>
          <w:rFonts w:hint="eastAsia" w:ascii="Arial" w:hAnsi="Arial" w:cs="Arial"/>
          <w:szCs w:val="21"/>
        </w:rPr>
        <w:t xml:space="preserve">; </w:t>
      </w:r>
      <w:r>
        <w:rPr>
          <w:rFonts w:ascii="Arial" w:hAnsi="Arial" w:cs="Arial"/>
          <w:szCs w:val="21"/>
        </w:rPr>
        <w:t>FOXP3: Forkhead Box P3</w:t>
      </w:r>
      <w:r>
        <w:rPr>
          <w:rFonts w:hint="eastAsia" w:ascii="Arial" w:hAnsi="Arial" w:cs="Arial"/>
          <w:szCs w:val="21"/>
        </w:rPr>
        <w:t xml:space="preserve">; </w:t>
      </w:r>
      <w:r>
        <w:rPr>
          <w:rFonts w:ascii="Arial" w:hAnsi="Arial" w:cs="Arial"/>
          <w:szCs w:val="21"/>
        </w:rPr>
        <w:t>CTLA-4: Cytotoxic T-Lymphocyte–Associated protein 4</w:t>
      </w:r>
      <w:r>
        <w:rPr>
          <w:rFonts w:hint="eastAsia" w:ascii="Arial" w:hAnsi="Arial" w:cs="Arial"/>
          <w:szCs w:val="21"/>
        </w:rPr>
        <w:t xml:space="preserve">; </w:t>
      </w:r>
      <w:r>
        <w:rPr>
          <w:rFonts w:ascii="Arial" w:hAnsi="Arial" w:cs="Arial"/>
          <w:szCs w:val="21"/>
        </w:rPr>
        <w:t>IFN-γ: Interferon gamma</w:t>
      </w:r>
      <w:r>
        <w:rPr>
          <w:rFonts w:hint="eastAsia" w:ascii="Arial" w:hAnsi="Arial" w:cs="Arial"/>
          <w:szCs w:val="21"/>
        </w:rPr>
        <w:t xml:space="preserve">; </w:t>
      </w:r>
      <w:r>
        <w:rPr>
          <w:rFonts w:ascii="Arial" w:hAnsi="Arial" w:cs="Arial"/>
          <w:szCs w:val="21"/>
        </w:rPr>
        <w:t>CXCL: Chemokine (C-X-C motif) ligand</w:t>
      </w:r>
      <w:r>
        <w:rPr>
          <w:rFonts w:hint="eastAsia" w:ascii="Arial" w:hAnsi="Arial" w:cs="Arial"/>
          <w:szCs w:val="21"/>
        </w:rPr>
        <w:t xml:space="preserve">; </w:t>
      </w:r>
      <w:r>
        <w:rPr>
          <w:rFonts w:ascii="Arial" w:hAnsi="Arial" w:cs="Arial"/>
          <w:szCs w:val="21"/>
        </w:rPr>
        <w:t>CXCR3: Chemokine (C-X-C motif) receptor 3</w:t>
      </w:r>
      <w:r>
        <w:rPr>
          <w:rFonts w:hint="eastAsia" w:ascii="Arial" w:hAnsi="Arial" w:cs="Arial"/>
          <w:szCs w:val="21"/>
        </w:rPr>
        <w:t xml:space="preserve">; </w:t>
      </w:r>
      <w:r>
        <w:rPr>
          <w:rFonts w:ascii="Arial" w:hAnsi="Arial" w:cs="Arial"/>
          <w:szCs w:val="21"/>
        </w:rPr>
        <w:t>GAPDH: Glyceraldehyde-3-Phosphate Dehydrogenase</w:t>
      </w:r>
      <w:r>
        <w:rPr>
          <w:rFonts w:hint="eastAsia" w:ascii="Arial" w:hAnsi="Arial" w:cs="Arial"/>
          <w:szCs w:val="21"/>
        </w:rPr>
        <w:t xml:space="preserve">; </w:t>
      </w:r>
      <w:r>
        <w:rPr>
          <w:rFonts w:ascii="Arial" w:hAnsi="Arial" w:cs="Arial"/>
          <w:szCs w:val="21"/>
        </w:rPr>
        <w:t>PC5.5: Phycoerythrin-Cyanine 5.5 (fluorochrome)</w:t>
      </w:r>
      <w:r>
        <w:rPr>
          <w:rFonts w:hint="eastAsia" w:ascii="Arial" w:hAnsi="Arial" w:cs="Arial"/>
          <w:szCs w:val="21"/>
        </w:rPr>
        <w:t xml:space="preserve">; </w:t>
      </w:r>
      <w:r>
        <w:rPr>
          <w:rFonts w:ascii="Arial" w:hAnsi="Arial" w:cs="Arial"/>
          <w:szCs w:val="21"/>
        </w:rPr>
        <w:t>PE: Phycoerythrin</w:t>
      </w:r>
      <w:r>
        <w:rPr>
          <w:rFonts w:hint="eastAsia" w:ascii="Arial" w:hAnsi="Arial" w:cs="Arial"/>
          <w:szCs w:val="21"/>
        </w:rPr>
        <w:t xml:space="preserve">; </w:t>
      </w:r>
      <w:r>
        <w:rPr>
          <w:rFonts w:ascii="Arial" w:hAnsi="Arial" w:cs="Arial"/>
          <w:szCs w:val="21"/>
        </w:rPr>
        <w:t>FITC: Fluorescein Isothiocyanate</w:t>
      </w:r>
      <w:r>
        <w:rPr>
          <w:rFonts w:hint="eastAsia" w:ascii="Arial" w:hAnsi="Arial" w:cs="Arial"/>
          <w:szCs w:val="21"/>
        </w:rPr>
        <w:t xml:space="preserve">; </w:t>
      </w:r>
      <w:r>
        <w:rPr>
          <w:rFonts w:ascii="Arial" w:hAnsi="Arial" w:cs="Arial"/>
          <w:szCs w:val="21"/>
        </w:rPr>
        <w:t>PD-1: Programmed Cell Death Protein 1</w:t>
      </w:r>
      <w:r>
        <w:rPr>
          <w:rFonts w:hint="eastAsia" w:ascii="Arial" w:hAnsi="Arial" w:cs="Arial"/>
          <w:szCs w:val="21"/>
        </w:rPr>
        <w:t xml:space="preserve">; </w:t>
      </w:r>
      <w:r>
        <w:rPr>
          <w:rFonts w:ascii="Arial" w:hAnsi="Arial" w:cs="Arial"/>
          <w:szCs w:val="21"/>
        </w:rPr>
        <w:t>AMG487: CXCR3 antagonist (small molecule inhibitor)</w:t>
      </w:r>
      <w:r>
        <w:rPr>
          <w:rFonts w:hint="eastAsia" w:ascii="Arial" w:hAnsi="Arial" w:cs="Arial"/>
          <w:szCs w:val="21"/>
        </w:rPr>
        <w:t xml:space="preserve">; </w:t>
      </w:r>
      <w:r>
        <w:rPr>
          <w:rFonts w:ascii="Arial" w:hAnsi="Arial" w:cs="Arial"/>
          <w:szCs w:val="21"/>
        </w:rPr>
        <w:t>MCE: MedChemExpress</w:t>
      </w:r>
      <w:r>
        <w:rPr>
          <w:rFonts w:hint="eastAsia" w:ascii="Arial" w:hAnsi="Arial" w:cs="Arial"/>
          <w:szCs w:val="21"/>
        </w:rPr>
        <w:t xml:space="preserve">; </w:t>
      </w:r>
      <w:r>
        <w:rPr>
          <w:rFonts w:ascii="Arial" w:hAnsi="Arial" w:cs="Arial"/>
          <w:szCs w:val="21"/>
        </w:rPr>
        <w:t>DMEM: Dulbecco’s Modified Eagle Medium</w:t>
      </w:r>
      <w:r>
        <w:rPr>
          <w:rFonts w:hint="eastAsia" w:ascii="Arial" w:hAnsi="Arial" w:cs="Arial"/>
          <w:szCs w:val="21"/>
        </w:rPr>
        <w:t xml:space="preserve">; </w:t>
      </w:r>
      <w:r>
        <w:rPr>
          <w:rFonts w:ascii="Arial" w:hAnsi="Arial" w:cs="Arial"/>
          <w:szCs w:val="21"/>
        </w:rPr>
        <w:t>RPMI: Roswell Park Memorial Institute (medium)</w:t>
      </w:r>
      <w:r>
        <w:rPr>
          <w:rFonts w:hint="eastAsia" w:ascii="Arial" w:hAnsi="Arial" w:cs="Arial"/>
          <w:szCs w:val="21"/>
        </w:rPr>
        <w:t xml:space="preserve">; </w:t>
      </w:r>
      <w:r>
        <w:rPr>
          <w:rFonts w:ascii="Arial" w:hAnsi="Arial" w:cs="Arial"/>
          <w:szCs w:val="21"/>
        </w:rPr>
        <w:t>ELISA: Enzyme-Linked Immunosorbent Assay</w:t>
      </w:r>
      <w:r>
        <w:rPr>
          <w:rFonts w:hint="eastAsia" w:ascii="Arial" w:hAnsi="Arial" w:cs="Arial"/>
          <w:szCs w:val="21"/>
        </w:rPr>
        <w:t xml:space="preserve">; </w:t>
      </w:r>
      <w:r>
        <w:rPr>
          <w:rFonts w:ascii="Arial" w:hAnsi="Arial" w:cs="Arial"/>
          <w:szCs w:val="21"/>
        </w:rPr>
        <w:t>EdU: 5-Ethynyl-2′-deoxyuridine; VCL:</w:t>
      </w:r>
      <w:r>
        <w:rPr>
          <w:rFonts w:hint="eastAsia" w:ascii="Arial" w:hAnsi="Arial" w:cs="Arial"/>
          <w:szCs w:val="21"/>
        </w:rPr>
        <w:t xml:space="preserve"> </w:t>
      </w:r>
      <w:r>
        <w:rPr>
          <w:rFonts w:ascii="Arial" w:hAnsi="Arial" w:cs="Arial"/>
          <w:szCs w:val="21"/>
        </w:rPr>
        <w:t>V</w:t>
      </w:r>
      <w:r>
        <w:rPr>
          <w:rFonts w:hint="eastAsia" w:ascii="Arial" w:hAnsi="Arial" w:cs="Arial"/>
          <w:szCs w:val="21"/>
        </w:rPr>
        <w:t>inculin</w:t>
      </w:r>
      <w:r>
        <w:rPr>
          <w:rFonts w:ascii="Arial" w:hAnsi="Arial" w:cs="Arial"/>
          <w:szCs w:val="21"/>
        </w:rPr>
        <w:t>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0D58"/>
    <w:rsid w:val="0003421F"/>
    <w:rsid w:val="000B018E"/>
    <w:rsid w:val="000B42E5"/>
    <w:rsid w:val="000B61EA"/>
    <w:rsid w:val="00177756"/>
    <w:rsid w:val="00247249"/>
    <w:rsid w:val="00265936"/>
    <w:rsid w:val="00361A00"/>
    <w:rsid w:val="003C0F9D"/>
    <w:rsid w:val="00450ADE"/>
    <w:rsid w:val="004C03F2"/>
    <w:rsid w:val="0050225D"/>
    <w:rsid w:val="005C42B0"/>
    <w:rsid w:val="006404C4"/>
    <w:rsid w:val="00651112"/>
    <w:rsid w:val="00660D58"/>
    <w:rsid w:val="007A2B9F"/>
    <w:rsid w:val="007D1529"/>
    <w:rsid w:val="00815E71"/>
    <w:rsid w:val="0087694F"/>
    <w:rsid w:val="009507C4"/>
    <w:rsid w:val="00983B80"/>
    <w:rsid w:val="009B6224"/>
    <w:rsid w:val="009C4F68"/>
    <w:rsid w:val="009E55B3"/>
    <w:rsid w:val="00A4576C"/>
    <w:rsid w:val="00AA6ABE"/>
    <w:rsid w:val="00B65E5B"/>
    <w:rsid w:val="00C44A3A"/>
    <w:rsid w:val="00DD56AB"/>
    <w:rsid w:val="00DE167A"/>
    <w:rsid w:val="00DF1C4D"/>
    <w:rsid w:val="00E50B35"/>
    <w:rsid w:val="00ED4189"/>
    <w:rsid w:val="00F859C0"/>
    <w:rsid w:val="00F97A77"/>
    <w:rsid w:val="01600820"/>
    <w:rsid w:val="090119D1"/>
    <w:rsid w:val="1EDF0BAD"/>
    <w:rsid w:val="2DD46D41"/>
    <w:rsid w:val="31365CB3"/>
    <w:rsid w:val="378E2D18"/>
    <w:rsid w:val="459075EA"/>
    <w:rsid w:val="46EC35B7"/>
    <w:rsid w:val="48EA66B1"/>
    <w:rsid w:val="4F0133C1"/>
    <w:rsid w:val="543E202D"/>
    <w:rsid w:val="606244D4"/>
    <w:rsid w:val="606F6C7A"/>
    <w:rsid w:val="6A4C5F97"/>
    <w:rsid w:val="75476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table" w:styleId="4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277</Words>
  <Characters>1985</Characters>
  <Lines>16</Lines>
  <Paragraphs>4</Paragraphs>
  <TotalTime>0</TotalTime>
  <ScaleCrop>false</ScaleCrop>
  <LinksUpToDate>false</LinksUpToDate>
  <CharactersWithSpaces>2132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2025-08-22T09:28:00Z</dcterms:created>
  <dc:creator>安医附院-陈佳</dc:creator>
  <cp:lastModifiedBy>USER</cp:lastModifiedBy>
  <dcterms:modified xsi:type="dcterms:W3CDTF">2026-01-30T03:32:31Z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eyJoZGlkIjoiMTFmMWI0MTc3YWEwOGI3ZTY4Y2EyZTZlOTVmYzIxMjIiLCJ1c2VySWQiOiI0NDQzNTg5MzMifQ==</vt:lpwstr>
  </property>
  <property fmtid="{D5CDD505-2E9C-101B-9397-08002B2CF9AE}" pid="3" name="KSOProductBuildVer">
    <vt:lpwstr>2052-12.1.0.24657</vt:lpwstr>
  </property>
  <property fmtid="{D5CDD505-2E9C-101B-9397-08002B2CF9AE}" pid="4" name="ICV">
    <vt:lpwstr>2310F74433264050B8675285E31E6B59_12</vt:lpwstr>
  </property>
</Properties>
</file>