
<file path=[Content_Types].xml><?xml version="1.0" encoding="utf-8"?>
<Types xmlns="http://schemas.openxmlformats.org/package/2006/content-types">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4D2B" w:rsidRPr="00FB1086" w:rsidRDefault="00CF4D2B" w:rsidP="00CF4D2B">
      <w:pPr>
        <w:spacing w:after="240" w:line="240" w:lineRule="auto"/>
        <w:rPr>
          <w:rFonts w:ascii="Times New Roman" w:hAnsi="Times New Roman" w:cs="Times New Roman"/>
          <w:b/>
          <w:iCs/>
        </w:rPr>
      </w:pPr>
      <w:r w:rsidRPr="00FB1086">
        <w:rPr>
          <w:rFonts w:ascii="Times New Roman" w:hAnsi="Times New Roman" w:cs="Times New Roman"/>
          <w:b/>
          <w:iCs/>
        </w:rPr>
        <w:t>SUPPLEMENTARY FILES</w:t>
      </w:r>
    </w:p>
    <w:p w:rsidR="00CF4D2B" w:rsidRPr="00FB1086" w:rsidRDefault="00CF4D2B" w:rsidP="00CF4D2B">
      <w:pPr>
        <w:spacing w:after="240" w:line="240" w:lineRule="auto"/>
        <w:rPr>
          <w:rFonts w:ascii="Times New Roman" w:hAnsi="Times New Roman" w:cs="Times New Roman"/>
        </w:rPr>
      </w:pPr>
      <w:r w:rsidRPr="00FB1086">
        <w:rPr>
          <w:rFonts w:ascii="Times New Roman" w:hAnsi="Times New Roman" w:cs="Times New Roman"/>
          <w:noProof/>
        </w:rPr>
        <w:drawing>
          <wp:inline distT="0" distB="0" distL="0" distR="0" wp14:anchorId="25D4A149" wp14:editId="693C2A49">
            <wp:extent cx="5733415" cy="4125433"/>
            <wp:effectExtent l="0" t="0" r="635" b="8890"/>
            <wp:docPr id="332185892" name="Picture 18" descr="A diagram of lymphoma and lymphoma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185892" name="Picture 18" descr="A diagram of lymphoma and lymphoma  AI-generated content may be incorrect."/>
                    <pic:cNvPicPr>
                      <a:picLocks noChangeAspect="1" noChangeArrowheads="1"/>
                    </pic:cNvPicPr>
                  </pic:nvPicPr>
                  <pic:blipFill rotWithShape="1">
                    <a:blip r:embed="rId4" cstate="print">
                      <a:extLst>
                        <a:ext uri="{28A0092B-C50C-407E-A947-70E740481C1C}">
                          <a14:useLocalDpi xmlns:a14="http://schemas.microsoft.com/office/drawing/2010/main" val="0"/>
                        </a:ext>
                      </a:extLst>
                    </a:blip>
                    <a:srcRect b="7189"/>
                    <a:stretch/>
                  </pic:blipFill>
                  <pic:spPr bwMode="auto">
                    <a:xfrm>
                      <a:off x="0" y="0"/>
                      <a:ext cx="5733415" cy="4125433"/>
                    </a:xfrm>
                    <a:prstGeom prst="rect">
                      <a:avLst/>
                    </a:prstGeom>
                    <a:noFill/>
                    <a:ln>
                      <a:noFill/>
                    </a:ln>
                    <a:extLst>
                      <a:ext uri="{53640926-AAD7-44D8-BBD7-CCE9431645EC}">
                        <a14:shadowObscured xmlns:a14="http://schemas.microsoft.com/office/drawing/2010/main"/>
                      </a:ext>
                    </a:extLst>
                  </pic:spPr>
                </pic:pic>
              </a:graphicData>
            </a:graphic>
          </wp:inline>
        </w:drawing>
      </w:r>
      <w:r w:rsidRPr="00FB1086">
        <w:rPr>
          <w:rFonts w:ascii="Times New Roman" w:hAnsi="Times New Roman" w:cs="Times New Roman"/>
          <w:b/>
          <w:i/>
          <w:sz w:val="18"/>
          <w:szCs w:val="18"/>
        </w:rPr>
        <w:t>Supplementary Figure 1.</w:t>
      </w:r>
      <w:r w:rsidRPr="00FB1086">
        <w:rPr>
          <w:rFonts w:ascii="Times New Roman" w:hAnsi="Times New Roman" w:cs="Times New Roman"/>
          <w:i/>
          <w:sz w:val="18"/>
          <w:szCs w:val="18"/>
        </w:rPr>
        <w:t xml:space="preserve"> (</w:t>
      </w:r>
      <w:r w:rsidRPr="00FB1086">
        <w:rPr>
          <w:rFonts w:ascii="Times New Roman" w:hAnsi="Times New Roman" w:cs="Times New Roman"/>
          <w:b/>
          <w:i/>
          <w:sz w:val="18"/>
          <w:szCs w:val="18"/>
        </w:rPr>
        <w:t>A</w:t>
      </w:r>
      <w:r w:rsidRPr="00FB1086">
        <w:rPr>
          <w:rFonts w:ascii="Times New Roman" w:hAnsi="Times New Roman" w:cs="Times New Roman"/>
          <w:i/>
          <w:sz w:val="18"/>
          <w:szCs w:val="18"/>
        </w:rPr>
        <w:t>) Histogram showing mCherry expression in Eμ-myc wild type (wt, blue) and Eμ-myc mCherry transduced (red) cells.  (</w:t>
      </w:r>
      <w:r w:rsidRPr="00FB1086">
        <w:rPr>
          <w:rFonts w:ascii="Times New Roman" w:hAnsi="Times New Roman" w:cs="Times New Roman"/>
          <w:b/>
          <w:i/>
          <w:sz w:val="18"/>
          <w:szCs w:val="18"/>
        </w:rPr>
        <w:t>B</w:t>
      </w:r>
      <w:r w:rsidRPr="00FB1086">
        <w:rPr>
          <w:rFonts w:ascii="Times New Roman" w:hAnsi="Times New Roman" w:cs="Times New Roman"/>
          <w:i/>
          <w:sz w:val="18"/>
          <w:szCs w:val="18"/>
        </w:rPr>
        <w:t>) Scatter plots showing the flow cytometry gating strategy used to quantify lymphoma cells, defined as live dead</w:t>
      </w:r>
      <w:r w:rsidRPr="00FB1086">
        <w:rPr>
          <w:rFonts w:ascii="Times New Roman" w:hAnsi="Times New Roman" w:cs="Times New Roman"/>
          <w:i/>
          <w:sz w:val="18"/>
          <w:szCs w:val="18"/>
          <w:vertAlign w:val="superscript"/>
        </w:rPr>
        <w:t>-</w:t>
      </w:r>
      <w:r w:rsidRPr="00FB1086">
        <w:rPr>
          <w:rFonts w:ascii="Times New Roman" w:hAnsi="Times New Roman" w:cs="Times New Roman"/>
          <w:i/>
          <w:sz w:val="18"/>
          <w:szCs w:val="18"/>
        </w:rPr>
        <w:t xml:space="preserve"> CD45.2</w:t>
      </w:r>
      <w:r w:rsidRPr="00FB1086">
        <w:rPr>
          <w:rFonts w:ascii="Times New Roman" w:hAnsi="Times New Roman" w:cs="Times New Roman"/>
          <w:i/>
          <w:sz w:val="18"/>
          <w:szCs w:val="18"/>
          <w:vertAlign w:val="superscript"/>
        </w:rPr>
        <w:t>+</w:t>
      </w:r>
      <w:r w:rsidRPr="00FB1086">
        <w:rPr>
          <w:rFonts w:ascii="Times New Roman" w:hAnsi="Times New Roman" w:cs="Times New Roman"/>
          <w:i/>
          <w:sz w:val="18"/>
          <w:szCs w:val="18"/>
        </w:rPr>
        <w:t xml:space="preserve"> B220</w:t>
      </w:r>
      <w:r w:rsidRPr="00FB1086">
        <w:rPr>
          <w:rFonts w:ascii="Times New Roman" w:hAnsi="Times New Roman" w:cs="Times New Roman"/>
          <w:i/>
          <w:sz w:val="18"/>
          <w:szCs w:val="18"/>
          <w:vertAlign w:val="superscript"/>
        </w:rPr>
        <w:t>+</w:t>
      </w:r>
      <w:r w:rsidRPr="00FB1086">
        <w:rPr>
          <w:rFonts w:ascii="Times New Roman" w:hAnsi="Times New Roman" w:cs="Times New Roman"/>
          <w:i/>
          <w:sz w:val="18"/>
          <w:szCs w:val="18"/>
        </w:rPr>
        <w:t xml:space="preserve"> mCherry</w:t>
      </w:r>
      <w:r w:rsidRPr="00FB1086">
        <w:rPr>
          <w:rFonts w:ascii="Times New Roman" w:hAnsi="Times New Roman" w:cs="Times New Roman"/>
          <w:i/>
          <w:sz w:val="18"/>
          <w:szCs w:val="18"/>
          <w:vertAlign w:val="superscript"/>
        </w:rPr>
        <w:t>+</w:t>
      </w:r>
      <w:r w:rsidRPr="00FB1086">
        <w:rPr>
          <w:rFonts w:ascii="Times New Roman" w:hAnsi="Times New Roman" w:cs="Times New Roman"/>
          <w:i/>
          <w:sz w:val="18"/>
          <w:szCs w:val="18"/>
        </w:rPr>
        <w:t>. (</w:t>
      </w:r>
      <w:r w:rsidRPr="00FB1086">
        <w:rPr>
          <w:rFonts w:ascii="Times New Roman" w:hAnsi="Times New Roman" w:cs="Times New Roman"/>
          <w:b/>
          <w:i/>
          <w:sz w:val="18"/>
          <w:szCs w:val="18"/>
        </w:rPr>
        <w:t>C</w:t>
      </w:r>
      <w:r w:rsidRPr="00FB1086">
        <w:rPr>
          <w:rFonts w:ascii="Times New Roman" w:hAnsi="Times New Roman" w:cs="Times New Roman"/>
          <w:i/>
          <w:sz w:val="18"/>
          <w:szCs w:val="18"/>
        </w:rPr>
        <w:t>) Flow cytometric quantification of lymphoma cells in the bone marrow (BM) in untreated and L19IL2 treated animals. Flow cytometric quantification of lymphoma cells in (</w:t>
      </w:r>
      <w:r w:rsidRPr="00FB1086">
        <w:rPr>
          <w:rFonts w:ascii="Times New Roman" w:hAnsi="Times New Roman" w:cs="Times New Roman"/>
          <w:b/>
          <w:i/>
          <w:sz w:val="18"/>
          <w:szCs w:val="18"/>
        </w:rPr>
        <w:t>D</w:t>
      </w:r>
      <w:r w:rsidRPr="00FB1086">
        <w:rPr>
          <w:rFonts w:ascii="Times New Roman" w:hAnsi="Times New Roman" w:cs="Times New Roman"/>
          <w:i/>
          <w:sz w:val="18"/>
          <w:szCs w:val="18"/>
        </w:rPr>
        <w:t>) the spleen and (</w:t>
      </w:r>
      <w:r w:rsidRPr="00FB1086">
        <w:rPr>
          <w:rFonts w:ascii="Times New Roman" w:hAnsi="Times New Roman" w:cs="Times New Roman"/>
          <w:b/>
          <w:i/>
          <w:sz w:val="18"/>
          <w:szCs w:val="18"/>
        </w:rPr>
        <w:t>E</w:t>
      </w:r>
      <w:r w:rsidRPr="00FB1086">
        <w:rPr>
          <w:rFonts w:ascii="Times New Roman" w:hAnsi="Times New Roman" w:cs="Times New Roman"/>
          <w:i/>
          <w:sz w:val="18"/>
          <w:szCs w:val="18"/>
        </w:rPr>
        <w:t>) BM in untreated versus L19IL2 or L19mTNF treated animals. In (</w:t>
      </w:r>
      <w:r w:rsidRPr="00FB1086">
        <w:rPr>
          <w:rFonts w:ascii="Times New Roman" w:hAnsi="Times New Roman" w:cs="Times New Roman"/>
          <w:b/>
          <w:i/>
          <w:sz w:val="18"/>
          <w:szCs w:val="18"/>
        </w:rPr>
        <w:t>C</w:t>
      </w:r>
      <w:r w:rsidRPr="00FB1086">
        <w:rPr>
          <w:rFonts w:ascii="Times New Roman" w:hAnsi="Times New Roman" w:cs="Times New Roman"/>
          <w:i/>
          <w:sz w:val="18"/>
          <w:szCs w:val="18"/>
        </w:rPr>
        <w:t>), (</w:t>
      </w:r>
      <w:r w:rsidRPr="00FB1086">
        <w:rPr>
          <w:rFonts w:ascii="Times New Roman" w:hAnsi="Times New Roman" w:cs="Times New Roman"/>
          <w:b/>
          <w:i/>
          <w:sz w:val="18"/>
          <w:szCs w:val="18"/>
        </w:rPr>
        <w:t>D</w:t>
      </w:r>
      <w:r w:rsidRPr="00FB1086">
        <w:rPr>
          <w:rFonts w:ascii="Times New Roman" w:hAnsi="Times New Roman" w:cs="Times New Roman"/>
          <w:i/>
          <w:sz w:val="18"/>
          <w:szCs w:val="18"/>
        </w:rPr>
        <w:t>), and (</w:t>
      </w:r>
      <w:r w:rsidRPr="00FB1086">
        <w:rPr>
          <w:rFonts w:ascii="Times New Roman" w:hAnsi="Times New Roman" w:cs="Times New Roman"/>
          <w:b/>
          <w:i/>
          <w:sz w:val="18"/>
          <w:szCs w:val="18"/>
        </w:rPr>
        <w:t>E</w:t>
      </w:r>
      <w:r w:rsidRPr="00FB1086">
        <w:rPr>
          <w:rFonts w:ascii="Times New Roman" w:hAnsi="Times New Roman" w:cs="Times New Roman"/>
          <w:i/>
          <w:sz w:val="18"/>
          <w:szCs w:val="18"/>
        </w:rPr>
        <w:t>), circles represent individual values (animal replicates), while the red line indicates the average value per group. In (</w:t>
      </w:r>
      <w:r w:rsidRPr="00FB1086">
        <w:rPr>
          <w:rFonts w:ascii="Times New Roman" w:hAnsi="Times New Roman" w:cs="Times New Roman"/>
          <w:b/>
          <w:i/>
          <w:sz w:val="18"/>
          <w:szCs w:val="18"/>
        </w:rPr>
        <w:t>C</w:t>
      </w:r>
      <w:r w:rsidRPr="00FB1086">
        <w:rPr>
          <w:rFonts w:ascii="Times New Roman" w:hAnsi="Times New Roman" w:cs="Times New Roman"/>
          <w:i/>
          <w:sz w:val="18"/>
          <w:szCs w:val="18"/>
        </w:rPr>
        <w:t>) the dashed red line shows the background value in non-tumor injected animals. In all graphs, the p-value is indicated as * &lt;0.05; ** &lt;0.01; ***&lt;0.001; **** &lt; 0.0001.</w:t>
      </w:r>
    </w:p>
    <w:p w:rsidR="00CF4D2B" w:rsidRPr="00FB1086" w:rsidRDefault="00CF4D2B" w:rsidP="00CF4D2B">
      <w:pPr>
        <w:spacing w:line="240" w:lineRule="auto"/>
        <w:rPr>
          <w:rFonts w:ascii="Times New Roman" w:hAnsi="Times New Roman" w:cs="Times New Roman"/>
          <w:i/>
          <w:sz w:val="18"/>
          <w:szCs w:val="18"/>
        </w:rPr>
      </w:pPr>
      <w:r w:rsidRPr="00FB1086">
        <w:rPr>
          <w:rFonts w:ascii="Times New Roman" w:hAnsi="Times New Roman" w:cs="Times New Roman"/>
          <w:noProof/>
        </w:rPr>
        <w:lastRenderedPageBreak/>
        <w:drawing>
          <wp:inline distT="0" distB="0" distL="0" distR="0" wp14:anchorId="442F1846" wp14:editId="5DC30288">
            <wp:extent cx="5730875" cy="7179398"/>
            <wp:effectExtent l="0" t="0" r="3175" b="2540"/>
            <wp:docPr id="1162826124"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5" cstate="print">
                      <a:extLst>
                        <a:ext uri="{28A0092B-C50C-407E-A947-70E740481C1C}">
                          <a14:useLocalDpi xmlns:a14="http://schemas.microsoft.com/office/drawing/2010/main" val="0"/>
                        </a:ext>
                      </a:extLst>
                    </a:blip>
                    <a:srcRect b="7144"/>
                    <a:stretch>
                      <a:fillRect/>
                    </a:stretch>
                  </pic:blipFill>
                  <pic:spPr bwMode="auto">
                    <a:xfrm>
                      <a:off x="0" y="0"/>
                      <a:ext cx="5730875" cy="7179398"/>
                    </a:xfrm>
                    <a:prstGeom prst="rect">
                      <a:avLst/>
                    </a:prstGeom>
                    <a:noFill/>
                    <a:ln>
                      <a:noFill/>
                    </a:ln>
                    <a:extLst>
                      <a:ext uri="{53640926-AAD7-44D8-BBD7-CCE9431645EC}">
                        <a14:shadowObscured xmlns:a14="http://schemas.microsoft.com/office/drawing/2010/main"/>
                      </a:ext>
                    </a:extLst>
                  </pic:spPr>
                </pic:pic>
              </a:graphicData>
            </a:graphic>
          </wp:inline>
        </w:drawing>
      </w:r>
    </w:p>
    <w:p w:rsidR="00CF4D2B" w:rsidRPr="00FB1086" w:rsidRDefault="00CF4D2B" w:rsidP="00CF4D2B">
      <w:pPr>
        <w:spacing w:line="240" w:lineRule="auto"/>
        <w:rPr>
          <w:rFonts w:ascii="Times New Roman" w:hAnsi="Times New Roman" w:cs="Times New Roman"/>
          <w:i/>
          <w:sz w:val="18"/>
          <w:szCs w:val="18"/>
        </w:rPr>
      </w:pPr>
      <w:r w:rsidRPr="00FB1086">
        <w:rPr>
          <w:rFonts w:ascii="Times New Roman" w:hAnsi="Times New Roman" w:cs="Times New Roman"/>
          <w:b/>
          <w:i/>
          <w:sz w:val="18"/>
          <w:szCs w:val="18"/>
        </w:rPr>
        <w:t>Supplementary Figure 2.</w:t>
      </w:r>
      <w:r w:rsidRPr="00FB1086">
        <w:rPr>
          <w:rFonts w:ascii="Times New Roman" w:hAnsi="Times New Roman" w:cs="Times New Roman"/>
          <w:i/>
          <w:sz w:val="18"/>
          <w:szCs w:val="18"/>
        </w:rPr>
        <w:t xml:space="preserve"> (</w:t>
      </w:r>
      <w:r w:rsidRPr="00FB1086">
        <w:rPr>
          <w:rFonts w:ascii="Times New Roman" w:hAnsi="Times New Roman" w:cs="Times New Roman"/>
          <w:b/>
          <w:i/>
          <w:sz w:val="18"/>
          <w:szCs w:val="18"/>
        </w:rPr>
        <w:t>A</w:t>
      </w:r>
      <w:r w:rsidRPr="00FB1086">
        <w:rPr>
          <w:rFonts w:ascii="Times New Roman" w:hAnsi="Times New Roman" w:cs="Times New Roman"/>
          <w:i/>
          <w:sz w:val="18"/>
          <w:szCs w:val="18"/>
        </w:rPr>
        <w:t>) Flow cytometric quantification of CD8</w:t>
      </w:r>
      <w:r w:rsidRPr="00FB1086">
        <w:rPr>
          <w:rFonts w:ascii="Times New Roman" w:hAnsi="Times New Roman" w:cs="Times New Roman"/>
          <w:i/>
          <w:sz w:val="18"/>
          <w:szCs w:val="18"/>
          <w:vertAlign w:val="superscript"/>
        </w:rPr>
        <w:t>+</w:t>
      </w:r>
      <w:r w:rsidRPr="00FB1086">
        <w:rPr>
          <w:rFonts w:ascii="Times New Roman" w:hAnsi="Times New Roman" w:cs="Times New Roman"/>
          <w:i/>
          <w:sz w:val="18"/>
          <w:szCs w:val="18"/>
        </w:rPr>
        <w:t xml:space="preserve"> T cells in the pLN and spleen of CD8 depleted mice. (</w:t>
      </w:r>
      <w:r w:rsidRPr="00FB1086">
        <w:rPr>
          <w:rFonts w:ascii="Times New Roman" w:hAnsi="Times New Roman" w:cs="Times New Roman"/>
          <w:b/>
          <w:i/>
          <w:sz w:val="18"/>
          <w:szCs w:val="18"/>
        </w:rPr>
        <w:t>B</w:t>
      </w:r>
      <w:r w:rsidRPr="00FB1086">
        <w:rPr>
          <w:rFonts w:ascii="Times New Roman" w:hAnsi="Times New Roman" w:cs="Times New Roman"/>
          <w:i/>
          <w:sz w:val="18"/>
          <w:szCs w:val="18"/>
        </w:rPr>
        <w:t>) Flow cytometric quantification of NK cells in the pLN and spleen of NK depleted mice. (</w:t>
      </w:r>
      <w:r w:rsidRPr="00FB1086">
        <w:rPr>
          <w:rFonts w:ascii="Times New Roman" w:hAnsi="Times New Roman" w:cs="Times New Roman"/>
          <w:b/>
          <w:i/>
          <w:sz w:val="18"/>
          <w:szCs w:val="18"/>
        </w:rPr>
        <w:t>C</w:t>
      </w:r>
      <w:r w:rsidRPr="00FB1086">
        <w:rPr>
          <w:rFonts w:ascii="Times New Roman" w:hAnsi="Times New Roman" w:cs="Times New Roman"/>
          <w:i/>
          <w:sz w:val="18"/>
          <w:szCs w:val="18"/>
        </w:rPr>
        <w:t xml:space="preserve">) </w:t>
      </w:r>
      <w:r w:rsidRPr="00FB1086">
        <w:rPr>
          <w:rFonts w:ascii="Times New Roman" w:hAnsi="Times New Roman" w:cs="Times New Roman"/>
          <w:i/>
          <w:color w:val="EE0000"/>
          <w:sz w:val="18"/>
          <w:szCs w:val="18"/>
        </w:rPr>
        <w:t xml:space="preserve">Effect of L19IL2 on the number of lymphoma cells in the pLN, measured by flow cytometry, in CD8 T cells depleted mice in comparison to controls (PBS). Data indicate results from three independent experiments, pooled. Each point shows the average value per group per experimental repetition. Results were normalized to the average value of PBS controls in each experiment. </w:t>
      </w:r>
      <w:r w:rsidRPr="00FB1086">
        <w:rPr>
          <w:rFonts w:ascii="Times New Roman" w:hAnsi="Times New Roman" w:cs="Times New Roman"/>
          <w:i/>
          <w:sz w:val="18"/>
          <w:szCs w:val="18"/>
        </w:rPr>
        <w:t>(</w:t>
      </w:r>
      <w:r w:rsidRPr="00FB1086">
        <w:rPr>
          <w:rFonts w:ascii="Times New Roman" w:hAnsi="Times New Roman" w:cs="Times New Roman"/>
          <w:b/>
          <w:bCs/>
          <w:i/>
          <w:sz w:val="18"/>
          <w:szCs w:val="18"/>
        </w:rPr>
        <w:t>D</w:t>
      </w:r>
      <w:r w:rsidRPr="00FB1086">
        <w:rPr>
          <w:rFonts w:ascii="Times New Roman" w:hAnsi="Times New Roman" w:cs="Times New Roman"/>
          <w:i/>
          <w:sz w:val="18"/>
          <w:szCs w:val="18"/>
        </w:rPr>
        <w:t>)</w:t>
      </w:r>
      <w:r w:rsidRPr="00FB1086">
        <w:rPr>
          <w:rFonts w:ascii="Times New Roman" w:hAnsi="Times New Roman" w:cs="Times New Roman"/>
          <w:i/>
          <w:color w:val="EE0000"/>
          <w:sz w:val="18"/>
          <w:szCs w:val="18"/>
        </w:rPr>
        <w:t xml:space="preserve"> </w:t>
      </w:r>
      <w:r w:rsidRPr="00FB1086">
        <w:rPr>
          <w:rFonts w:ascii="Times New Roman" w:hAnsi="Times New Roman" w:cs="Times New Roman"/>
          <w:i/>
          <w:sz w:val="18"/>
          <w:szCs w:val="18"/>
        </w:rPr>
        <w:t xml:space="preserve">Flow cytometric quantification of lymphoma cells in the spleen of NK depleted mice untreated compared to L19IL2 treatment. </w:t>
      </w:r>
      <w:r w:rsidRPr="00FB1086">
        <w:rPr>
          <w:rFonts w:ascii="Times New Roman" w:hAnsi="Times New Roman" w:cs="Times New Roman"/>
          <w:i/>
          <w:color w:val="EE0000"/>
          <w:sz w:val="18"/>
          <w:szCs w:val="18"/>
        </w:rPr>
        <w:t>(</w:t>
      </w:r>
      <w:r w:rsidRPr="00FB1086">
        <w:rPr>
          <w:rFonts w:ascii="Times New Roman" w:hAnsi="Times New Roman" w:cs="Times New Roman"/>
          <w:b/>
          <w:bCs/>
          <w:i/>
          <w:color w:val="EE0000"/>
          <w:sz w:val="18"/>
          <w:szCs w:val="18"/>
        </w:rPr>
        <w:t>E</w:t>
      </w:r>
      <w:r w:rsidRPr="00FB1086">
        <w:rPr>
          <w:rFonts w:ascii="Times New Roman" w:hAnsi="Times New Roman" w:cs="Times New Roman"/>
          <w:i/>
          <w:color w:val="EE0000"/>
          <w:sz w:val="18"/>
          <w:szCs w:val="18"/>
        </w:rPr>
        <w:t>) Gating strategy to isolate NK, NK T, CD8</w:t>
      </w:r>
      <w:r w:rsidRPr="00FB1086">
        <w:rPr>
          <w:rFonts w:ascii="Times New Roman" w:hAnsi="Times New Roman" w:cs="Times New Roman"/>
          <w:i/>
          <w:color w:val="EE0000"/>
          <w:sz w:val="18"/>
          <w:szCs w:val="18"/>
          <w:vertAlign w:val="superscript"/>
        </w:rPr>
        <w:t>+</w:t>
      </w:r>
      <w:r w:rsidRPr="00FB1086">
        <w:rPr>
          <w:rFonts w:ascii="Times New Roman" w:hAnsi="Times New Roman" w:cs="Times New Roman"/>
          <w:i/>
          <w:color w:val="EE0000"/>
          <w:sz w:val="18"/>
          <w:szCs w:val="18"/>
        </w:rPr>
        <w:t xml:space="preserve"> T cells, CD4</w:t>
      </w:r>
      <w:r w:rsidRPr="00FB1086">
        <w:rPr>
          <w:rFonts w:ascii="Times New Roman" w:hAnsi="Times New Roman" w:cs="Times New Roman"/>
          <w:i/>
          <w:color w:val="EE0000"/>
          <w:sz w:val="18"/>
          <w:szCs w:val="18"/>
          <w:vertAlign w:val="superscript"/>
        </w:rPr>
        <w:t>+</w:t>
      </w:r>
      <w:r w:rsidRPr="00FB1086">
        <w:rPr>
          <w:rFonts w:ascii="Times New Roman" w:hAnsi="Times New Roman" w:cs="Times New Roman"/>
          <w:i/>
          <w:color w:val="EE0000"/>
          <w:sz w:val="18"/>
          <w:szCs w:val="18"/>
        </w:rPr>
        <w:t xml:space="preserve"> T cells, and T</w:t>
      </w:r>
      <w:r w:rsidRPr="00FB1086">
        <w:rPr>
          <w:rFonts w:ascii="Times New Roman" w:hAnsi="Times New Roman" w:cs="Times New Roman"/>
          <w:i/>
          <w:color w:val="EE0000"/>
          <w:sz w:val="18"/>
          <w:szCs w:val="18"/>
          <w:vertAlign w:val="subscript"/>
        </w:rPr>
        <w:t>reg</w:t>
      </w:r>
      <w:r w:rsidRPr="00FB1086">
        <w:rPr>
          <w:rFonts w:ascii="Times New Roman" w:hAnsi="Times New Roman" w:cs="Times New Roman"/>
          <w:i/>
          <w:sz w:val="18"/>
          <w:szCs w:val="18"/>
        </w:rPr>
        <w:t>. Flow cytometric quantification of (</w:t>
      </w:r>
      <w:r w:rsidRPr="00FB1086">
        <w:rPr>
          <w:rFonts w:ascii="Times New Roman" w:hAnsi="Times New Roman" w:cs="Times New Roman"/>
          <w:b/>
          <w:i/>
          <w:sz w:val="18"/>
          <w:szCs w:val="18"/>
        </w:rPr>
        <w:t>F</w:t>
      </w:r>
      <w:r w:rsidRPr="00FB1086">
        <w:rPr>
          <w:rFonts w:ascii="Times New Roman" w:hAnsi="Times New Roman" w:cs="Times New Roman"/>
          <w:i/>
          <w:sz w:val="18"/>
          <w:szCs w:val="18"/>
        </w:rPr>
        <w:t>) CD11b</w:t>
      </w:r>
      <w:r w:rsidRPr="00FB1086">
        <w:rPr>
          <w:rFonts w:ascii="Times New Roman" w:hAnsi="Times New Roman" w:cs="Times New Roman"/>
          <w:i/>
          <w:sz w:val="18"/>
          <w:szCs w:val="18"/>
          <w:vertAlign w:val="superscript"/>
        </w:rPr>
        <w:t>-</w:t>
      </w:r>
      <w:r w:rsidRPr="00FB1086">
        <w:rPr>
          <w:rFonts w:ascii="Times New Roman" w:hAnsi="Times New Roman" w:cs="Times New Roman"/>
          <w:i/>
          <w:sz w:val="18"/>
          <w:szCs w:val="18"/>
        </w:rPr>
        <w:t xml:space="preserve"> and CD11b</w:t>
      </w:r>
      <w:r w:rsidRPr="00FB1086">
        <w:rPr>
          <w:rFonts w:ascii="Times New Roman" w:hAnsi="Times New Roman" w:cs="Times New Roman"/>
          <w:i/>
          <w:sz w:val="18"/>
          <w:szCs w:val="18"/>
          <w:vertAlign w:val="superscript"/>
        </w:rPr>
        <w:t>+</w:t>
      </w:r>
      <w:r w:rsidRPr="00FB1086">
        <w:rPr>
          <w:rFonts w:ascii="Times New Roman" w:hAnsi="Times New Roman" w:cs="Times New Roman"/>
          <w:i/>
          <w:sz w:val="18"/>
          <w:szCs w:val="18"/>
        </w:rPr>
        <w:t xml:space="preserve"> dendritic cells (DCs), (</w:t>
      </w:r>
      <w:r w:rsidRPr="00FB1086">
        <w:rPr>
          <w:rFonts w:ascii="Times New Roman" w:hAnsi="Times New Roman" w:cs="Times New Roman"/>
          <w:b/>
          <w:bCs/>
          <w:i/>
          <w:sz w:val="18"/>
          <w:szCs w:val="18"/>
        </w:rPr>
        <w:t>G</w:t>
      </w:r>
      <w:r w:rsidRPr="00FB1086">
        <w:rPr>
          <w:rFonts w:ascii="Times New Roman" w:hAnsi="Times New Roman" w:cs="Times New Roman"/>
          <w:i/>
          <w:sz w:val="18"/>
          <w:szCs w:val="18"/>
        </w:rPr>
        <w:t>) B cells, (</w:t>
      </w:r>
      <w:r w:rsidRPr="00FB1086">
        <w:rPr>
          <w:rFonts w:ascii="Times New Roman" w:hAnsi="Times New Roman" w:cs="Times New Roman"/>
          <w:b/>
          <w:i/>
          <w:sz w:val="18"/>
          <w:szCs w:val="18"/>
        </w:rPr>
        <w:t>H</w:t>
      </w:r>
      <w:r w:rsidRPr="00FB1086">
        <w:rPr>
          <w:rFonts w:ascii="Times New Roman" w:hAnsi="Times New Roman" w:cs="Times New Roman"/>
          <w:i/>
          <w:sz w:val="18"/>
          <w:szCs w:val="18"/>
        </w:rPr>
        <w:t>) Macrophages, and (</w:t>
      </w:r>
      <w:r w:rsidRPr="00FB1086">
        <w:rPr>
          <w:rFonts w:ascii="Times New Roman" w:hAnsi="Times New Roman" w:cs="Times New Roman"/>
          <w:b/>
          <w:i/>
          <w:sz w:val="18"/>
          <w:szCs w:val="18"/>
        </w:rPr>
        <w:t>I</w:t>
      </w:r>
      <w:r w:rsidRPr="00FB1086">
        <w:rPr>
          <w:rFonts w:ascii="Times New Roman" w:hAnsi="Times New Roman" w:cs="Times New Roman"/>
          <w:i/>
          <w:sz w:val="18"/>
          <w:szCs w:val="18"/>
        </w:rPr>
        <w:t>) Neutrophils in the LN of untreated and L19IL2 treated animals</w:t>
      </w:r>
      <w:r w:rsidRPr="00FB1086">
        <w:rPr>
          <w:rFonts w:ascii="Times New Roman" w:hAnsi="Times New Roman" w:cs="Times New Roman"/>
          <w:i/>
          <w:color w:val="EE0000"/>
          <w:sz w:val="18"/>
          <w:szCs w:val="18"/>
        </w:rPr>
        <w:t>. (</w:t>
      </w:r>
      <w:r w:rsidRPr="00FB1086">
        <w:rPr>
          <w:rFonts w:ascii="Times New Roman" w:hAnsi="Times New Roman" w:cs="Times New Roman"/>
          <w:b/>
          <w:bCs/>
          <w:i/>
          <w:color w:val="EE0000"/>
          <w:sz w:val="18"/>
          <w:szCs w:val="18"/>
        </w:rPr>
        <w:t>J</w:t>
      </w:r>
      <w:r w:rsidRPr="00FB1086">
        <w:rPr>
          <w:rFonts w:ascii="Times New Roman" w:hAnsi="Times New Roman" w:cs="Times New Roman"/>
          <w:i/>
          <w:color w:val="EE0000"/>
          <w:sz w:val="18"/>
          <w:szCs w:val="18"/>
        </w:rPr>
        <w:t>) Flow cytometric histogram showing gating strategy to isolate Ki67</w:t>
      </w:r>
      <w:r w:rsidRPr="00FB1086">
        <w:rPr>
          <w:rFonts w:ascii="Times New Roman" w:hAnsi="Times New Roman" w:cs="Times New Roman"/>
          <w:i/>
          <w:color w:val="EE0000"/>
          <w:sz w:val="18"/>
          <w:szCs w:val="18"/>
          <w:vertAlign w:val="superscript"/>
        </w:rPr>
        <w:t>+</w:t>
      </w:r>
      <w:r w:rsidRPr="00FB1086">
        <w:rPr>
          <w:rFonts w:ascii="Times New Roman" w:hAnsi="Times New Roman" w:cs="Times New Roman"/>
          <w:i/>
          <w:color w:val="EE0000"/>
          <w:sz w:val="18"/>
          <w:szCs w:val="18"/>
        </w:rPr>
        <w:t xml:space="preserve"> cells. </w:t>
      </w:r>
      <w:r w:rsidRPr="00FB1086">
        <w:rPr>
          <w:rFonts w:ascii="Times New Roman" w:hAnsi="Times New Roman" w:cs="Times New Roman"/>
          <w:i/>
          <w:sz w:val="18"/>
          <w:szCs w:val="18"/>
        </w:rPr>
        <w:t>In all graphs circles represent individual values (animal replicates), while red lines or bars indicate the average value per group. In all graphs, the p-value is indicated as * &lt;0.05; ** &lt;0.01; ***&lt;0.001; **** &lt; 0.0001.</w:t>
      </w:r>
    </w:p>
    <w:p w:rsidR="00CF4D2B" w:rsidRPr="00FB1086" w:rsidRDefault="00CF4D2B" w:rsidP="00CF4D2B">
      <w:pPr>
        <w:spacing w:line="240" w:lineRule="auto"/>
        <w:rPr>
          <w:rFonts w:ascii="Times New Roman" w:hAnsi="Times New Roman" w:cs="Times New Roman"/>
          <w:i/>
          <w:sz w:val="18"/>
          <w:szCs w:val="18"/>
        </w:rPr>
      </w:pPr>
      <w:r w:rsidRPr="00FB1086">
        <w:rPr>
          <w:rFonts w:ascii="Times New Roman" w:hAnsi="Times New Roman" w:cs="Times New Roman"/>
          <w:noProof/>
        </w:rPr>
        <w:lastRenderedPageBreak/>
        <w:drawing>
          <wp:inline distT="0" distB="0" distL="0" distR="0" wp14:anchorId="1D44F1BA" wp14:editId="78FA29A2">
            <wp:extent cx="5732780" cy="6611816"/>
            <wp:effectExtent l="0" t="0" r="1270" b="0"/>
            <wp:docPr id="22144287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6" cstate="print">
                      <a:extLst>
                        <a:ext uri="{28A0092B-C50C-407E-A947-70E740481C1C}">
                          <a14:useLocalDpi xmlns:a14="http://schemas.microsoft.com/office/drawing/2010/main" val="0"/>
                        </a:ext>
                      </a:extLst>
                    </a:blip>
                    <a:srcRect b="8294"/>
                    <a:stretch>
                      <a:fillRect/>
                    </a:stretch>
                  </pic:blipFill>
                  <pic:spPr bwMode="auto">
                    <a:xfrm>
                      <a:off x="0" y="0"/>
                      <a:ext cx="5732780" cy="6611816"/>
                    </a:xfrm>
                    <a:prstGeom prst="rect">
                      <a:avLst/>
                    </a:prstGeom>
                    <a:noFill/>
                    <a:ln>
                      <a:noFill/>
                    </a:ln>
                    <a:extLst>
                      <a:ext uri="{53640926-AAD7-44D8-BBD7-CCE9431645EC}">
                        <a14:shadowObscured xmlns:a14="http://schemas.microsoft.com/office/drawing/2010/main"/>
                      </a:ext>
                    </a:extLst>
                  </pic:spPr>
                </pic:pic>
              </a:graphicData>
            </a:graphic>
          </wp:inline>
        </w:drawing>
      </w:r>
      <w:r w:rsidRPr="00FB1086">
        <w:rPr>
          <w:rFonts w:ascii="Times New Roman" w:hAnsi="Times New Roman" w:cs="Times New Roman"/>
          <w:b/>
          <w:i/>
          <w:sz w:val="18"/>
          <w:szCs w:val="18"/>
        </w:rPr>
        <w:t>Supplementary Figure 3.</w:t>
      </w:r>
      <w:r w:rsidRPr="00FB1086">
        <w:rPr>
          <w:rFonts w:ascii="Times New Roman" w:hAnsi="Times New Roman" w:cs="Times New Roman"/>
          <w:i/>
          <w:sz w:val="18"/>
          <w:szCs w:val="18"/>
        </w:rPr>
        <w:t xml:space="preserve"> (</w:t>
      </w:r>
      <w:r w:rsidRPr="00FB1086">
        <w:rPr>
          <w:rFonts w:ascii="Times New Roman" w:hAnsi="Times New Roman" w:cs="Times New Roman"/>
          <w:b/>
          <w:i/>
          <w:sz w:val="18"/>
          <w:szCs w:val="18"/>
        </w:rPr>
        <w:t>A</w:t>
      </w:r>
      <w:r w:rsidRPr="00FB1086">
        <w:rPr>
          <w:rFonts w:ascii="Times New Roman" w:hAnsi="Times New Roman" w:cs="Times New Roman"/>
          <w:i/>
          <w:sz w:val="18"/>
          <w:szCs w:val="18"/>
        </w:rPr>
        <w:t>) Schematic representation of the lymphoma model used for T cells UMAP clustering, in which T cells parameters were acquired by using flow cytometry of the LN of lymphoma-bearing mice. (</w:t>
      </w:r>
      <w:r w:rsidRPr="00FB1086">
        <w:rPr>
          <w:rFonts w:ascii="Times New Roman" w:hAnsi="Times New Roman" w:cs="Times New Roman"/>
          <w:b/>
          <w:i/>
          <w:sz w:val="18"/>
          <w:szCs w:val="18"/>
        </w:rPr>
        <w:t>B</w:t>
      </w:r>
      <w:r w:rsidRPr="00FB1086">
        <w:rPr>
          <w:rFonts w:ascii="Times New Roman" w:hAnsi="Times New Roman" w:cs="Times New Roman"/>
          <w:i/>
          <w:sz w:val="18"/>
          <w:szCs w:val="18"/>
        </w:rPr>
        <w:t>) UMAP clustering of total CD3</w:t>
      </w:r>
      <w:r w:rsidRPr="00FB1086">
        <w:rPr>
          <w:rFonts w:ascii="Times New Roman" w:hAnsi="Times New Roman" w:cs="Times New Roman"/>
          <w:i/>
          <w:sz w:val="18"/>
          <w:szCs w:val="18"/>
          <w:vertAlign w:val="superscript"/>
        </w:rPr>
        <w:t>+</w:t>
      </w:r>
      <w:r w:rsidRPr="00FB1086">
        <w:rPr>
          <w:rFonts w:ascii="Times New Roman" w:hAnsi="Times New Roman" w:cs="Times New Roman"/>
          <w:i/>
          <w:sz w:val="18"/>
          <w:szCs w:val="18"/>
        </w:rPr>
        <w:t xml:space="preserve"> T cells, showing the expression of the subclusters identity markers </w:t>
      </w:r>
      <w:r w:rsidRPr="00FB1086">
        <w:rPr>
          <w:rFonts w:ascii="Times New Roman" w:hAnsi="Times New Roman" w:cs="Times New Roman"/>
          <w:i/>
          <w:color w:val="EE0000"/>
          <w:sz w:val="18"/>
          <w:szCs w:val="18"/>
        </w:rPr>
        <w:t>across subsets</w:t>
      </w:r>
      <w:r w:rsidRPr="00FB1086">
        <w:rPr>
          <w:rFonts w:ascii="Times New Roman" w:hAnsi="Times New Roman" w:cs="Times New Roman"/>
          <w:i/>
          <w:sz w:val="18"/>
          <w:szCs w:val="18"/>
        </w:rPr>
        <w:t xml:space="preserve"> in a colorimetric scale, including NK1.1, CD62L, CXCR3, CD44, and CD11b. UMAP representation of the T cells from (</w:t>
      </w:r>
      <w:r w:rsidRPr="00FB1086">
        <w:rPr>
          <w:rFonts w:ascii="Times New Roman" w:hAnsi="Times New Roman" w:cs="Times New Roman"/>
          <w:b/>
          <w:i/>
          <w:sz w:val="18"/>
          <w:szCs w:val="18"/>
        </w:rPr>
        <w:t>C</w:t>
      </w:r>
      <w:r w:rsidRPr="00FB1086">
        <w:rPr>
          <w:rFonts w:ascii="Times New Roman" w:hAnsi="Times New Roman" w:cs="Times New Roman"/>
          <w:i/>
          <w:sz w:val="18"/>
          <w:szCs w:val="18"/>
        </w:rPr>
        <w:t>) L19IL2 treated (blue) or (</w:t>
      </w:r>
      <w:r w:rsidRPr="00FB1086">
        <w:rPr>
          <w:rFonts w:ascii="Times New Roman" w:hAnsi="Times New Roman" w:cs="Times New Roman"/>
          <w:b/>
          <w:i/>
          <w:sz w:val="18"/>
          <w:szCs w:val="18"/>
        </w:rPr>
        <w:t>D</w:t>
      </w:r>
      <w:r w:rsidRPr="00FB1086">
        <w:rPr>
          <w:rFonts w:ascii="Times New Roman" w:hAnsi="Times New Roman" w:cs="Times New Roman"/>
          <w:i/>
          <w:sz w:val="18"/>
          <w:szCs w:val="18"/>
        </w:rPr>
        <w:t>) untreated (orange) mice. Circles indicate individual cells. (</w:t>
      </w:r>
      <w:r w:rsidRPr="00FB1086">
        <w:rPr>
          <w:rFonts w:ascii="Times New Roman" w:hAnsi="Times New Roman" w:cs="Times New Roman"/>
          <w:b/>
          <w:i/>
          <w:sz w:val="18"/>
          <w:szCs w:val="18"/>
        </w:rPr>
        <w:t>E</w:t>
      </w:r>
      <w:r w:rsidRPr="00FB1086">
        <w:rPr>
          <w:rFonts w:ascii="Times New Roman" w:hAnsi="Times New Roman" w:cs="Times New Roman"/>
          <w:i/>
          <w:sz w:val="18"/>
          <w:szCs w:val="18"/>
        </w:rPr>
        <w:t xml:space="preserve">) Schematic representation of the </w:t>
      </w:r>
      <w:r w:rsidRPr="00FB1086">
        <w:rPr>
          <w:rFonts w:ascii="Times New Roman" w:hAnsi="Times New Roman" w:cs="Times New Roman"/>
          <w:sz w:val="18"/>
          <w:szCs w:val="18"/>
        </w:rPr>
        <w:t xml:space="preserve">in vitro </w:t>
      </w:r>
      <w:r w:rsidRPr="00FB1086">
        <w:rPr>
          <w:rFonts w:ascii="Times New Roman" w:hAnsi="Times New Roman" w:cs="Times New Roman"/>
          <w:i/>
          <w:sz w:val="18"/>
          <w:szCs w:val="18"/>
        </w:rPr>
        <w:t>immunophenotyping experiment. (</w:t>
      </w:r>
      <w:r w:rsidRPr="00FB1086">
        <w:rPr>
          <w:rFonts w:ascii="Times New Roman" w:hAnsi="Times New Roman" w:cs="Times New Roman"/>
          <w:b/>
          <w:i/>
          <w:sz w:val="18"/>
          <w:szCs w:val="18"/>
        </w:rPr>
        <w:t>F</w:t>
      </w:r>
      <w:r w:rsidRPr="00FB1086">
        <w:rPr>
          <w:rFonts w:ascii="Times New Roman" w:hAnsi="Times New Roman" w:cs="Times New Roman"/>
          <w:i/>
          <w:sz w:val="18"/>
          <w:szCs w:val="18"/>
        </w:rPr>
        <w:t>) Percentage of CD127</w:t>
      </w:r>
      <w:r w:rsidRPr="00FB1086">
        <w:rPr>
          <w:rFonts w:ascii="Times New Roman" w:hAnsi="Times New Roman" w:cs="Times New Roman"/>
          <w:i/>
          <w:sz w:val="18"/>
          <w:szCs w:val="18"/>
          <w:vertAlign w:val="superscript"/>
        </w:rPr>
        <w:t xml:space="preserve">+ </w:t>
      </w:r>
      <w:r w:rsidRPr="00FB1086">
        <w:rPr>
          <w:rFonts w:ascii="Times New Roman" w:hAnsi="Times New Roman" w:cs="Times New Roman"/>
          <w:i/>
          <w:sz w:val="18"/>
          <w:szCs w:val="18"/>
        </w:rPr>
        <w:t>CD8</w:t>
      </w:r>
      <w:r w:rsidRPr="00FB1086">
        <w:rPr>
          <w:rFonts w:ascii="Times New Roman" w:hAnsi="Times New Roman" w:cs="Times New Roman"/>
          <w:i/>
          <w:sz w:val="18"/>
          <w:szCs w:val="18"/>
          <w:vertAlign w:val="superscript"/>
        </w:rPr>
        <w:t>+</w:t>
      </w:r>
      <w:r w:rsidRPr="00FB1086">
        <w:rPr>
          <w:rFonts w:ascii="Times New Roman" w:hAnsi="Times New Roman" w:cs="Times New Roman"/>
          <w:i/>
          <w:sz w:val="18"/>
          <w:szCs w:val="18"/>
        </w:rPr>
        <w:t xml:space="preserve"> T cells in treated with L19IL2 or IL2 conditions. Circles indicate technical replicates, while lines show average and standard deviation per group. In all graphs, the p-value is indicated as * &lt;0.05; ** &lt;0.01; ***&lt;0.001; **** &lt; 0.0001.</w:t>
      </w:r>
    </w:p>
    <w:p w:rsidR="00CF4D2B" w:rsidRPr="00FB1086" w:rsidRDefault="00CF4D2B" w:rsidP="00CF4D2B">
      <w:pPr>
        <w:spacing w:line="240" w:lineRule="auto"/>
        <w:rPr>
          <w:rFonts w:ascii="Times New Roman" w:hAnsi="Times New Roman" w:cs="Times New Roman"/>
          <w:b/>
        </w:rPr>
      </w:pPr>
      <w:r w:rsidRPr="00FB1086">
        <w:rPr>
          <w:rFonts w:ascii="Times New Roman" w:hAnsi="Times New Roman" w:cs="Times New Roman"/>
          <w:noProof/>
        </w:rPr>
        <w:lastRenderedPageBreak/>
        <w:drawing>
          <wp:inline distT="0" distB="0" distL="0" distR="0" wp14:anchorId="301C2D7B" wp14:editId="44098473">
            <wp:extent cx="5498465" cy="5986130"/>
            <wp:effectExtent l="0" t="0" r="6985" b="0"/>
            <wp:docPr id="2010673920" name="Picture 21" descr="A close-up of a graph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0673920" name="Picture 21" descr="A close-up of a graph  AI-generated content may be incorrect."/>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b="32442"/>
                    <a:stretch/>
                  </pic:blipFill>
                  <pic:spPr bwMode="auto">
                    <a:xfrm>
                      <a:off x="0" y="0"/>
                      <a:ext cx="5498465" cy="5986130"/>
                    </a:xfrm>
                    <a:prstGeom prst="rect">
                      <a:avLst/>
                    </a:prstGeom>
                    <a:noFill/>
                    <a:ln>
                      <a:noFill/>
                    </a:ln>
                    <a:extLst>
                      <a:ext uri="{53640926-AAD7-44D8-BBD7-CCE9431645EC}">
                        <a14:shadowObscured xmlns:a14="http://schemas.microsoft.com/office/drawing/2010/main"/>
                      </a:ext>
                    </a:extLst>
                  </pic:spPr>
                </pic:pic>
              </a:graphicData>
            </a:graphic>
          </wp:inline>
        </w:drawing>
      </w:r>
    </w:p>
    <w:p w:rsidR="00CF4D2B" w:rsidRPr="00FB1086" w:rsidRDefault="00CF4D2B" w:rsidP="00CF4D2B">
      <w:pPr>
        <w:spacing w:line="240" w:lineRule="auto"/>
        <w:rPr>
          <w:rFonts w:ascii="Times New Roman" w:hAnsi="Times New Roman" w:cs="Times New Roman"/>
          <w:i/>
          <w:sz w:val="18"/>
          <w:szCs w:val="18"/>
        </w:rPr>
      </w:pPr>
      <w:r w:rsidRPr="00FB1086">
        <w:rPr>
          <w:rFonts w:ascii="Times New Roman" w:hAnsi="Times New Roman" w:cs="Times New Roman"/>
          <w:b/>
          <w:i/>
          <w:sz w:val="18"/>
          <w:szCs w:val="18"/>
        </w:rPr>
        <w:t>Supplementary Figure 4.</w:t>
      </w:r>
      <w:r w:rsidRPr="00FB1086">
        <w:rPr>
          <w:rFonts w:ascii="Times New Roman" w:hAnsi="Times New Roman" w:cs="Times New Roman"/>
          <w:i/>
          <w:sz w:val="18"/>
          <w:szCs w:val="18"/>
        </w:rPr>
        <w:t xml:space="preserve"> (</w:t>
      </w:r>
      <w:r w:rsidRPr="00FB1086">
        <w:rPr>
          <w:rFonts w:ascii="Times New Roman" w:hAnsi="Times New Roman" w:cs="Times New Roman"/>
          <w:b/>
          <w:i/>
          <w:sz w:val="18"/>
          <w:szCs w:val="18"/>
        </w:rPr>
        <w:t>A</w:t>
      </w:r>
      <w:r w:rsidRPr="00FB1086">
        <w:rPr>
          <w:rFonts w:ascii="Times New Roman" w:hAnsi="Times New Roman" w:cs="Times New Roman"/>
          <w:i/>
          <w:sz w:val="18"/>
          <w:szCs w:val="18"/>
        </w:rPr>
        <w:t>) Volcano plot representing the differential gene expression in CD8</w:t>
      </w:r>
      <w:r w:rsidRPr="00FB1086">
        <w:rPr>
          <w:rFonts w:ascii="Times New Roman" w:hAnsi="Times New Roman" w:cs="Times New Roman"/>
          <w:i/>
          <w:sz w:val="18"/>
          <w:szCs w:val="18"/>
          <w:vertAlign w:val="superscript"/>
        </w:rPr>
        <w:t>+</w:t>
      </w:r>
      <w:r w:rsidRPr="00FB1086">
        <w:rPr>
          <w:rFonts w:ascii="Times New Roman" w:hAnsi="Times New Roman" w:cs="Times New Roman"/>
          <w:i/>
          <w:sz w:val="18"/>
          <w:szCs w:val="18"/>
        </w:rPr>
        <w:t xml:space="preserve"> T cells isolated from L19IL2 treated mice in comparison to untreated. The red dashed box contains all the significantly downregulated genes in L19IL2 (red dots, magnified on the right). Killing capacity of (</w:t>
      </w:r>
      <w:r w:rsidRPr="00FB1086">
        <w:rPr>
          <w:rFonts w:ascii="Times New Roman" w:hAnsi="Times New Roman" w:cs="Times New Roman"/>
          <w:b/>
          <w:i/>
          <w:sz w:val="18"/>
          <w:szCs w:val="18"/>
        </w:rPr>
        <w:t>B</w:t>
      </w:r>
      <w:r w:rsidRPr="00FB1086">
        <w:rPr>
          <w:rFonts w:ascii="Times New Roman" w:hAnsi="Times New Roman" w:cs="Times New Roman"/>
          <w:i/>
          <w:sz w:val="18"/>
          <w:szCs w:val="18"/>
        </w:rPr>
        <w:t>) LN and (</w:t>
      </w:r>
      <w:r w:rsidRPr="00FB1086">
        <w:rPr>
          <w:rFonts w:ascii="Times New Roman" w:hAnsi="Times New Roman" w:cs="Times New Roman"/>
          <w:b/>
          <w:i/>
          <w:sz w:val="18"/>
          <w:szCs w:val="18"/>
        </w:rPr>
        <w:t>C</w:t>
      </w:r>
      <w:r w:rsidRPr="00FB1086">
        <w:rPr>
          <w:rFonts w:ascii="Times New Roman" w:hAnsi="Times New Roman" w:cs="Times New Roman"/>
          <w:i/>
          <w:sz w:val="18"/>
          <w:szCs w:val="18"/>
        </w:rPr>
        <w:t>) spleen isolated CD8</w:t>
      </w:r>
      <w:r w:rsidRPr="00FB1086">
        <w:rPr>
          <w:rFonts w:ascii="Times New Roman" w:hAnsi="Times New Roman" w:cs="Times New Roman"/>
          <w:i/>
          <w:sz w:val="18"/>
          <w:szCs w:val="18"/>
          <w:vertAlign w:val="superscript"/>
        </w:rPr>
        <w:t>+</w:t>
      </w:r>
      <w:r w:rsidRPr="00FB1086">
        <w:rPr>
          <w:rFonts w:ascii="Times New Roman" w:hAnsi="Times New Roman" w:cs="Times New Roman"/>
          <w:i/>
          <w:sz w:val="18"/>
          <w:szCs w:val="18"/>
        </w:rPr>
        <w:t xml:space="preserve"> T cells, measured as the percentage of surviving lymphoma cells, quantified by flow cytometry, following 24 h (left) and 48 h (right) co-incubation, at different effector.target ratio. (</w:t>
      </w:r>
      <w:r w:rsidRPr="00FB1086">
        <w:rPr>
          <w:rFonts w:ascii="Times New Roman" w:hAnsi="Times New Roman" w:cs="Times New Roman"/>
          <w:b/>
          <w:i/>
          <w:sz w:val="18"/>
          <w:szCs w:val="18"/>
        </w:rPr>
        <w:t>D</w:t>
      </w:r>
      <w:r w:rsidRPr="00FB1086">
        <w:rPr>
          <w:rFonts w:ascii="Times New Roman" w:hAnsi="Times New Roman" w:cs="Times New Roman"/>
          <w:i/>
          <w:sz w:val="18"/>
          <w:szCs w:val="18"/>
        </w:rPr>
        <w:t>) Graphical representation of the construct used to transduce primary CD8</w:t>
      </w:r>
      <w:r w:rsidRPr="00FB1086">
        <w:rPr>
          <w:rFonts w:ascii="Times New Roman" w:hAnsi="Times New Roman" w:cs="Times New Roman"/>
          <w:i/>
          <w:sz w:val="18"/>
          <w:szCs w:val="18"/>
          <w:vertAlign w:val="superscript"/>
        </w:rPr>
        <w:t>+</w:t>
      </w:r>
      <w:r w:rsidRPr="00FB1086">
        <w:rPr>
          <w:rFonts w:ascii="Times New Roman" w:hAnsi="Times New Roman" w:cs="Times New Roman"/>
          <w:i/>
          <w:sz w:val="18"/>
          <w:szCs w:val="18"/>
        </w:rPr>
        <w:t xml:space="preserve"> T cells and generate anti-CD19 CAR T. In all graphs, the p-value is indicated as * &lt;0.05; ** &lt;0.01; ***&lt;0.001; **** &lt; 0.0001.</w:t>
      </w:r>
    </w:p>
    <w:p w:rsidR="00CF4D2B" w:rsidRPr="00FB1086" w:rsidRDefault="00CF4D2B" w:rsidP="00CF4D2B">
      <w:pPr>
        <w:spacing w:line="240" w:lineRule="auto"/>
        <w:rPr>
          <w:rFonts w:ascii="Times New Roman" w:hAnsi="Times New Roman" w:cs="Times New Roman"/>
        </w:rPr>
      </w:pPr>
      <w:r w:rsidRPr="00FB1086">
        <w:rPr>
          <w:rFonts w:ascii="Times New Roman" w:hAnsi="Times New Roman" w:cs="Times New Roman"/>
          <w:noProof/>
        </w:rPr>
        <w:lastRenderedPageBreak/>
        <w:drawing>
          <wp:inline distT="0" distB="0" distL="0" distR="0" wp14:anchorId="3C2B1588" wp14:editId="5BE5CF82">
            <wp:extent cx="5734050" cy="3365500"/>
            <wp:effectExtent l="0" t="0" r="0" b="6350"/>
            <wp:docPr id="206144203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6"/>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b="26184"/>
                    <a:stretch>
                      <a:fillRect/>
                    </a:stretch>
                  </pic:blipFill>
                  <pic:spPr bwMode="auto">
                    <a:xfrm>
                      <a:off x="0" y="0"/>
                      <a:ext cx="5734050" cy="3365500"/>
                    </a:xfrm>
                    <a:prstGeom prst="rect">
                      <a:avLst/>
                    </a:prstGeom>
                    <a:noFill/>
                    <a:ln>
                      <a:noFill/>
                    </a:ln>
                    <a:extLst>
                      <a:ext uri="{53640926-AAD7-44D8-BBD7-CCE9431645EC}">
                        <a14:shadowObscured xmlns:a14="http://schemas.microsoft.com/office/drawing/2010/main"/>
                      </a:ext>
                    </a:extLst>
                  </pic:spPr>
                </pic:pic>
              </a:graphicData>
            </a:graphic>
          </wp:inline>
        </w:drawing>
      </w:r>
    </w:p>
    <w:p w:rsidR="00CF4D2B" w:rsidRPr="00FB1086" w:rsidRDefault="00CF4D2B" w:rsidP="00CF4D2B">
      <w:pPr>
        <w:spacing w:line="240" w:lineRule="auto"/>
        <w:rPr>
          <w:rFonts w:ascii="Times New Roman" w:hAnsi="Times New Roman" w:cs="Times New Roman"/>
          <w:i/>
          <w:color w:val="EE0000"/>
          <w:sz w:val="18"/>
          <w:szCs w:val="18"/>
        </w:rPr>
      </w:pPr>
      <w:r w:rsidRPr="00FB1086">
        <w:rPr>
          <w:rFonts w:ascii="Times New Roman" w:hAnsi="Times New Roman" w:cs="Times New Roman"/>
          <w:b/>
          <w:i/>
          <w:sz w:val="18"/>
          <w:szCs w:val="18"/>
        </w:rPr>
        <w:t>Supplementary Figure 5.</w:t>
      </w:r>
      <w:r w:rsidRPr="00FB1086">
        <w:rPr>
          <w:rFonts w:ascii="Times New Roman" w:hAnsi="Times New Roman" w:cs="Times New Roman"/>
          <w:i/>
          <w:sz w:val="18"/>
          <w:szCs w:val="18"/>
        </w:rPr>
        <w:t xml:space="preserve"> (</w:t>
      </w:r>
      <w:r w:rsidRPr="00FB1086">
        <w:rPr>
          <w:rFonts w:ascii="Times New Roman" w:hAnsi="Times New Roman" w:cs="Times New Roman"/>
          <w:b/>
          <w:i/>
          <w:sz w:val="18"/>
          <w:szCs w:val="18"/>
        </w:rPr>
        <w:t>A</w:t>
      </w:r>
      <w:r w:rsidRPr="00FB1086">
        <w:rPr>
          <w:rFonts w:ascii="Times New Roman" w:hAnsi="Times New Roman" w:cs="Times New Roman"/>
          <w:i/>
          <w:sz w:val="18"/>
          <w:szCs w:val="18"/>
        </w:rPr>
        <w:t>) Schematic representation of the experimental pipeline to isolate DNA from CD8</w:t>
      </w:r>
      <w:r w:rsidRPr="00FB1086">
        <w:rPr>
          <w:rFonts w:ascii="Times New Roman" w:hAnsi="Times New Roman" w:cs="Times New Roman"/>
          <w:i/>
          <w:sz w:val="18"/>
          <w:szCs w:val="18"/>
          <w:vertAlign w:val="superscript"/>
        </w:rPr>
        <w:t>+</w:t>
      </w:r>
      <w:r w:rsidRPr="00FB1086">
        <w:rPr>
          <w:rFonts w:ascii="Times New Roman" w:hAnsi="Times New Roman" w:cs="Times New Roman"/>
          <w:i/>
          <w:sz w:val="18"/>
          <w:szCs w:val="18"/>
        </w:rPr>
        <w:t xml:space="preserve"> T cells for TCR sequencing. (</w:t>
      </w:r>
      <w:r w:rsidRPr="00FB1086">
        <w:rPr>
          <w:rFonts w:ascii="Times New Roman" w:hAnsi="Times New Roman" w:cs="Times New Roman"/>
          <w:b/>
          <w:i/>
          <w:sz w:val="18"/>
          <w:szCs w:val="18"/>
        </w:rPr>
        <w:t>B</w:t>
      </w:r>
      <w:r w:rsidRPr="00FB1086">
        <w:rPr>
          <w:rFonts w:ascii="Times New Roman" w:hAnsi="Times New Roman" w:cs="Times New Roman"/>
          <w:i/>
          <w:sz w:val="18"/>
          <w:szCs w:val="18"/>
        </w:rPr>
        <w:t xml:space="preserve">) Nucleic acid sequences of the MPC from L19IL2 treated (1-4, green) and untreated (5-8, red) mice. </w:t>
      </w:r>
      <w:r w:rsidRPr="00FB1086">
        <w:rPr>
          <w:rFonts w:ascii="Times New Roman" w:hAnsi="Times New Roman" w:cs="Times New Roman"/>
          <w:i/>
          <w:color w:val="EE0000"/>
          <w:sz w:val="18"/>
          <w:szCs w:val="18"/>
        </w:rPr>
        <w:t>(</w:t>
      </w:r>
      <w:r w:rsidRPr="00FB1086">
        <w:rPr>
          <w:rFonts w:ascii="Times New Roman" w:hAnsi="Times New Roman" w:cs="Times New Roman"/>
          <w:b/>
          <w:i/>
          <w:color w:val="EE0000"/>
          <w:sz w:val="18"/>
          <w:szCs w:val="18"/>
        </w:rPr>
        <w:t>C</w:t>
      </w:r>
      <w:r w:rsidRPr="00FB1086">
        <w:rPr>
          <w:rFonts w:ascii="Times New Roman" w:hAnsi="Times New Roman" w:cs="Times New Roman"/>
          <w:i/>
          <w:color w:val="EE0000"/>
          <w:sz w:val="18"/>
          <w:szCs w:val="18"/>
        </w:rPr>
        <w:t xml:space="preserve">) Mean RNA expression of the </w:t>
      </w:r>
      <w:r w:rsidRPr="00FB1086">
        <w:rPr>
          <w:rFonts w:ascii="Times New Roman" w:hAnsi="Times New Roman" w:cs="Times New Roman"/>
          <w:color w:val="EE0000"/>
          <w:sz w:val="18"/>
          <w:szCs w:val="18"/>
        </w:rPr>
        <w:t>Cd28</w:t>
      </w:r>
      <w:r w:rsidRPr="00FB1086">
        <w:rPr>
          <w:rFonts w:ascii="Times New Roman" w:hAnsi="Times New Roman" w:cs="Times New Roman"/>
          <w:i/>
          <w:color w:val="EE0000"/>
          <w:sz w:val="18"/>
          <w:szCs w:val="18"/>
        </w:rPr>
        <w:t xml:space="preserve"> gene in CD8</w:t>
      </w:r>
      <w:r w:rsidRPr="00FB1086">
        <w:rPr>
          <w:rFonts w:ascii="Times New Roman" w:hAnsi="Times New Roman" w:cs="Times New Roman"/>
          <w:i/>
          <w:color w:val="EE0000"/>
          <w:sz w:val="18"/>
          <w:szCs w:val="18"/>
          <w:vertAlign w:val="superscript"/>
        </w:rPr>
        <w:t>+</w:t>
      </w:r>
      <w:r w:rsidRPr="00FB1086">
        <w:rPr>
          <w:rFonts w:ascii="Times New Roman" w:hAnsi="Times New Roman" w:cs="Times New Roman"/>
          <w:i/>
          <w:color w:val="EE0000"/>
          <w:sz w:val="18"/>
          <w:szCs w:val="18"/>
        </w:rPr>
        <w:t xml:space="preserve"> T cells isolated from Untreated (red) or L19IL2 treated (green) mice. Bars indicate mean value and lines indicate standard deviation (n = 4). (</w:t>
      </w:r>
      <w:r w:rsidRPr="00FB1086">
        <w:rPr>
          <w:rFonts w:ascii="Times New Roman" w:hAnsi="Times New Roman" w:cs="Times New Roman"/>
          <w:b/>
          <w:i/>
          <w:color w:val="EE0000"/>
          <w:sz w:val="18"/>
          <w:szCs w:val="18"/>
        </w:rPr>
        <w:t>D</w:t>
      </w:r>
      <w:r w:rsidRPr="00FB1086">
        <w:rPr>
          <w:rFonts w:ascii="Times New Roman" w:hAnsi="Times New Roman" w:cs="Times New Roman"/>
          <w:i/>
          <w:color w:val="EE0000"/>
          <w:sz w:val="18"/>
          <w:szCs w:val="18"/>
        </w:rPr>
        <w:t>) Percentage of CD80</w:t>
      </w:r>
      <w:r w:rsidRPr="00FB1086">
        <w:rPr>
          <w:rFonts w:ascii="Times New Roman" w:hAnsi="Times New Roman" w:cs="Times New Roman"/>
          <w:i/>
          <w:color w:val="EE0000"/>
          <w:sz w:val="18"/>
          <w:szCs w:val="18"/>
          <w:vertAlign w:val="superscript"/>
        </w:rPr>
        <w:t>+</w:t>
      </w:r>
      <w:r w:rsidRPr="00FB1086">
        <w:rPr>
          <w:rFonts w:ascii="Times New Roman" w:hAnsi="Times New Roman" w:cs="Times New Roman"/>
          <w:i/>
          <w:color w:val="EE0000"/>
          <w:sz w:val="18"/>
          <w:szCs w:val="18"/>
        </w:rPr>
        <w:t xml:space="preserve"> DCs in the LN of untreated versus L19IL2 treated mice. Bars indicate mean value and lines indicate standard deviation (n = 4).</w:t>
      </w:r>
      <w:r w:rsidRPr="00FB1086">
        <w:rPr>
          <w:rFonts w:ascii="Times New Roman" w:hAnsi="Times New Roman" w:cs="Times New Roman"/>
          <w:i/>
          <w:color w:val="EE0000"/>
          <w:sz w:val="18"/>
          <w:szCs w:val="18"/>
        </w:rPr>
        <w:br w:type="page"/>
      </w:r>
    </w:p>
    <w:p w:rsidR="00CF4D2B" w:rsidRPr="00FB1086" w:rsidRDefault="00CF4D2B" w:rsidP="00CF4D2B">
      <w:pPr>
        <w:spacing w:line="240" w:lineRule="auto"/>
        <w:rPr>
          <w:rFonts w:ascii="Times New Roman" w:hAnsi="Times New Roman" w:cs="Times New Roman"/>
          <w:i/>
          <w:color w:val="EE0000"/>
          <w:sz w:val="18"/>
          <w:szCs w:val="18"/>
        </w:rPr>
      </w:pPr>
    </w:p>
    <w:p w:rsidR="00CF4D2B" w:rsidRPr="00FB1086" w:rsidRDefault="00CF4D2B" w:rsidP="00CF4D2B">
      <w:pPr>
        <w:spacing w:line="240" w:lineRule="auto"/>
        <w:rPr>
          <w:rFonts w:ascii="Times New Roman" w:hAnsi="Times New Roman" w:cs="Times New Roman"/>
          <w:b/>
        </w:rPr>
      </w:pPr>
      <w:r w:rsidRPr="00FB1086">
        <w:rPr>
          <w:rFonts w:ascii="Times New Roman" w:hAnsi="Times New Roman" w:cs="Times New Roman"/>
          <w:noProof/>
        </w:rPr>
        <w:drawing>
          <wp:inline distT="0" distB="0" distL="0" distR="0" wp14:anchorId="1A56848C" wp14:editId="0427ABEE">
            <wp:extent cx="5733415" cy="3157870"/>
            <wp:effectExtent l="0" t="0" r="635" b="4445"/>
            <wp:docPr id="1455633519"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b="11228"/>
                    <a:stretch/>
                  </pic:blipFill>
                  <pic:spPr bwMode="auto">
                    <a:xfrm>
                      <a:off x="0" y="0"/>
                      <a:ext cx="5733415" cy="3157870"/>
                    </a:xfrm>
                    <a:prstGeom prst="rect">
                      <a:avLst/>
                    </a:prstGeom>
                    <a:noFill/>
                    <a:ln>
                      <a:noFill/>
                    </a:ln>
                    <a:extLst>
                      <a:ext uri="{53640926-AAD7-44D8-BBD7-CCE9431645EC}">
                        <a14:shadowObscured xmlns:a14="http://schemas.microsoft.com/office/drawing/2010/main"/>
                      </a:ext>
                    </a:extLst>
                  </pic:spPr>
                </pic:pic>
              </a:graphicData>
            </a:graphic>
          </wp:inline>
        </w:drawing>
      </w:r>
    </w:p>
    <w:p w:rsidR="00CF4D2B" w:rsidRPr="00FB1086" w:rsidRDefault="00CF4D2B" w:rsidP="00CF4D2B">
      <w:pPr>
        <w:spacing w:line="240" w:lineRule="auto"/>
        <w:rPr>
          <w:rFonts w:ascii="Times New Roman" w:hAnsi="Times New Roman" w:cs="Times New Roman"/>
          <w:i/>
          <w:sz w:val="18"/>
          <w:szCs w:val="18"/>
        </w:rPr>
      </w:pPr>
      <w:r w:rsidRPr="00FB1086">
        <w:rPr>
          <w:rFonts w:ascii="Times New Roman" w:hAnsi="Times New Roman" w:cs="Times New Roman"/>
          <w:b/>
          <w:i/>
          <w:sz w:val="18"/>
          <w:szCs w:val="18"/>
        </w:rPr>
        <w:t>Supplementary Figure 6.</w:t>
      </w:r>
      <w:r w:rsidRPr="00FB1086">
        <w:rPr>
          <w:rFonts w:ascii="Times New Roman" w:hAnsi="Times New Roman" w:cs="Times New Roman"/>
          <w:i/>
          <w:sz w:val="18"/>
          <w:szCs w:val="18"/>
        </w:rPr>
        <w:t xml:space="preserve"> (</w:t>
      </w:r>
      <w:r w:rsidRPr="00FB1086">
        <w:rPr>
          <w:rFonts w:ascii="Times New Roman" w:hAnsi="Times New Roman" w:cs="Times New Roman"/>
          <w:b/>
          <w:i/>
          <w:sz w:val="18"/>
          <w:szCs w:val="18"/>
        </w:rPr>
        <w:t>A</w:t>
      </w:r>
      <w:r w:rsidRPr="00FB1086">
        <w:rPr>
          <w:rFonts w:ascii="Times New Roman" w:hAnsi="Times New Roman" w:cs="Times New Roman"/>
          <w:i/>
          <w:sz w:val="18"/>
          <w:szCs w:val="18"/>
        </w:rPr>
        <w:t>) Quantification of inflammatory chemokines in the supernatant of untreated (top row) and L19IL2 treated (bottom row) lymphoma-invaded LNs (n = 5). (</w:t>
      </w:r>
      <w:r w:rsidRPr="00FB1086">
        <w:rPr>
          <w:rFonts w:ascii="Times New Roman" w:hAnsi="Times New Roman" w:cs="Times New Roman"/>
          <w:b/>
          <w:i/>
          <w:sz w:val="18"/>
          <w:szCs w:val="18"/>
        </w:rPr>
        <w:t>B</w:t>
      </w:r>
      <w:r w:rsidRPr="00FB1086">
        <w:rPr>
          <w:rFonts w:ascii="Times New Roman" w:hAnsi="Times New Roman" w:cs="Times New Roman"/>
          <w:i/>
          <w:sz w:val="18"/>
          <w:szCs w:val="18"/>
        </w:rPr>
        <w:t>) Explanatory drawing representing the process of pixel velocity quantification. The variation of intensity of the CD8</w:t>
      </w:r>
      <w:r w:rsidRPr="00FB1086">
        <w:rPr>
          <w:rFonts w:ascii="Times New Roman" w:hAnsi="Times New Roman" w:cs="Times New Roman"/>
          <w:i/>
          <w:sz w:val="18"/>
          <w:szCs w:val="18"/>
          <w:vertAlign w:val="superscript"/>
        </w:rPr>
        <w:t>+</w:t>
      </w:r>
      <w:r w:rsidRPr="00FB1086">
        <w:rPr>
          <w:rFonts w:ascii="Times New Roman" w:hAnsi="Times New Roman" w:cs="Times New Roman"/>
          <w:i/>
          <w:sz w:val="18"/>
          <w:szCs w:val="18"/>
        </w:rPr>
        <w:t xml:space="preserve"> T cell fluorescent signal is used to extract pixel velocity and, consequently, the motion magnitude, correlating with a motile behavior in that area.</w:t>
      </w:r>
    </w:p>
    <w:p w:rsidR="00CF4D2B" w:rsidRPr="00FB1086" w:rsidRDefault="00CF4D2B" w:rsidP="00CF4D2B">
      <w:pPr>
        <w:spacing w:line="240" w:lineRule="auto"/>
        <w:rPr>
          <w:rFonts w:ascii="Times New Roman" w:hAnsi="Times New Roman" w:cs="Times New Roman"/>
        </w:rPr>
      </w:pPr>
      <w:r w:rsidRPr="00FB1086">
        <w:rPr>
          <w:rFonts w:ascii="Times New Roman" w:hAnsi="Times New Roman" w:cs="Times New Roman"/>
          <w:noProof/>
        </w:rPr>
        <w:lastRenderedPageBreak/>
        <w:drawing>
          <wp:inline distT="0" distB="0" distL="0" distR="0" wp14:anchorId="00FB7E5D" wp14:editId="4B2B7267">
            <wp:extent cx="5733415" cy="6028660"/>
            <wp:effectExtent l="0" t="0" r="635" b="0"/>
            <wp:docPr id="1089870959" name="Picture 24" descr="A diagram of a cluster of colored squares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9870959" name="Picture 24" descr="A diagram of a cluster of colored squares  AI-generated content may be incorrect."/>
                    <pic:cNvPicPr>
                      <a:picLocks noChangeAspect="1" noChangeArrowheads="1"/>
                    </pic:cNvPicPr>
                  </pic:nvPicPr>
                  <pic:blipFill rotWithShape="1">
                    <a:blip r:embed="rId10" cstate="print">
                      <a:extLst>
                        <a:ext uri="{28A0092B-C50C-407E-A947-70E740481C1C}">
                          <a14:useLocalDpi xmlns:a14="http://schemas.microsoft.com/office/drawing/2010/main" val="0"/>
                        </a:ext>
                      </a:extLst>
                    </a:blip>
                    <a:srcRect b="5561"/>
                    <a:stretch/>
                  </pic:blipFill>
                  <pic:spPr bwMode="auto">
                    <a:xfrm>
                      <a:off x="0" y="0"/>
                      <a:ext cx="5733415" cy="6028660"/>
                    </a:xfrm>
                    <a:prstGeom prst="rect">
                      <a:avLst/>
                    </a:prstGeom>
                    <a:noFill/>
                    <a:ln>
                      <a:noFill/>
                    </a:ln>
                    <a:extLst>
                      <a:ext uri="{53640926-AAD7-44D8-BBD7-CCE9431645EC}">
                        <a14:shadowObscured xmlns:a14="http://schemas.microsoft.com/office/drawing/2010/main"/>
                      </a:ext>
                    </a:extLst>
                  </pic:spPr>
                </pic:pic>
              </a:graphicData>
            </a:graphic>
          </wp:inline>
        </w:drawing>
      </w:r>
    </w:p>
    <w:p w:rsidR="00CF4D2B" w:rsidRPr="00FB1086" w:rsidRDefault="00CF4D2B" w:rsidP="00CF4D2B">
      <w:pPr>
        <w:spacing w:line="240" w:lineRule="auto"/>
        <w:rPr>
          <w:rFonts w:ascii="Times New Roman" w:hAnsi="Times New Roman" w:cs="Times New Roman"/>
          <w:i/>
          <w:sz w:val="18"/>
          <w:szCs w:val="18"/>
        </w:rPr>
      </w:pPr>
      <w:r w:rsidRPr="00FB1086">
        <w:rPr>
          <w:rFonts w:ascii="Times New Roman" w:hAnsi="Times New Roman" w:cs="Times New Roman"/>
          <w:b/>
          <w:i/>
          <w:sz w:val="18"/>
          <w:szCs w:val="18"/>
        </w:rPr>
        <w:t>Supplementary Figure 7.</w:t>
      </w:r>
      <w:r w:rsidRPr="00FB1086">
        <w:rPr>
          <w:rFonts w:ascii="Times New Roman" w:hAnsi="Times New Roman" w:cs="Times New Roman"/>
          <w:i/>
          <w:sz w:val="18"/>
          <w:szCs w:val="18"/>
        </w:rPr>
        <w:t xml:space="preserve"> (</w:t>
      </w:r>
      <w:r w:rsidRPr="00FB1086">
        <w:rPr>
          <w:rFonts w:ascii="Times New Roman" w:hAnsi="Times New Roman" w:cs="Times New Roman"/>
          <w:b/>
          <w:i/>
          <w:sz w:val="18"/>
          <w:szCs w:val="18"/>
        </w:rPr>
        <w:t>A</w:t>
      </w:r>
      <w:r w:rsidRPr="00FB1086">
        <w:rPr>
          <w:rFonts w:ascii="Times New Roman" w:hAnsi="Times New Roman" w:cs="Times New Roman"/>
          <w:i/>
          <w:sz w:val="18"/>
          <w:szCs w:val="18"/>
        </w:rPr>
        <w:t>) Heatmap showing the pairwise correlations of the parameters used for UMAP clustering. Numbers indicate the index of correlation and are associated with a colorimetric scale. (</w:t>
      </w:r>
      <w:r w:rsidRPr="00FB1086">
        <w:rPr>
          <w:rFonts w:ascii="Times New Roman" w:hAnsi="Times New Roman" w:cs="Times New Roman"/>
          <w:b/>
          <w:i/>
          <w:sz w:val="18"/>
          <w:szCs w:val="18"/>
        </w:rPr>
        <w:t>B</w:t>
      </w:r>
      <w:r w:rsidRPr="00FB1086">
        <w:rPr>
          <w:rFonts w:ascii="Times New Roman" w:hAnsi="Times New Roman" w:cs="Times New Roman"/>
          <w:i/>
          <w:sz w:val="18"/>
          <w:szCs w:val="18"/>
        </w:rPr>
        <w:t>) Quantification of the percentage of tracks assigned to each cluster in the L19IL2 treated versus untreated conditions. Numbers indicate the percentage of total tracks in that group and inversely correlate with the darkness of the box color.</w:t>
      </w:r>
    </w:p>
    <w:p w:rsidR="00CF4D2B" w:rsidRPr="00FB1086" w:rsidRDefault="00CF4D2B" w:rsidP="00CF4D2B">
      <w:pPr>
        <w:spacing w:line="240" w:lineRule="auto"/>
        <w:rPr>
          <w:rFonts w:ascii="Times New Roman" w:hAnsi="Times New Roman" w:cs="Times New Roman"/>
          <w:i/>
          <w:sz w:val="18"/>
          <w:szCs w:val="18"/>
        </w:rPr>
      </w:pPr>
    </w:p>
    <w:p w:rsidR="00CF4D2B" w:rsidRPr="00FB1086" w:rsidRDefault="00CF4D2B" w:rsidP="00CF4D2B">
      <w:pPr>
        <w:spacing w:line="240" w:lineRule="auto"/>
        <w:rPr>
          <w:rFonts w:ascii="Times New Roman" w:hAnsi="Times New Roman" w:cs="Times New Roman"/>
          <w:i/>
          <w:sz w:val="18"/>
          <w:szCs w:val="18"/>
        </w:rPr>
      </w:pPr>
    </w:p>
    <w:p w:rsidR="00CF4D2B" w:rsidRPr="00FB1086" w:rsidRDefault="00CF4D2B" w:rsidP="00CF4D2B">
      <w:pPr>
        <w:spacing w:line="240" w:lineRule="auto"/>
        <w:rPr>
          <w:rFonts w:ascii="Times New Roman" w:hAnsi="Times New Roman" w:cs="Times New Roman"/>
          <w:i/>
          <w:sz w:val="18"/>
          <w:szCs w:val="18"/>
        </w:rPr>
      </w:pPr>
      <w:r w:rsidRPr="00FB1086">
        <w:rPr>
          <w:rFonts w:ascii="Times New Roman" w:hAnsi="Times New Roman" w:cs="Times New Roman"/>
          <w:b/>
          <w:i/>
          <w:sz w:val="18"/>
          <w:szCs w:val="18"/>
        </w:rPr>
        <w:t>Supplementary Movie 1.</w:t>
      </w:r>
    </w:p>
    <w:p w:rsidR="00CF4D2B" w:rsidRPr="00FB1086" w:rsidRDefault="00CF4D2B" w:rsidP="00CF4D2B">
      <w:pPr>
        <w:rPr>
          <w:rFonts w:ascii="Times New Roman" w:hAnsi="Times New Roman" w:cs="Times New Roman"/>
        </w:rPr>
      </w:pPr>
      <w:r w:rsidRPr="00FB1086">
        <w:rPr>
          <w:rFonts w:ascii="Times New Roman" w:hAnsi="Times New Roman" w:cs="Times New Roman"/>
        </w:rPr>
        <w:object w:dxaOrig="1508" w:dyaOrig="9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5.1pt;height:49.45pt" o:ole="">
            <v:imagedata r:id="rId11" o:title=""/>
          </v:shape>
          <o:OLEObject Type="Embed" ProgID="Package" ShapeID="_x0000_i1025" DrawAspect="Icon" ObjectID="_1833448493" r:id="rId12"/>
        </w:object>
      </w:r>
    </w:p>
    <w:p w:rsidR="00CF4D2B" w:rsidRPr="00FB1086" w:rsidRDefault="00CF4D2B" w:rsidP="00CF4D2B">
      <w:pPr>
        <w:rPr>
          <w:rFonts w:ascii="Times New Roman" w:hAnsi="Times New Roman" w:cs="Times New Roman"/>
          <w:b/>
        </w:rPr>
      </w:pPr>
      <w:hyperlink r:id="rId13" w:history="1">
        <w:r w:rsidRPr="00FB1086">
          <w:rPr>
            <w:rStyle w:val="Hyperlink"/>
            <w:rFonts w:ascii="Times New Roman" w:hAnsi="Times New Roman" w:cs="Times New Roman"/>
            <w:b/>
          </w:rPr>
          <w:t>Supp. Movie 1.mp4</w:t>
        </w:r>
      </w:hyperlink>
    </w:p>
    <w:p w:rsidR="00CF520C" w:rsidRDefault="00CF520C">
      <w:bookmarkStart w:id="0" w:name="_GoBack"/>
      <w:bookmarkEnd w:id="0"/>
    </w:p>
    <w:sectPr w:rsidR="00CF520C" w:rsidSect="00FB1086">
      <w:pgSz w:w="11909" w:h="16834"/>
      <w:pgMar w:top="1440" w:right="1440" w:bottom="1440" w:left="1440" w:header="720" w:footer="720" w:gutter="0"/>
      <w:pgNumType w:start="1"/>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9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F4D2B"/>
    <w:rsid w:val="00033251"/>
    <w:rsid w:val="00040395"/>
    <w:rsid w:val="000A3140"/>
    <w:rsid w:val="000B4053"/>
    <w:rsid w:val="000C4D53"/>
    <w:rsid w:val="000D2DEE"/>
    <w:rsid w:val="000D4E47"/>
    <w:rsid w:val="000D55EA"/>
    <w:rsid w:val="000D7284"/>
    <w:rsid w:val="00110046"/>
    <w:rsid w:val="001719FF"/>
    <w:rsid w:val="001C19A0"/>
    <w:rsid w:val="00204B25"/>
    <w:rsid w:val="002053F6"/>
    <w:rsid w:val="002300A9"/>
    <w:rsid w:val="002828EB"/>
    <w:rsid w:val="002C3C66"/>
    <w:rsid w:val="002D7FB7"/>
    <w:rsid w:val="00310D44"/>
    <w:rsid w:val="00334033"/>
    <w:rsid w:val="00345077"/>
    <w:rsid w:val="0035455A"/>
    <w:rsid w:val="003A67A1"/>
    <w:rsid w:val="003E35AF"/>
    <w:rsid w:val="003F2749"/>
    <w:rsid w:val="0044667C"/>
    <w:rsid w:val="00486AD6"/>
    <w:rsid w:val="004A560A"/>
    <w:rsid w:val="00501115"/>
    <w:rsid w:val="00562D01"/>
    <w:rsid w:val="00575D9D"/>
    <w:rsid w:val="005967CB"/>
    <w:rsid w:val="005A3248"/>
    <w:rsid w:val="005A7DD4"/>
    <w:rsid w:val="005B2801"/>
    <w:rsid w:val="005B3D76"/>
    <w:rsid w:val="005D15B9"/>
    <w:rsid w:val="006209D5"/>
    <w:rsid w:val="00626231"/>
    <w:rsid w:val="006303E5"/>
    <w:rsid w:val="00640599"/>
    <w:rsid w:val="00666466"/>
    <w:rsid w:val="00677DE0"/>
    <w:rsid w:val="006E5C40"/>
    <w:rsid w:val="00755D33"/>
    <w:rsid w:val="007A33B9"/>
    <w:rsid w:val="0080299B"/>
    <w:rsid w:val="008A159C"/>
    <w:rsid w:val="008A3328"/>
    <w:rsid w:val="008A43A1"/>
    <w:rsid w:val="008B4325"/>
    <w:rsid w:val="008C1455"/>
    <w:rsid w:val="008C20A4"/>
    <w:rsid w:val="00901803"/>
    <w:rsid w:val="009175E0"/>
    <w:rsid w:val="00927FE2"/>
    <w:rsid w:val="00937546"/>
    <w:rsid w:val="00940A1B"/>
    <w:rsid w:val="00944E90"/>
    <w:rsid w:val="0094739A"/>
    <w:rsid w:val="00960D3B"/>
    <w:rsid w:val="00985F6C"/>
    <w:rsid w:val="009A2B20"/>
    <w:rsid w:val="009D5265"/>
    <w:rsid w:val="00A5244B"/>
    <w:rsid w:val="00AA79F8"/>
    <w:rsid w:val="00AB51C1"/>
    <w:rsid w:val="00AB65D8"/>
    <w:rsid w:val="00AF5B33"/>
    <w:rsid w:val="00B31E79"/>
    <w:rsid w:val="00B331BA"/>
    <w:rsid w:val="00B337D9"/>
    <w:rsid w:val="00B705C2"/>
    <w:rsid w:val="00B92882"/>
    <w:rsid w:val="00B92D56"/>
    <w:rsid w:val="00BA02DA"/>
    <w:rsid w:val="00BB592C"/>
    <w:rsid w:val="00BC38B5"/>
    <w:rsid w:val="00BF1322"/>
    <w:rsid w:val="00C40332"/>
    <w:rsid w:val="00C56B9A"/>
    <w:rsid w:val="00C75D64"/>
    <w:rsid w:val="00C8388D"/>
    <w:rsid w:val="00CB5406"/>
    <w:rsid w:val="00CD4758"/>
    <w:rsid w:val="00CF3FDB"/>
    <w:rsid w:val="00CF4D2B"/>
    <w:rsid w:val="00CF520C"/>
    <w:rsid w:val="00D03D8B"/>
    <w:rsid w:val="00D414AD"/>
    <w:rsid w:val="00D92977"/>
    <w:rsid w:val="00DB74E1"/>
    <w:rsid w:val="00DC296B"/>
    <w:rsid w:val="00E0224C"/>
    <w:rsid w:val="00E21D2F"/>
    <w:rsid w:val="00EA29B3"/>
    <w:rsid w:val="00EA654B"/>
    <w:rsid w:val="00EF401D"/>
    <w:rsid w:val="00F240B8"/>
    <w:rsid w:val="00F346B0"/>
    <w:rsid w:val="00F51A7B"/>
    <w:rsid w:val="00F81211"/>
    <w:rsid w:val="00FA2899"/>
    <w:rsid w:val="00FE273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485B2D-5DA3-4CCE-BAB8-3A4197D654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semiHidden/>
    <w:unhideWhenUsed/>
    <w:rsid w:val="0035455A"/>
    <w:pPr>
      <w:spacing w:after="120"/>
    </w:pPr>
  </w:style>
  <w:style w:type="character" w:customStyle="1" w:styleId="BodyTextChar">
    <w:name w:val="Body Text Char"/>
    <w:basedOn w:val="DefaultParagraphFont"/>
    <w:link w:val="BodyText"/>
    <w:uiPriority w:val="99"/>
    <w:semiHidden/>
    <w:rsid w:val="0035455A"/>
  </w:style>
  <w:style w:type="character" w:styleId="Hyperlink">
    <w:name w:val="Hyperlink"/>
    <w:basedOn w:val="DefaultParagraphFont"/>
    <w:uiPriority w:val="99"/>
    <w:unhideWhenUsed/>
    <w:rsid w:val="00CF4D2B"/>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tiff"/><Relationship Id="rId13" Type="http://schemas.openxmlformats.org/officeDocument/2006/relationships/hyperlink" Target="https://usi365-my.sharepoint.com/:v:/g/personal/chahik_usi_ch/IQDbn_SdadnHR6ZkM0wMyx8tAebbR7xP6GfEIwP5rKHiStY?nav=eyJyZWZlcnJhbEluZm8iOnsicmVmZXJyYWxBcHAiOiJPbmVEcml2ZUZvckJ1c2luZXNzIiwicmVmZXJyYWxBcHBQbGF0Zm9ybSI6IldlYiIsInJlZmVycmFsTW9kZSI6InZpZXciLCJyZWZlcnJhbFZpZXciOiJNeUZpbGVzTGlua0NvcHkifX0&amp;e=hihd6L" TargetMode="External"/><Relationship Id="rId3" Type="http://schemas.openxmlformats.org/officeDocument/2006/relationships/webSettings" Target="webSettings.xml"/><Relationship Id="rId7" Type="http://schemas.openxmlformats.org/officeDocument/2006/relationships/image" Target="media/image4.jpeg"/><Relationship Id="rId12" Type="http://schemas.openxmlformats.org/officeDocument/2006/relationships/oleObject" Target="embeddings/oleObject1.bin"/><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tiff"/><Relationship Id="rId11" Type="http://schemas.openxmlformats.org/officeDocument/2006/relationships/image" Target="media/image8.emf"/><Relationship Id="rId5" Type="http://schemas.openxmlformats.org/officeDocument/2006/relationships/image" Target="media/image2.tiff"/><Relationship Id="rId15" Type="http://schemas.openxmlformats.org/officeDocument/2006/relationships/theme" Target="theme/theme1.xml"/><Relationship Id="rId10" Type="http://schemas.openxmlformats.org/officeDocument/2006/relationships/image" Target="media/image7.jpeg"/><Relationship Id="rId4" Type="http://schemas.openxmlformats.org/officeDocument/2006/relationships/image" Target="media/image1.jpeg"/><Relationship Id="rId9" Type="http://schemas.openxmlformats.org/officeDocument/2006/relationships/image" Target="media/image6.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836</Words>
  <Characters>4768</Characters>
  <Application>Microsoft Office Word</Application>
  <DocSecurity>0</DocSecurity>
  <Lines>39</Lines>
  <Paragraphs>11</Paragraphs>
  <ScaleCrop>false</ScaleCrop>
  <Company/>
  <LinksUpToDate>false</LinksUpToDate>
  <CharactersWithSpaces>5593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Hopelyn Grace Oliveros Quilat-Quilat</dc:creator>
  <cp:keywords/>
  <dc:description/>
  <cp:lastModifiedBy>Hopelyn Grace Oliveros Quilat-Quilat</cp:lastModifiedBy>
  <cp:revision>1</cp:revision>
  <dcterms:created xsi:type="dcterms:W3CDTF">2026-02-24T06:27:00Z</dcterms:created>
  <dcterms:modified xsi:type="dcterms:W3CDTF">2026-02-24T06:28:00Z</dcterms:modified>
</cp:coreProperties>
</file>