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CEAF" w14:textId="77777777" w:rsidR="005C4EF4" w:rsidRPr="004A6F46" w:rsidRDefault="005C4EF4" w:rsidP="005C4EF4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4A6F46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Supplementary Figures from</w:t>
      </w:r>
    </w:p>
    <w:p w14:paraId="6ED40510" w14:textId="77777777" w:rsidR="009A3502" w:rsidRDefault="009A3502" w:rsidP="005C4EF4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4D00CB" w14:textId="2A8942CA" w:rsidR="005C4EF4" w:rsidRPr="008A2604" w:rsidRDefault="005C4EF4" w:rsidP="005C4EF4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A26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Tumor Microenvironment Remodeling by STING Agonism Sensitizes Endothelial Cells to Cytotoxic Anti-PD-L1/L2 Antibody</w:t>
      </w:r>
    </w:p>
    <w:p w14:paraId="7F852B1C" w14:textId="77777777" w:rsidR="009A3502" w:rsidRDefault="009A3502" w:rsidP="005C4EF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2430E7" w14:textId="56D3342B" w:rsidR="005C4EF4" w:rsidRPr="009A3502" w:rsidRDefault="005C4EF4" w:rsidP="005C4EF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Ahmad Salameh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Elisabetta Bolli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Manuela Iezzi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3, 4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Christine Gagliardi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Laura Conti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Chiara Cossu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Paul Blezinger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Alessia Lamolinara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Andrew Lewis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Michael A. Curran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Federica Cavallo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A3502">
        <w:rPr>
          <w:rFonts w:ascii="Times New Roman" w:hAnsi="Times New Roman" w:cs="Times New Roman"/>
          <w:sz w:val="24"/>
          <w:szCs w:val="24"/>
        </w:rPr>
        <w:t>*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, and Federica Pericle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A35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7500DB" w14:textId="77777777" w:rsidR="005C4EF4" w:rsidRPr="009A3502" w:rsidRDefault="005C4EF4" w:rsidP="005C4EF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0AEC3D3" w14:textId="77777777" w:rsidR="005C4EF4" w:rsidRPr="0085245E" w:rsidRDefault="005C4EF4" w:rsidP="005C4EF4">
      <w:pPr>
        <w:spacing w:after="120" w:line="48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85245E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perscript"/>
        </w:rPr>
        <w:t>1</w:t>
      </w:r>
      <w:r w:rsidRPr="003A6C7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ImmunoGenesis, Inc.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, </w:t>
      </w:r>
      <w:r w:rsidRPr="00EE548C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Houston, TX, USA</w:t>
      </w:r>
    </w:p>
    <w:p w14:paraId="3B9B4FA4" w14:textId="77777777" w:rsidR="005C4EF4" w:rsidRPr="0085245E" w:rsidRDefault="005C4EF4" w:rsidP="005C4EF4">
      <w:pPr>
        <w:spacing w:after="120"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245E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perscript"/>
        </w:rPr>
        <w:t>2</w:t>
      </w:r>
      <w:r w:rsidRPr="0085245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Laboratory</w:t>
      </w:r>
      <w:r w:rsidRPr="008524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of </w:t>
      </w:r>
      <w:proofErr w:type="spellStart"/>
      <w:r w:rsidRPr="008524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OncoImmunology</w:t>
      </w:r>
      <w:proofErr w:type="spellEnd"/>
      <w:r w:rsidRPr="008524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Molecular Biotechnology Center “Guido Tarone”, Department of Molecular Biotechnology and Health Sciences, University of Turin, Turin, Italy</w:t>
      </w:r>
    </w:p>
    <w:p w14:paraId="504B2630" w14:textId="77777777" w:rsidR="005C4EF4" w:rsidRPr="0085245E" w:rsidRDefault="005C4EF4" w:rsidP="005C4EF4">
      <w:pPr>
        <w:spacing w:after="120"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245E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3</w:t>
      </w:r>
      <w:r w:rsidRPr="00C35D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Laboratory of Experimental Pathology and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C35D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recision Medicine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Pr="008524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Center for Advanced Studies and Technology (CAST), Department of Neurosciences, Imaging and Clinical Sciences, "G. </w:t>
      </w:r>
      <w:proofErr w:type="spellStart"/>
      <w:r w:rsidRPr="008524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d'Annunzio</w:t>
      </w:r>
      <w:proofErr w:type="spellEnd"/>
      <w:r w:rsidRPr="008524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University of Chieti-Pescara, Chieti, Italy</w:t>
      </w:r>
    </w:p>
    <w:p w14:paraId="6E04D095" w14:textId="77777777" w:rsidR="005C4EF4" w:rsidRPr="00BA4EC7" w:rsidRDefault="005C4EF4" w:rsidP="005C4EF4">
      <w:pPr>
        <w:spacing w:after="120"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Hlk213401021"/>
      <w:r w:rsidRPr="00BA4E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4</w:t>
      </w:r>
      <w:r w:rsidRPr="00BA4E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Eusoma Breast Centre, Department of Pathology, "G. Bernabeo" Hospital Ortona, ASL2 Abruzzo, Ortona, Italy</w:t>
      </w:r>
    </w:p>
    <w:bookmarkEnd w:id="0"/>
    <w:p w14:paraId="49C2D977" w14:textId="77777777" w:rsidR="005C4EF4" w:rsidRPr="003A6C72" w:rsidRDefault="005C4EF4" w:rsidP="005C4EF4">
      <w:pPr>
        <w:spacing w:after="12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C72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5</w:t>
      </w:r>
      <w:r w:rsidRPr="003A6C7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Department of Immunology, The University of Texas MD Anderson Cancer Center, Houston, Texas, USA</w:t>
      </w:r>
    </w:p>
    <w:p w14:paraId="531D954D" w14:textId="77777777" w:rsidR="005C4EF4" w:rsidRPr="003A6C72" w:rsidRDefault="005C4EF4" w:rsidP="005C4EF4">
      <w:pPr>
        <w:spacing w:after="12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C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*Corresponding author: Federica Cavallo, </w:t>
      </w:r>
      <w:r w:rsidRPr="003A6C7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Molecular Biotechnology Center “Guido Tarone”</w:t>
      </w:r>
      <w:r w:rsidRPr="003A6C72">
        <w:rPr>
          <w:rFonts w:ascii="Times New Roman" w:hAnsi="Times New Roman" w:cs="Times New Roman"/>
          <w:color w:val="000000" w:themeColor="text1"/>
          <w:sz w:val="24"/>
          <w:szCs w:val="24"/>
        </w:rPr>
        <w:t>, Piazza Nizza 44b, 10126, Turin, Italy.  E-mail: federica.cavallo@unito.it</w:t>
      </w:r>
    </w:p>
    <w:p w14:paraId="30F59A78" w14:textId="77777777" w:rsidR="005C4EF4" w:rsidRPr="0018072A" w:rsidRDefault="005C4EF4" w:rsidP="005C4EF4"/>
    <w:p w14:paraId="5933ABDC" w14:textId="77777777" w:rsidR="005C4EF4" w:rsidRDefault="005C4EF4" w:rsidP="005C4EF4"/>
    <w:p w14:paraId="71768028" w14:textId="77777777" w:rsidR="00F54D29" w:rsidRDefault="00F54D29" w:rsidP="005C4EF4"/>
    <w:p w14:paraId="543807BE" w14:textId="77777777" w:rsidR="00F54D29" w:rsidRDefault="00F54D29" w:rsidP="005C4EF4"/>
    <w:p w14:paraId="50FE1F09" w14:textId="77777777" w:rsidR="00F54D29" w:rsidRDefault="00F54D29" w:rsidP="005C4EF4"/>
    <w:p w14:paraId="606B7F63" w14:textId="77777777" w:rsidR="00F54D29" w:rsidRDefault="00F54D29" w:rsidP="005C4EF4"/>
    <w:p w14:paraId="4F023187" w14:textId="6CA91A74" w:rsidR="005C4EF4" w:rsidRDefault="00E560ED" w:rsidP="005C4EF4">
      <w:r w:rsidRPr="00AC29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CCFC97" wp14:editId="179048B9">
                <wp:simplePos x="0" y="0"/>
                <wp:positionH relativeFrom="margin">
                  <wp:align>right</wp:align>
                </wp:positionH>
                <wp:positionV relativeFrom="paragraph">
                  <wp:posOffset>2438400</wp:posOffset>
                </wp:positionV>
                <wp:extent cx="5943600" cy="986366"/>
                <wp:effectExtent l="0" t="0" r="0" b="0"/>
                <wp:wrapNone/>
                <wp:docPr id="53" name="CasellaDiTes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F05C10-140C-BAC2-14AD-4A61770987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863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042696" w14:textId="77777777" w:rsidR="0047245D" w:rsidRDefault="0047245D" w:rsidP="0047245D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both"/>
                            </w:pPr>
                            <w:r>
                              <w:rPr>
                                <w:rFonts w:eastAsia="Aptos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Supplementary Figure 1. 8803 does not affect tumor cell viability</w:t>
                            </w:r>
                            <w:r>
                              <w:rPr>
                                <w:rFonts w:eastAsia="Aptos" w:cs="Arial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in vitro.</w:t>
                            </w:r>
                            <w:r>
                              <w:rPr>
                                <w:rFonts w:eastAsia="Aptos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eastAsia="Aptos" w:cs="Arial"/>
                                <w:color w:val="000000"/>
                                <w:kern w:val="24"/>
                              </w:rPr>
                              <w:t>(</w:t>
                            </w:r>
                            <w:r>
                              <w:rPr>
                                <w:rFonts w:eastAsia="Aptos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A</w:t>
                            </w:r>
                            <w:r>
                              <w:rPr>
                                <w:rFonts w:eastAsia="Aptos" w:cs="Arial"/>
                                <w:color w:val="000000"/>
                                <w:kern w:val="24"/>
                              </w:rPr>
                              <w:t>) Representative images of B16-PD-L2 and TS/A tumor cells after 48 hours incubation with the STING agonist 8803 (10 µg/ml). Cell viability at 48 hours of incubation with 8803 (10 µg/ml) assessed by MTT assay. (</w:t>
                            </w:r>
                            <w:r>
                              <w:rPr>
                                <w:rFonts w:eastAsia="Aptos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B</w:t>
                            </w:r>
                            <w:r>
                              <w:rPr>
                                <w:rFonts w:eastAsia="Aptos" w:cs="Arial"/>
                                <w:color w:val="000000"/>
                                <w:kern w:val="24"/>
                              </w:rPr>
                              <w:t>) Optical densities (O.D.) of dissolved formazan crystals are used as a redout of cell number. </w:t>
                            </w:r>
                          </w:p>
                          <w:p w14:paraId="12A644C6" w14:textId="65B63B0C" w:rsidR="00AC296A" w:rsidRPr="00F41956" w:rsidRDefault="00AC296A" w:rsidP="00F4195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CFC97" id="_x0000_t202" coordsize="21600,21600" o:spt="202" path="m,l,21600r21600,l21600,xe">
                <v:stroke joinstyle="miter"/>
                <v:path gradientshapeok="t" o:connecttype="rect"/>
              </v:shapetype>
              <v:shape id="CasellaDiTesto 4" o:spid="_x0000_s1026" type="#_x0000_t202" style="position:absolute;margin-left:416.8pt;margin-top:192pt;width:468pt;height:77.6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" filled="f" stroked="f">
                <v:textbox>
                  <w:txbxContent>
                    <w:p w14:paraId="1B042696" w14:textId="77777777" w:rsidR="0047245D" w:rsidRDefault="0047245D" w:rsidP="0047245D">
                      <w:pPr>
                        <w:pStyle w:val="NormalWeb"/>
                        <w:spacing w:before="0" w:beforeAutospacing="0" w:after="160" w:afterAutospacing="0" w:line="256" w:lineRule="auto"/>
                        <w:jc w:val="both"/>
                      </w:pPr>
                      <w:r>
                        <w:rPr>
                          <w:rFonts w:eastAsia="Aptos" w:cs="Arial"/>
                          <w:b/>
                          <w:bCs/>
                          <w:color w:val="000000"/>
                          <w:kern w:val="24"/>
                        </w:rPr>
                        <w:t>Supplementary Figure 1. 8803 does not affect tumor cell viability</w:t>
                      </w:r>
                      <w:r>
                        <w:rPr>
                          <w:rFonts w:eastAsia="Aptos" w:cs="Arial"/>
                          <w:b/>
                          <w:bCs/>
                          <w:i/>
                          <w:iCs/>
                          <w:color w:val="000000"/>
                          <w:kern w:val="24"/>
                        </w:rPr>
                        <w:t xml:space="preserve"> in vitro.</w:t>
                      </w:r>
                      <w:r>
                        <w:rPr>
                          <w:rFonts w:eastAsia="Aptos" w:cs="Arial"/>
                          <w:b/>
                          <w:bCs/>
                          <w:color w:val="000000"/>
                          <w:kern w:val="24"/>
                        </w:rPr>
                        <w:t xml:space="preserve"> </w:t>
                      </w:r>
                      <w:r>
                        <w:rPr>
                          <w:rFonts w:eastAsia="Aptos" w:cs="Arial"/>
                          <w:color w:val="000000"/>
                          <w:kern w:val="24"/>
                        </w:rPr>
                        <w:t>(</w:t>
                      </w:r>
                      <w:r>
                        <w:rPr>
                          <w:rFonts w:eastAsia="Aptos" w:cs="Arial"/>
                          <w:b/>
                          <w:bCs/>
                          <w:color w:val="000000"/>
                          <w:kern w:val="24"/>
                        </w:rPr>
                        <w:t>A</w:t>
                      </w:r>
                      <w:r>
                        <w:rPr>
                          <w:rFonts w:eastAsia="Aptos" w:cs="Arial"/>
                          <w:color w:val="000000"/>
                          <w:kern w:val="24"/>
                        </w:rPr>
                        <w:t>) Representative images of B16-PD-L2 and TS/A tumor cells after 48 hours incubation with the STING agonist 8803 (10 µg/ml). Cell viability at 48 hours of incubation with 8803 (10 µg/ml) assessed by MTT assay. (</w:t>
                      </w:r>
                      <w:r>
                        <w:rPr>
                          <w:rFonts w:eastAsia="Aptos" w:cs="Arial"/>
                          <w:b/>
                          <w:bCs/>
                          <w:color w:val="000000"/>
                          <w:kern w:val="24"/>
                        </w:rPr>
                        <w:t>B</w:t>
                      </w:r>
                      <w:r>
                        <w:rPr>
                          <w:rFonts w:eastAsia="Aptos" w:cs="Arial"/>
                          <w:color w:val="000000"/>
                          <w:kern w:val="24"/>
                        </w:rPr>
                        <w:t>) Optical densities (O.D.) of dissolved formazan crystals are used as a redout of cell number. </w:t>
                      </w:r>
                    </w:p>
                    <w:p w14:paraId="12A644C6" w14:textId="65B63B0C" w:rsidR="00AC296A" w:rsidRPr="00F41956" w:rsidRDefault="00AC296A" w:rsidP="00F4195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45EDF8A0" wp14:editId="609EE11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9155" cy="2334895"/>
            <wp:effectExtent l="0" t="0" r="4445" b="8255"/>
            <wp:wrapSquare wrapText="bothSides"/>
            <wp:docPr id="16228891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889168" name="Picture 16228891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F4AD6" w14:textId="54B98827" w:rsidR="00817E58" w:rsidRPr="00817E58" w:rsidRDefault="00817E58" w:rsidP="00AC296A">
      <w:pPr>
        <w:rPr>
          <w:rFonts w:ascii="Times New Roman" w:hAnsi="Times New Roman" w:cs="Times New Roman"/>
          <w:sz w:val="24"/>
          <w:szCs w:val="24"/>
        </w:rPr>
      </w:pPr>
    </w:p>
    <w:p w14:paraId="3BB3557D" w14:textId="01161381" w:rsidR="00073019" w:rsidRDefault="00073019" w:rsidP="00F23D62"/>
    <w:p w14:paraId="577B5891" w14:textId="348B8386" w:rsidR="00073019" w:rsidRDefault="00073019" w:rsidP="00F23D62">
      <w:pPr>
        <w:rPr>
          <w:noProof/>
        </w:rPr>
      </w:pPr>
    </w:p>
    <w:p w14:paraId="00D7515D" w14:textId="7C408915" w:rsidR="00073019" w:rsidRDefault="00073019" w:rsidP="00F23D62">
      <w:pPr>
        <w:rPr>
          <w:noProof/>
        </w:rPr>
      </w:pPr>
    </w:p>
    <w:p w14:paraId="739E70DE" w14:textId="41189CCC" w:rsidR="00073019" w:rsidRDefault="00073019" w:rsidP="00F23D62">
      <w:pPr>
        <w:rPr>
          <w:noProof/>
        </w:rPr>
      </w:pPr>
    </w:p>
    <w:p w14:paraId="289A6769" w14:textId="375F0A2E" w:rsidR="00073019" w:rsidRDefault="00073019" w:rsidP="00F23D62">
      <w:pPr>
        <w:rPr>
          <w:noProof/>
        </w:rPr>
      </w:pPr>
    </w:p>
    <w:p w14:paraId="6855139C" w14:textId="77777777" w:rsidR="00073019" w:rsidRDefault="00073019" w:rsidP="00F23D62">
      <w:pPr>
        <w:rPr>
          <w:noProof/>
        </w:rPr>
      </w:pPr>
    </w:p>
    <w:p w14:paraId="400E80DF" w14:textId="411E26B6" w:rsidR="00073019" w:rsidRDefault="00073019" w:rsidP="00F23D62">
      <w:pPr>
        <w:rPr>
          <w:noProof/>
        </w:rPr>
      </w:pPr>
    </w:p>
    <w:p w14:paraId="5A248349" w14:textId="25263C84" w:rsidR="00073019" w:rsidRDefault="00073019" w:rsidP="00F23D62">
      <w:pPr>
        <w:rPr>
          <w:noProof/>
        </w:rPr>
      </w:pPr>
    </w:p>
    <w:p w14:paraId="77304925" w14:textId="20D928F2" w:rsidR="00073019" w:rsidRDefault="00073019" w:rsidP="00F23D62">
      <w:pPr>
        <w:rPr>
          <w:noProof/>
        </w:rPr>
      </w:pPr>
    </w:p>
    <w:p w14:paraId="6349BC00" w14:textId="67B80D77" w:rsidR="00073019" w:rsidRDefault="00073019" w:rsidP="00F23D62">
      <w:pPr>
        <w:rPr>
          <w:noProof/>
        </w:rPr>
      </w:pPr>
    </w:p>
    <w:p w14:paraId="01878638" w14:textId="77777777" w:rsidR="00073019" w:rsidRDefault="00073019" w:rsidP="00F23D62">
      <w:pPr>
        <w:rPr>
          <w:noProof/>
        </w:rPr>
      </w:pPr>
    </w:p>
    <w:p w14:paraId="4E0EC10A" w14:textId="77777777" w:rsidR="00073019" w:rsidRDefault="00073019" w:rsidP="00F23D62">
      <w:pPr>
        <w:rPr>
          <w:noProof/>
        </w:rPr>
      </w:pPr>
    </w:p>
    <w:p w14:paraId="3F8C3B63" w14:textId="77777777" w:rsidR="00073019" w:rsidRDefault="00073019" w:rsidP="00F23D62">
      <w:pPr>
        <w:rPr>
          <w:noProof/>
        </w:rPr>
      </w:pPr>
    </w:p>
    <w:p w14:paraId="3103573E" w14:textId="77777777" w:rsidR="00F54D29" w:rsidRDefault="00F54D29" w:rsidP="00F23D62">
      <w:pPr>
        <w:rPr>
          <w:noProof/>
        </w:rPr>
      </w:pPr>
    </w:p>
    <w:p w14:paraId="1691CD62" w14:textId="77777777" w:rsidR="00F54D29" w:rsidRDefault="00F54D29" w:rsidP="00F23D62">
      <w:pPr>
        <w:rPr>
          <w:noProof/>
        </w:rPr>
      </w:pPr>
    </w:p>
    <w:p w14:paraId="56D5026D" w14:textId="6F70E07A" w:rsidR="00F54D29" w:rsidRDefault="00F54D29" w:rsidP="00F23D62">
      <w:pPr>
        <w:rPr>
          <w:noProof/>
        </w:rPr>
      </w:pPr>
    </w:p>
    <w:p w14:paraId="373C416E" w14:textId="77777777" w:rsidR="00F54D29" w:rsidRDefault="00F54D29" w:rsidP="00F23D62">
      <w:pPr>
        <w:rPr>
          <w:noProof/>
        </w:rPr>
      </w:pPr>
    </w:p>
    <w:p w14:paraId="270E478C" w14:textId="13079986" w:rsidR="00F54D29" w:rsidRDefault="00F54D29" w:rsidP="00F23D62">
      <w:pPr>
        <w:rPr>
          <w:noProof/>
        </w:rPr>
      </w:pPr>
    </w:p>
    <w:p w14:paraId="2F298CF7" w14:textId="77777777" w:rsidR="00686D59" w:rsidRDefault="00D34078" w:rsidP="00686D59">
      <w:pPr>
        <w:pStyle w:val="NormalWeb"/>
        <w:spacing w:before="0" w:beforeAutospacing="0" w:after="0" w:afterAutospacing="0"/>
        <w:jc w:val="both"/>
        <w:rPr>
          <w:rFonts w:eastAsia="DengXian" w:cs="+mn-cs"/>
          <w:b/>
          <w:bCs/>
          <w:color w:val="000000"/>
          <w:kern w:val="24"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3DF34CB6" wp14:editId="2553E186">
            <wp:simplePos x="0" y="0"/>
            <wp:positionH relativeFrom="margin">
              <wp:posOffset>127000</wp:posOffset>
            </wp:positionH>
            <wp:positionV relativeFrom="paragraph">
              <wp:posOffset>0</wp:posOffset>
            </wp:positionV>
            <wp:extent cx="5477510" cy="5788025"/>
            <wp:effectExtent l="0" t="0" r="8890" b="0"/>
            <wp:wrapSquare wrapText="bothSides"/>
            <wp:docPr id="7410850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85003" name="Picture 74108500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510" cy="578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D2CA60" w14:textId="23F5FE4D" w:rsidR="00686D59" w:rsidRDefault="00686D59" w:rsidP="00686D59">
      <w:pPr>
        <w:pStyle w:val="NormalWeb"/>
        <w:spacing w:before="0" w:beforeAutospacing="0" w:after="0" w:afterAutospacing="0"/>
        <w:jc w:val="both"/>
      </w:pPr>
      <w:r>
        <w:rPr>
          <w:rFonts w:eastAsia="DengXian" w:cs="+mn-cs"/>
          <w:b/>
          <w:bCs/>
          <w:color w:val="000000"/>
          <w:kern w:val="24"/>
        </w:rPr>
        <w:t>Supplementary Figure 2. FACS analysis of PD-L1 and PD-L2 expression on B16-PD-L2, B16F10 parental, and 293/msPD-L2 cell lines. (A)</w:t>
      </w:r>
      <w:r>
        <w:rPr>
          <w:rFonts w:eastAsia="DengXian" w:cs="+mn-cs"/>
          <w:color w:val="000000"/>
          <w:kern w:val="24"/>
        </w:rPr>
        <w:t xml:space="preserve"> Surface expression of PD-L1 and PD-L2 on B16-PD-L2, B16F10 parental, and 293 cells expressing mouse PD-L2 (293/mPD-L2), assessed by FACS using commercially available antibodies against PD-L1 (clone 10F.9G2) and PD-L2 (clone TY25), with appropriate isotype controls. </w:t>
      </w:r>
      <w:r>
        <w:rPr>
          <w:rFonts w:eastAsia="DengXian" w:cs="+mn-cs"/>
          <w:b/>
          <w:bCs/>
          <w:color w:val="000000"/>
          <w:kern w:val="24"/>
        </w:rPr>
        <w:t>(B)</w:t>
      </w:r>
      <w:r>
        <w:rPr>
          <w:rFonts w:eastAsia="DengXian" w:cs="+mn-cs"/>
          <w:color w:val="000000"/>
          <w:kern w:val="24"/>
        </w:rPr>
        <w:t xml:space="preserve"> Binding of 27907 to B16-PD-L2 and B16F10 parental cells. </w:t>
      </w:r>
      <w:r>
        <w:rPr>
          <w:rFonts w:eastAsia="DengXian" w:cs="+mn-cs"/>
          <w:b/>
          <w:bCs/>
          <w:color w:val="000000"/>
          <w:kern w:val="24"/>
        </w:rPr>
        <w:t>(C, D) </w:t>
      </w:r>
      <w:proofErr w:type="spellStart"/>
      <w:r>
        <w:rPr>
          <w:rFonts w:eastAsia="DengXian" w:cs="+mn-cs"/>
          <w:color w:val="000000"/>
          <w:kern w:val="24"/>
        </w:rPr>
        <w:t>FcγR</w:t>
      </w:r>
      <w:proofErr w:type="spellEnd"/>
      <w:r>
        <w:rPr>
          <w:rFonts w:eastAsia="DengXian" w:cs="+mn-cs"/>
          <w:color w:val="000000"/>
          <w:kern w:val="24"/>
        </w:rPr>
        <w:t xml:space="preserve"> binding characterization of 27907 and isotype variants by ELISA. 27907 antibodies were serially diluted (30 – 0.12 µg/mL) and immobilized on ELISA (pre-coated plates with 50 ng/well). Biotinylated </w:t>
      </w:r>
      <w:proofErr w:type="spellStart"/>
      <w:r>
        <w:rPr>
          <w:rFonts w:eastAsia="DengXian" w:cs="+mn-cs"/>
          <w:color w:val="000000"/>
          <w:kern w:val="24"/>
        </w:rPr>
        <w:t>FcγRs</w:t>
      </w:r>
      <w:proofErr w:type="spellEnd"/>
      <w:r>
        <w:rPr>
          <w:rFonts w:eastAsia="DengXian" w:cs="+mn-cs"/>
          <w:color w:val="000000"/>
          <w:kern w:val="24"/>
        </w:rPr>
        <w:t xml:space="preserve"> (CD16 or CD32b) were added, followed by </w:t>
      </w:r>
      <w:proofErr w:type="spellStart"/>
      <w:r>
        <w:rPr>
          <w:rFonts w:eastAsia="DengXian" w:cs="+mn-cs"/>
          <w:color w:val="000000"/>
          <w:kern w:val="24"/>
        </w:rPr>
        <w:t>ExtrAvidin</w:t>
      </w:r>
      <w:proofErr w:type="spellEnd"/>
      <w:r>
        <w:rPr>
          <w:rFonts w:eastAsia="DengXian" w:cs="+mn-cs"/>
          <w:color w:val="000000"/>
          <w:kern w:val="24"/>
        </w:rPr>
        <w:t>-HRP detection. Binding was quantified by HRP substrate absorbance.</w:t>
      </w:r>
    </w:p>
    <w:p w14:paraId="287CC890" w14:textId="5CAA9246" w:rsidR="00D34078" w:rsidRDefault="00D34078" w:rsidP="00686D59">
      <w:pPr>
        <w:rPr>
          <w:noProof/>
        </w:rPr>
      </w:pPr>
    </w:p>
    <w:p w14:paraId="2F81E1C7" w14:textId="77777777" w:rsidR="00D34078" w:rsidRDefault="00D34078" w:rsidP="00F23D62">
      <w:pPr>
        <w:rPr>
          <w:noProof/>
        </w:rPr>
      </w:pPr>
    </w:p>
    <w:p w14:paraId="552929AE" w14:textId="1CAD022F" w:rsidR="00A53511" w:rsidRDefault="00686D59" w:rsidP="00A5041F">
      <w:r>
        <w:rPr>
          <w:noProof/>
        </w:rPr>
        <w:drawing>
          <wp:anchor distT="0" distB="0" distL="114300" distR="114300" simplePos="0" relativeHeight="251658242" behindDoc="0" locked="0" layoutInCell="1" allowOverlap="1" wp14:anchorId="7C4A93C2" wp14:editId="66B7FF0E">
            <wp:simplePos x="0" y="0"/>
            <wp:positionH relativeFrom="margin">
              <wp:posOffset>-50800</wp:posOffset>
            </wp:positionH>
            <wp:positionV relativeFrom="paragraph">
              <wp:posOffset>0</wp:posOffset>
            </wp:positionV>
            <wp:extent cx="5936265" cy="3454243"/>
            <wp:effectExtent l="0" t="0" r="7620" b="0"/>
            <wp:wrapSquare wrapText="bothSides"/>
            <wp:docPr id="5530091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09118" name="Picture 5530091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265" cy="3454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DFBE7" w14:textId="4220E101" w:rsidR="009A3502" w:rsidRDefault="00A9567E" w:rsidP="00A9567E">
      <w:pPr>
        <w:pStyle w:val="NormalWeb"/>
        <w:spacing w:before="0" w:beforeAutospacing="0" w:after="0" w:afterAutospacing="0"/>
        <w:jc w:val="both"/>
        <w:rPr>
          <w:rFonts w:eastAsia="+mn-ea" w:cs="+mn-cs"/>
          <w:color w:val="000000"/>
          <w:kern w:val="24"/>
        </w:rPr>
      </w:pPr>
      <w:r>
        <w:rPr>
          <w:rFonts w:eastAsia="+mn-ea" w:cs="+mn-cs"/>
          <w:b/>
          <w:bCs/>
          <w:color w:val="000000"/>
          <w:kern w:val="24"/>
        </w:rPr>
        <w:t xml:space="preserve">Supplementary Figure 3. Assessment of </w:t>
      </w:r>
      <w:proofErr w:type="spellStart"/>
      <w:r>
        <w:rPr>
          <w:rFonts w:eastAsia="+mn-ea" w:cs="+mn-cs"/>
          <w:b/>
          <w:bCs/>
          <w:color w:val="000000"/>
          <w:kern w:val="24"/>
        </w:rPr>
        <w:t>FcγRIIIa</w:t>
      </w:r>
      <w:proofErr w:type="spellEnd"/>
      <w:r>
        <w:rPr>
          <w:rFonts w:eastAsia="+mn-ea" w:cs="+mn-cs"/>
          <w:b/>
          <w:bCs/>
          <w:color w:val="000000"/>
          <w:kern w:val="24"/>
        </w:rPr>
        <w:t xml:space="preserve"> engagement by Fc-engineered antibody variants (GASDIE, LALA-PG) </w:t>
      </w:r>
      <w:r>
        <w:rPr>
          <w:rFonts w:eastAsia="+mn-ea" w:cs="+mn-cs"/>
          <w:b/>
          <w:bCs/>
          <w:i/>
          <w:iCs/>
          <w:color w:val="000000"/>
          <w:kern w:val="24"/>
        </w:rPr>
        <w:t>in vitro</w:t>
      </w:r>
      <w:r>
        <w:rPr>
          <w:rFonts w:eastAsia="+mn-ea" w:cs="+mn-cs"/>
          <w:b/>
          <w:bCs/>
          <w:color w:val="000000"/>
          <w:kern w:val="24"/>
        </w:rPr>
        <w:t xml:space="preserve">. </w:t>
      </w:r>
      <w:r>
        <w:rPr>
          <w:rFonts w:eastAsia="+mn-ea" w:cs="+mn-cs"/>
          <w:color w:val="000000"/>
          <w:kern w:val="24"/>
        </w:rPr>
        <w:t>(</w:t>
      </w:r>
      <w:r>
        <w:rPr>
          <w:rFonts w:eastAsia="+mn-ea" w:cs="+mn-cs"/>
          <w:b/>
          <w:bCs/>
          <w:color w:val="000000"/>
          <w:kern w:val="24"/>
        </w:rPr>
        <w:t>A</w:t>
      </w:r>
      <w:r>
        <w:rPr>
          <w:rFonts w:eastAsia="+mn-ea" w:cs="+mn-cs"/>
          <w:color w:val="000000"/>
          <w:kern w:val="24"/>
        </w:rPr>
        <w:t>) Schematic representation of the dual-specific human IgG1 antibody and its</w:t>
      </w:r>
      <w:r>
        <w:rPr>
          <w:rFonts w:eastAsia="+mn-ea" w:cs="+mn-cs"/>
          <w:b/>
          <w:bCs/>
          <w:color w:val="000000"/>
          <w:kern w:val="24"/>
        </w:rPr>
        <w:t xml:space="preserve"> </w:t>
      </w:r>
      <w:r>
        <w:rPr>
          <w:rFonts w:eastAsia="+mn-ea" w:cs="+mn-cs"/>
          <w:color w:val="000000"/>
          <w:kern w:val="24"/>
        </w:rPr>
        <w:t>Fc-engineered variants. The GASDIE (G236A/S239D/I332E) and LALA-PG (L234A/L235A/P329G) mutations were introduced into the Fc region to modulate Fc-mediated effector functions. GASDIE enhances Fc</w:t>
      </w:r>
      <w:r>
        <w:rPr>
          <w:rFonts w:eastAsia="+mn-ea" w:cs="+mn-cs"/>
          <w:color w:val="000000"/>
          <w:kern w:val="24"/>
          <w:lang w:val="el-GR"/>
        </w:rPr>
        <w:t>γ</w:t>
      </w:r>
      <w:r>
        <w:rPr>
          <w:rFonts w:eastAsia="+mn-ea" w:cs="+mn-cs"/>
          <w:color w:val="000000"/>
          <w:kern w:val="24"/>
        </w:rPr>
        <w:t>R engagement and effector activity, whereas LALA-PG reduces Fc-mediated functions such as ADCC and ADCP. (</w:t>
      </w:r>
      <w:r>
        <w:rPr>
          <w:rFonts w:eastAsia="+mn-ea" w:cs="+mn-cs"/>
          <w:b/>
          <w:bCs/>
          <w:color w:val="000000"/>
          <w:kern w:val="24"/>
        </w:rPr>
        <w:t>B–F</w:t>
      </w:r>
      <w:r>
        <w:rPr>
          <w:rFonts w:eastAsia="+mn-ea" w:cs="+mn-cs"/>
          <w:color w:val="000000"/>
          <w:kern w:val="24"/>
        </w:rPr>
        <w:t xml:space="preserve">) 27907-GASDIE and -LALA-PG were evaluated for their ability to engage human </w:t>
      </w:r>
      <w:proofErr w:type="spellStart"/>
      <w:r>
        <w:rPr>
          <w:rFonts w:eastAsia="+mn-ea" w:cs="+mn-cs"/>
          <w:color w:val="000000"/>
          <w:kern w:val="24"/>
        </w:rPr>
        <w:t>FcγRIIIa</w:t>
      </w:r>
      <w:proofErr w:type="spellEnd"/>
      <w:r>
        <w:rPr>
          <w:rFonts w:eastAsia="+mn-ea" w:cs="+mn-cs"/>
          <w:color w:val="000000"/>
          <w:kern w:val="24"/>
        </w:rPr>
        <w:t xml:space="preserve"> and mouse </w:t>
      </w:r>
      <w:proofErr w:type="spellStart"/>
      <w:r>
        <w:rPr>
          <w:rFonts w:eastAsia="+mn-ea" w:cs="+mn-cs"/>
          <w:color w:val="000000"/>
          <w:kern w:val="24"/>
        </w:rPr>
        <w:t>FcγRIV</w:t>
      </w:r>
      <w:proofErr w:type="spellEnd"/>
      <w:r>
        <w:rPr>
          <w:rFonts w:eastAsia="+mn-ea" w:cs="+mn-cs"/>
          <w:color w:val="000000"/>
          <w:kern w:val="24"/>
        </w:rPr>
        <w:t xml:space="preserve"> and induce ADCC, using a reporter bioassay. Target cells were CHO/PD-L1 (</w:t>
      </w:r>
      <w:r>
        <w:rPr>
          <w:rFonts w:eastAsia="+mn-ea" w:cs="+mn-cs"/>
          <w:b/>
          <w:bCs/>
          <w:color w:val="000000"/>
          <w:kern w:val="24"/>
        </w:rPr>
        <w:t>B</w:t>
      </w:r>
      <w:r>
        <w:rPr>
          <w:rFonts w:eastAsia="+mn-ea" w:cs="+mn-cs"/>
          <w:color w:val="000000"/>
          <w:kern w:val="24"/>
        </w:rPr>
        <w:t>), CHO/PD-L2 (</w:t>
      </w:r>
      <w:r>
        <w:rPr>
          <w:rFonts w:eastAsia="+mn-ea" w:cs="+mn-cs"/>
          <w:b/>
          <w:bCs/>
          <w:color w:val="000000"/>
          <w:kern w:val="24"/>
        </w:rPr>
        <w:t>C</w:t>
      </w:r>
      <w:r>
        <w:rPr>
          <w:rFonts w:eastAsia="+mn-ea" w:cs="+mn-cs"/>
          <w:color w:val="000000"/>
          <w:kern w:val="24"/>
        </w:rPr>
        <w:t>), B16-PD-L2 (</w:t>
      </w:r>
      <w:r>
        <w:rPr>
          <w:rFonts w:eastAsia="+mn-ea" w:cs="+mn-cs"/>
          <w:b/>
          <w:bCs/>
          <w:color w:val="000000"/>
          <w:kern w:val="24"/>
        </w:rPr>
        <w:t>D,</w:t>
      </w:r>
      <w:r>
        <w:rPr>
          <w:rFonts w:eastAsia="+mn-ea" w:cs="+mn-cs"/>
          <w:color w:val="000000"/>
          <w:kern w:val="24"/>
        </w:rPr>
        <w:t xml:space="preserve"> </w:t>
      </w:r>
      <w:r>
        <w:rPr>
          <w:rFonts w:eastAsia="+mn-ea" w:cs="+mn-cs"/>
          <w:b/>
          <w:bCs/>
          <w:color w:val="000000"/>
          <w:kern w:val="24"/>
        </w:rPr>
        <w:t>E</w:t>
      </w:r>
      <w:r>
        <w:rPr>
          <w:rFonts w:eastAsia="+mn-ea" w:cs="+mn-cs"/>
          <w:color w:val="000000"/>
          <w:kern w:val="24"/>
        </w:rPr>
        <w:t>) and TS/A (</w:t>
      </w:r>
      <w:r>
        <w:rPr>
          <w:rFonts w:eastAsia="+mn-ea" w:cs="+mn-cs"/>
          <w:b/>
          <w:bCs/>
          <w:color w:val="000000"/>
          <w:kern w:val="24"/>
        </w:rPr>
        <w:t>F</w:t>
      </w:r>
      <w:r>
        <w:rPr>
          <w:rFonts w:eastAsia="+mn-ea" w:cs="+mn-cs"/>
          <w:color w:val="000000"/>
          <w:kern w:val="24"/>
        </w:rPr>
        <w:t xml:space="preserve">) cells. Effector cells consisted of </w:t>
      </w:r>
      <w:proofErr w:type="spellStart"/>
      <w:r>
        <w:rPr>
          <w:rFonts w:eastAsia="+mn-ea" w:cs="+mn-cs"/>
          <w:color w:val="000000"/>
          <w:kern w:val="24"/>
        </w:rPr>
        <w:t>Jurkat</w:t>
      </w:r>
      <w:proofErr w:type="spellEnd"/>
      <w:r>
        <w:rPr>
          <w:rFonts w:eastAsia="+mn-ea" w:cs="+mn-cs"/>
          <w:color w:val="000000"/>
          <w:kern w:val="24"/>
        </w:rPr>
        <w:t xml:space="preserve"> T cells engineered to express an NFAT-RE luciferase reporter together with human (</w:t>
      </w:r>
      <w:r>
        <w:rPr>
          <w:rFonts w:eastAsia="+mn-ea" w:cs="+mn-cs"/>
          <w:b/>
          <w:bCs/>
          <w:color w:val="000000"/>
          <w:kern w:val="24"/>
        </w:rPr>
        <w:t>B-D</w:t>
      </w:r>
      <w:r>
        <w:rPr>
          <w:rFonts w:eastAsia="+mn-ea" w:cs="+mn-cs"/>
          <w:color w:val="000000"/>
          <w:kern w:val="24"/>
        </w:rPr>
        <w:t xml:space="preserve">) or mouse </w:t>
      </w:r>
      <w:proofErr w:type="spellStart"/>
      <w:r>
        <w:rPr>
          <w:rFonts w:eastAsia="+mn-ea" w:cs="+mn-cs"/>
          <w:color w:val="000000"/>
          <w:kern w:val="24"/>
        </w:rPr>
        <w:t>FcγRIV</w:t>
      </w:r>
      <w:proofErr w:type="spellEnd"/>
      <w:r>
        <w:rPr>
          <w:rFonts w:eastAsia="+mn-ea" w:cs="+mn-cs"/>
          <w:color w:val="000000"/>
          <w:kern w:val="24"/>
        </w:rPr>
        <w:t xml:space="preserve"> (</w:t>
      </w:r>
      <w:r>
        <w:rPr>
          <w:rFonts w:eastAsia="+mn-ea" w:cs="+mn-cs"/>
          <w:b/>
          <w:bCs/>
          <w:color w:val="000000"/>
          <w:kern w:val="24"/>
        </w:rPr>
        <w:t>E, F</w:t>
      </w:r>
      <w:r>
        <w:rPr>
          <w:rFonts w:eastAsia="+mn-ea" w:cs="+mn-cs"/>
          <w:color w:val="000000"/>
          <w:kern w:val="24"/>
        </w:rPr>
        <w:t>)</w:t>
      </w:r>
      <w:r>
        <w:rPr>
          <w:rFonts w:eastAsia="+mn-ea"/>
          <w:color w:val="000000"/>
          <w:kern w:val="24"/>
        </w:rPr>
        <w:t xml:space="preserve">. </w:t>
      </w:r>
      <w:r>
        <w:rPr>
          <w:rFonts w:eastAsia="+mn-ea" w:cs="+mn-cs"/>
          <w:color w:val="000000"/>
          <w:kern w:val="24"/>
        </w:rPr>
        <w:t xml:space="preserve">Following co-culture, luciferase activity was quantified as a readout of </w:t>
      </w:r>
      <w:proofErr w:type="spellStart"/>
      <w:r>
        <w:rPr>
          <w:rFonts w:eastAsia="+mn-ea" w:cs="+mn-cs"/>
          <w:color w:val="000000"/>
          <w:kern w:val="24"/>
        </w:rPr>
        <w:t>FcγR</w:t>
      </w:r>
      <w:proofErr w:type="spellEnd"/>
      <w:r>
        <w:rPr>
          <w:rFonts w:eastAsia="+mn-ea" w:cs="+mn-cs"/>
          <w:color w:val="000000"/>
          <w:kern w:val="24"/>
        </w:rPr>
        <w:t xml:space="preserve"> engagement. Differences in reporter signal among antibody variants reflect their relative capacity to engage </w:t>
      </w:r>
      <w:proofErr w:type="spellStart"/>
      <w:r>
        <w:rPr>
          <w:rFonts w:eastAsia="+mn-ea" w:cs="+mn-cs"/>
          <w:color w:val="000000"/>
          <w:kern w:val="24"/>
        </w:rPr>
        <w:t>FcγRs</w:t>
      </w:r>
      <w:proofErr w:type="spellEnd"/>
      <w:r>
        <w:rPr>
          <w:rFonts w:eastAsia="+mn-ea" w:cs="+mn-cs"/>
          <w:color w:val="000000"/>
          <w:kern w:val="24"/>
        </w:rPr>
        <w:t xml:space="preserve"> under these conditions. </w:t>
      </w:r>
      <w:r w:rsidR="009A3502">
        <w:rPr>
          <w:rFonts w:eastAsia="+mn-ea" w:cs="+mn-cs"/>
          <w:color w:val="000000"/>
          <w:kern w:val="24"/>
        </w:rPr>
        <w:t>A higher luminescence signal</w:t>
      </w:r>
      <w:r>
        <w:rPr>
          <w:rFonts w:eastAsia="+mn-ea" w:cs="+mn-cs"/>
          <w:color w:val="000000"/>
          <w:kern w:val="24"/>
        </w:rPr>
        <w:t xml:space="preserve"> expressed as relative luminesce units (RLU) indicates an efficient ADCC activation pathway. Mean ± SEM (n = 3) is displayed for each concentration of each antibody. </w:t>
      </w:r>
    </w:p>
    <w:p w14:paraId="45ED77FC" w14:textId="7E392882" w:rsidR="00A9567E" w:rsidRDefault="009A3502" w:rsidP="00A9567E">
      <w:pPr>
        <w:pStyle w:val="NormalWeb"/>
        <w:spacing w:before="0" w:beforeAutospacing="0" w:after="0" w:afterAutospacing="0"/>
        <w:jc w:val="both"/>
        <w:rPr>
          <w:rFonts w:eastAsia="+mn-ea" w:cs="+mn-cs"/>
          <w:color w:val="000000"/>
          <w:kern w:val="24"/>
        </w:rPr>
      </w:pPr>
      <w:r>
        <w:rPr>
          <w:rFonts w:eastAsia="+mn-ea" w:cs="+mn-cs"/>
          <w:color w:val="000000"/>
          <w:kern w:val="24"/>
        </w:rPr>
        <w:br w:type="column"/>
      </w:r>
      <w:r w:rsidRPr="009A3502">
        <w:rPr>
          <w:noProof/>
        </w:rPr>
        <w:lastRenderedPageBreak/>
        <w:drawing>
          <wp:anchor distT="0" distB="0" distL="114300" distR="114300" simplePos="0" relativeHeight="251661322" behindDoc="0" locked="0" layoutInCell="1" allowOverlap="1" wp14:anchorId="268D69C0" wp14:editId="3E348DDF">
            <wp:simplePos x="0" y="0"/>
            <wp:positionH relativeFrom="column">
              <wp:posOffset>-544</wp:posOffset>
            </wp:positionH>
            <wp:positionV relativeFrom="paragraph">
              <wp:posOffset>-620395</wp:posOffset>
            </wp:positionV>
            <wp:extent cx="5965372" cy="6407252"/>
            <wp:effectExtent l="0" t="0" r="0" b="0"/>
            <wp:wrapNone/>
            <wp:docPr id="1575623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2378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5372" cy="6407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E1B07" w14:textId="10E1F431" w:rsidR="009A3502" w:rsidRDefault="009A3502" w:rsidP="00A9567E">
      <w:pPr>
        <w:pStyle w:val="NormalWeb"/>
        <w:spacing w:before="0" w:beforeAutospacing="0" w:after="0" w:afterAutospacing="0"/>
        <w:jc w:val="both"/>
        <w:rPr>
          <w:rFonts w:eastAsia="+mn-ea" w:cs="+mn-cs"/>
          <w:color w:val="000000"/>
          <w:kern w:val="24"/>
        </w:rPr>
      </w:pPr>
    </w:p>
    <w:p w14:paraId="5455A2F5" w14:textId="689639FF" w:rsidR="009A3502" w:rsidRDefault="009A3502" w:rsidP="00A9567E">
      <w:pPr>
        <w:pStyle w:val="NormalWeb"/>
        <w:spacing w:before="0" w:beforeAutospacing="0" w:after="0" w:afterAutospacing="0"/>
        <w:jc w:val="both"/>
        <w:rPr>
          <w:rFonts w:eastAsia="+mn-ea" w:cs="+mn-cs"/>
          <w:color w:val="000000"/>
          <w:kern w:val="24"/>
        </w:rPr>
      </w:pPr>
    </w:p>
    <w:p w14:paraId="7F6AB579" w14:textId="4E40D609" w:rsidR="009A3502" w:rsidRDefault="009A3502" w:rsidP="00A9567E">
      <w:pPr>
        <w:pStyle w:val="NormalWeb"/>
        <w:spacing w:before="0" w:beforeAutospacing="0" w:after="0" w:afterAutospacing="0"/>
        <w:jc w:val="both"/>
        <w:rPr>
          <w:rFonts w:eastAsia="+mn-ea" w:cs="+mn-cs"/>
          <w:color w:val="000000"/>
          <w:kern w:val="24"/>
        </w:rPr>
      </w:pPr>
    </w:p>
    <w:p w14:paraId="6F8D0805" w14:textId="7BE1FC43" w:rsidR="009A3502" w:rsidRDefault="009A3502" w:rsidP="00A9567E">
      <w:pPr>
        <w:pStyle w:val="NormalWeb"/>
        <w:spacing w:before="0" w:beforeAutospacing="0" w:after="0" w:afterAutospacing="0"/>
        <w:jc w:val="both"/>
        <w:rPr>
          <w:rFonts w:eastAsia="+mn-ea" w:cs="+mn-cs"/>
          <w:color w:val="000000"/>
          <w:kern w:val="24"/>
        </w:rPr>
      </w:pPr>
    </w:p>
    <w:p w14:paraId="26AB33EE" w14:textId="4540BCA9" w:rsidR="009A3502" w:rsidRDefault="009A3502" w:rsidP="00A9567E">
      <w:pPr>
        <w:pStyle w:val="NormalWeb"/>
        <w:spacing w:before="0" w:beforeAutospacing="0" w:after="0" w:afterAutospacing="0"/>
        <w:jc w:val="both"/>
        <w:rPr>
          <w:rFonts w:eastAsia="+mn-ea" w:cs="+mn-cs"/>
          <w:color w:val="000000"/>
          <w:kern w:val="24"/>
        </w:rPr>
      </w:pPr>
    </w:p>
    <w:p w14:paraId="79C1E46A" w14:textId="35C97F6D" w:rsidR="009A3502" w:rsidRDefault="009A3502" w:rsidP="00A9567E">
      <w:pPr>
        <w:pStyle w:val="NormalWeb"/>
        <w:spacing w:before="0" w:beforeAutospacing="0" w:after="0" w:afterAutospacing="0"/>
        <w:jc w:val="both"/>
        <w:rPr>
          <w:rFonts w:eastAsia="+mn-ea" w:cs="+mn-cs"/>
          <w:color w:val="000000"/>
          <w:kern w:val="24"/>
        </w:rPr>
      </w:pPr>
    </w:p>
    <w:p w14:paraId="16F36A9D" w14:textId="3DF2E3C0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6FB3B7BA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4BFED0F0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38149CD3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35F93863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37925780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4A1708E9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365590D1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4B5B33CA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6FA98733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0E7339F2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30393438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7A4AD967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59A4A840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13B17D7C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5D704C3D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2F7B9E5F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648615E9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2D583E2C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51628141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2A12462B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0DC85B5D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096EF1C9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72868C74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2C9B76EF" w14:textId="77777777" w:rsidR="009A3502" w:rsidRDefault="009A3502" w:rsidP="00A9567E">
      <w:pPr>
        <w:pStyle w:val="NormalWeb"/>
        <w:spacing w:before="0" w:beforeAutospacing="0" w:after="0" w:afterAutospacing="0"/>
        <w:jc w:val="both"/>
      </w:pPr>
    </w:p>
    <w:p w14:paraId="68E62CD5" w14:textId="01503CCD" w:rsidR="00D34132" w:rsidRDefault="00D34132" w:rsidP="009A3502"/>
    <w:p w14:paraId="7C9B0336" w14:textId="333EFEFA" w:rsidR="00D34132" w:rsidRDefault="00D34132" w:rsidP="00D34132">
      <w:pPr>
        <w:pStyle w:val="NormalWeb"/>
        <w:spacing w:before="0" w:beforeAutospacing="0" w:after="0" w:afterAutospacing="0"/>
        <w:jc w:val="both"/>
      </w:pPr>
      <w:r>
        <w:rPr>
          <w:rFonts w:eastAsiaTheme="minorEastAsia"/>
          <w:b/>
          <w:bCs/>
          <w:color w:val="000000" w:themeColor="text1"/>
          <w:kern w:val="24"/>
        </w:rPr>
        <w:t xml:space="preserve">Supplementary Figure 4. Characterization of PD-L1 and PD-L2 expression in B16-PD-L2 tumors, myeloid gating strategy, and binding competition between the therapeutic antibody 27907 and staining antibodies. </w:t>
      </w:r>
      <w:r>
        <w:rPr>
          <w:rFonts w:eastAsiaTheme="minorEastAsia"/>
          <w:color w:val="000000" w:themeColor="text1"/>
          <w:kern w:val="24"/>
        </w:rPr>
        <w:t>(</w:t>
      </w:r>
      <w:r>
        <w:rPr>
          <w:rFonts w:eastAsiaTheme="minorEastAsia"/>
          <w:b/>
          <w:bCs/>
          <w:color w:val="000000" w:themeColor="text1"/>
          <w:kern w:val="24"/>
        </w:rPr>
        <w:t>A</w:t>
      </w:r>
      <w:r>
        <w:rPr>
          <w:rFonts w:eastAsiaTheme="minorEastAsia"/>
          <w:color w:val="000000" w:themeColor="text1"/>
          <w:kern w:val="24"/>
        </w:rPr>
        <w:t>) Assessment of binding competition between the therapeutic anti–PD-L1/PD-L2 antibody 27907 and staining antibodies. B16-PD-L2 cells were pre-incubated with a saturating concentration of 27907 (30 µg/mL) prior to staining with anti–PD-L1 (clone 10F.9G2) and anti–PD-L2 (clone TY25). (</w:t>
      </w:r>
      <w:r>
        <w:rPr>
          <w:rFonts w:eastAsiaTheme="minorEastAsia"/>
          <w:b/>
          <w:bCs/>
          <w:color w:val="000000" w:themeColor="text1"/>
          <w:kern w:val="24"/>
        </w:rPr>
        <w:t>B</w:t>
      </w:r>
      <w:r>
        <w:rPr>
          <w:rFonts w:eastAsiaTheme="minorEastAsia"/>
          <w:color w:val="000000" w:themeColor="text1"/>
          <w:kern w:val="24"/>
        </w:rPr>
        <w:t>) Representative FACS density plots showing the myeloid gating strategy. Live, singlet CD45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⁺</w:t>
      </w:r>
      <w:r>
        <w:rPr>
          <w:rFonts w:eastAsiaTheme="minorEastAsia"/>
          <w:color w:val="000000" w:themeColor="text1"/>
          <w:kern w:val="24"/>
        </w:rPr>
        <w:t xml:space="preserve"> cells were gated and subdivided into monocytic (m)MDSCs (CD11b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⁺</w:t>
      </w:r>
      <w:r>
        <w:rPr>
          <w:rFonts w:eastAsiaTheme="minorEastAsia"/>
          <w:color w:val="000000" w:themeColor="text1"/>
          <w:kern w:val="24"/>
        </w:rPr>
        <w:t>Ly6C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⁺</w:t>
      </w:r>
      <w:r>
        <w:rPr>
          <w:rFonts w:eastAsiaTheme="minorEastAsia"/>
          <w:color w:val="000000" w:themeColor="text1"/>
          <w:kern w:val="24"/>
        </w:rPr>
        <w:t>Ly6G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⁻</w:t>
      </w:r>
      <w:r>
        <w:rPr>
          <w:rFonts w:eastAsiaTheme="minorEastAsia"/>
          <w:color w:val="000000" w:themeColor="text1"/>
          <w:kern w:val="24"/>
        </w:rPr>
        <w:t>), granulocytic (g)MDSCs (CD11b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⁺</w:t>
      </w:r>
      <w:r>
        <w:rPr>
          <w:rFonts w:eastAsiaTheme="minorEastAsia"/>
          <w:color w:val="000000" w:themeColor="text1"/>
          <w:kern w:val="24"/>
        </w:rPr>
        <w:t>Ly6G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⁺</w:t>
      </w:r>
      <w:r>
        <w:rPr>
          <w:rFonts w:eastAsiaTheme="minorEastAsia"/>
          <w:color w:val="000000" w:themeColor="text1"/>
          <w:kern w:val="24"/>
        </w:rPr>
        <w:t>Ly6C</w:t>
      </w:r>
      <w:r>
        <w:rPr>
          <w:rFonts w:eastAsiaTheme="minorEastAsia"/>
          <w:color w:val="000000" w:themeColor="text1"/>
          <w:kern w:val="24"/>
          <w:position w:val="7"/>
          <w:vertAlign w:val="superscript"/>
        </w:rPr>
        <w:t>low</w:t>
      </w:r>
      <w:r>
        <w:rPr>
          <w:rFonts w:eastAsiaTheme="minorEastAsia"/>
          <w:color w:val="000000" w:themeColor="text1"/>
          <w:kern w:val="24"/>
        </w:rPr>
        <w:t xml:space="preserve">), </w:t>
      </w:r>
      <w:r w:rsidR="009A3502">
        <w:rPr>
          <w:rFonts w:eastAsiaTheme="minorEastAsia"/>
          <w:color w:val="000000" w:themeColor="text1"/>
          <w:kern w:val="24"/>
        </w:rPr>
        <w:t>TAM</w:t>
      </w:r>
      <w:r>
        <w:rPr>
          <w:rFonts w:eastAsiaTheme="minorEastAsia"/>
          <w:color w:val="000000" w:themeColor="text1"/>
          <w:kern w:val="24"/>
        </w:rPr>
        <w:t>s (CD11b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⁺</w:t>
      </w:r>
      <w:r>
        <w:rPr>
          <w:rFonts w:eastAsiaTheme="minorEastAsia"/>
          <w:color w:val="000000" w:themeColor="text1"/>
          <w:kern w:val="24"/>
        </w:rPr>
        <w:t>Ly6G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⁻</w:t>
      </w:r>
      <w:r>
        <w:rPr>
          <w:rFonts w:eastAsiaTheme="minorEastAsia"/>
          <w:color w:val="000000" w:themeColor="text1"/>
          <w:kern w:val="24"/>
        </w:rPr>
        <w:t>Ly6C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⁻</w:t>
      </w:r>
      <w:r>
        <w:rPr>
          <w:rFonts w:eastAsiaTheme="minorEastAsia"/>
          <w:color w:val="000000" w:themeColor="text1"/>
          <w:kern w:val="24"/>
        </w:rPr>
        <w:t>CD206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⁺</w:t>
      </w:r>
      <w:r>
        <w:rPr>
          <w:rFonts w:eastAsiaTheme="minorEastAsia"/>
          <w:color w:val="000000" w:themeColor="text1"/>
          <w:kern w:val="24"/>
        </w:rPr>
        <w:t>) and dendritic cells (DCs, CD11c</w:t>
      </w:r>
      <w:r>
        <w:rPr>
          <w:rFonts w:eastAsiaTheme="minorEastAsia"/>
          <w:color w:val="000000" w:themeColor="text1"/>
          <w:kern w:val="24"/>
          <w:position w:val="7"/>
          <w:vertAlign w:val="superscript"/>
        </w:rPr>
        <w:t>+</w:t>
      </w:r>
      <w:r>
        <w:rPr>
          <w:rFonts w:eastAsiaTheme="minorEastAsia"/>
          <w:color w:val="000000" w:themeColor="text1"/>
          <w:kern w:val="24"/>
        </w:rPr>
        <w:t>). Ly6G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⁻</w:t>
      </w:r>
      <w:r>
        <w:rPr>
          <w:rFonts w:eastAsiaTheme="minorEastAsia"/>
          <w:color w:val="000000" w:themeColor="text1"/>
          <w:kern w:val="24"/>
        </w:rPr>
        <w:t>Ly6C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⁻</w:t>
      </w:r>
      <w:r>
        <w:rPr>
          <w:rFonts w:eastAsiaTheme="minorEastAsia"/>
          <w:color w:val="000000" w:themeColor="text1"/>
          <w:kern w:val="24"/>
        </w:rPr>
        <w:t>F4/80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⁺</w:t>
      </w:r>
      <w:r>
        <w:rPr>
          <w:rFonts w:eastAsiaTheme="minorEastAsia"/>
          <w:color w:val="000000" w:themeColor="text1"/>
          <w:kern w:val="24"/>
        </w:rPr>
        <w:t xml:space="preserve"> double-negative (DN) cells.  (</w:t>
      </w:r>
      <w:r>
        <w:rPr>
          <w:rFonts w:eastAsiaTheme="minorEastAsia"/>
          <w:b/>
          <w:bCs/>
          <w:color w:val="000000" w:themeColor="text1"/>
          <w:kern w:val="24"/>
        </w:rPr>
        <w:t>C–D</w:t>
      </w:r>
      <w:r>
        <w:rPr>
          <w:rFonts w:eastAsiaTheme="minorEastAsia"/>
          <w:color w:val="000000" w:themeColor="text1"/>
          <w:kern w:val="24"/>
        </w:rPr>
        <w:t>) FACS analysis showing PD-L1 and PD-L2 expression in single-cell suspensions from B16-PD-L2 tumors, gated on CD45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⁺</w:t>
      </w:r>
      <w:r>
        <w:rPr>
          <w:rFonts w:eastAsiaTheme="minorEastAsia"/>
          <w:color w:val="000000" w:themeColor="text1"/>
          <w:kern w:val="24"/>
        </w:rPr>
        <w:t xml:space="preserve"> immune infiltrates and CD45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⁻</w:t>
      </w:r>
      <w:r>
        <w:rPr>
          <w:rFonts w:eastAsiaTheme="minorEastAsia"/>
          <w:color w:val="000000" w:themeColor="text1"/>
          <w:kern w:val="24"/>
        </w:rPr>
        <w:t xml:space="preserve"> tumor/stromal cells.</w:t>
      </w:r>
    </w:p>
    <w:p w14:paraId="01C335CF" w14:textId="78734EE3" w:rsidR="000B2726" w:rsidRDefault="000B2726"/>
    <w:p w14:paraId="64B7EA36" w14:textId="3049FC48" w:rsidR="008A64B1" w:rsidRDefault="00D34078">
      <w:r>
        <w:rPr>
          <w:noProof/>
        </w:rPr>
        <w:drawing>
          <wp:anchor distT="0" distB="0" distL="114300" distR="114300" simplePos="0" relativeHeight="251658244" behindDoc="0" locked="0" layoutInCell="1" allowOverlap="1" wp14:anchorId="1C2123CE" wp14:editId="7CA1A3F9">
            <wp:simplePos x="0" y="0"/>
            <wp:positionH relativeFrom="margin">
              <wp:posOffset>63500</wp:posOffset>
            </wp:positionH>
            <wp:positionV relativeFrom="paragraph">
              <wp:posOffset>0</wp:posOffset>
            </wp:positionV>
            <wp:extent cx="5963285" cy="2875280"/>
            <wp:effectExtent l="0" t="0" r="0" b="1270"/>
            <wp:wrapSquare wrapText="bothSides"/>
            <wp:docPr id="92489314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93140" name="Picture 92489314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28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227A2" w14:textId="77777777" w:rsidR="00D34132" w:rsidRDefault="00D34132" w:rsidP="00D34132">
      <w:pPr>
        <w:pStyle w:val="NormalWeb"/>
        <w:spacing w:before="0" w:beforeAutospacing="0" w:after="160" w:afterAutospacing="0" w:line="256" w:lineRule="auto"/>
        <w:jc w:val="both"/>
      </w:pPr>
      <w:r>
        <w:rPr>
          <w:rFonts w:eastAsia="Aptos" w:cs="Arial"/>
          <w:b/>
          <w:bCs/>
          <w:color w:val="000000" w:themeColor="text1"/>
          <w:kern w:val="2"/>
        </w:rPr>
        <w:t>Supplementary Figure 5. Analysis of PD-L1 and PD-L2 expression in TS/A cell line and within the TME.</w:t>
      </w:r>
      <w:r>
        <w:rPr>
          <w:rFonts w:eastAsia="Aptos" w:cs="Arial"/>
          <w:color w:val="000000" w:themeColor="text1"/>
          <w:kern w:val="2"/>
        </w:rPr>
        <w:t xml:space="preserve"> </w:t>
      </w:r>
      <w:r>
        <w:rPr>
          <w:rFonts w:eastAsia="Aptos" w:cs="Arial"/>
          <w:b/>
          <w:bCs/>
          <w:color w:val="000000" w:themeColor="text1"/>
          <w:kern w:val="2"/>
        </w:rPr>
        <w:t>(A)</w:t>
      </w:r>
      <w:r>
        <w:rPr>
          <w:rFonts w:eastAsia="Aptos" w:cs="Arial"/>
          <w:color w:val="000000" w:themeColor="text1"/>
          <w:kern w:val="2"/>
        </w:rPr>
        <w:t xml:space="preserve"> FACS analysis of PD-L1 and PD-L2 surface expression on TS/A cells cultured in vitro. </w:t>
      </w:r>
      <w:r>
        <w:rPr>
          <w:rFonts w:eastAsia="Aptos" w:cs="Arial"/>
          <w:b/>
          <w:bCs/>
          <w:color w:val="000000" w:themeColor="text1"/>
          <w:kern w:val="2"/>
        </w:rPr>
        <w:t>(B)</w:t>
      </w:r>
      <w:r>
        <w:rPr>
          <w:rFonts w:eastAsia="Aptos" w:cs="Arial"/>
          <w:color w:val="000000" w:themeColor="text1"/>
          <w:kern w:val="2"/>
        </w:rPr>
        <w:t xml:space="preserve"> Quantification of PD-L1 and PD-L2 expression on immune cell subsets infiltrating TS/A tumors, shown as the percentage of positive cells within each subset. </w:t>
      </w:r>
      <w:r>
        <w:rPr>
          <w:rFonts w:eastAsia="Aptos" w:cs="Arial"/>
          <w:b/>
          <w:bCs/>
          <w:color w:val="000000" w:themeColor="text1"/>
          <w:kern w:val="2"/>
        </w:rPr>
        <w:t>(C)</w:t>
      </w:r>
      <w:r>
        <w:rPr>
          <w:rFonts w:eastAsia="Aptos" w:cs="Arial"/>
          <w:color w:val="000000" w:themeColor="text1"/>
          <w:kern w:val="2"/>
        </w:rPr>
        <w:t xml:space="preserve"> Representative density plots displaying PD-L1 and PD-L2 expression on tumor and stromal cells, </w:t>
      </w:r>
      <w:proofErr w:type="spellStart"/>
      <w:r>
        <w:rPr>
          <w:rFonts w:eastAsia="Aptos" w:cs="Arial"/>
          <w:color w:val="000000" w:themeColor="text1"/>
          <w:kern w:val="2"/>
        </w:rPr>
        <w:t>mMDSCs</w:t>
      </w:r>
      <w:proofErr w:type="spellEnd"/>
      <w:r>
        <w:rPr>
          <w:rFonts w:eastAsia="Aptos" w:cs="Arial"/>
          <w:color w:val="000000" w:themeColor="text1"/>
          <w:kern w:val="2"/>
        </w:rPr>
        <w:t xml:space="preserve">, </w:t>
      </w:r>
      <w:proofErr w:type="spellStart"/>
      <w:r>
        <w:rPr>
          <w:rFonts w:eastAsia="Aptos" w:cs="Arial"/>
          <w:color w:val="000000" w:themeColor="text1"/>
          <w:kern w:val="2"/>
        </w:rPr>
        <w:t>gMDSCs</w:t>
      </w:r>
      <w:proofErr w:type="spellEnd"/>
      <w:r>
        <w:rPr>
          <w:rFonts w:eastAsia="Aptos" w:cs="Arial"/>
          <w:color w:val="000000" w:themeColor="text1"/>
          <w:kern w:val="2"/>
        </w:rPr>
        <w:t>, DCs, and TAMs. FACS analysis was performed using the gating strategy described in Supplementary Figure 4B.</w:t>
      </w:r>
    </w:p>
    <w:p w14:paraId="3A1406CA" w14:textId="0C7DC3F0" w:rsidR="008A64B1" w:rsidRDefault="008A64B1"/>
    <w:p w14:paraId="3E728187" w14:textId="77777777" w:rsidR="00CD515B" w:rsidRDefault="00CD515B" w:rsidP="00035D5C"/>
    <w:p w14:paraId="2D38A337" w14:textId="77777777" w:rsidR="00CD515B" w:rsidRDefault="00CD515B" w:rsidP="00035D5C"/>
    <w:p w14:paraId="0128AA50" w14:textId="77777777" w:rsidR="00CD515B" w:rsidRDefault="00CD515B" w:rsidP="00035D5C"/>
    <w:p w14:paraId="7672197E" w14:textId="1B463B35" w:rsidR="00CD515B" w:rsidRDefault="00721A0D" w:rsidP="00721A0D">
      <w:r w:rsidRPr="00721A0D">
        <w:lastRenderedPageBreak/>
        <w:drawing>
          <wp:inline distT="0" distB="0" distL="0" distR="0" wp14:anchorId="705A0F62" wp14:editId="1E6A9EF5">
            <wp:extent cx="5943600" cy="4586605"/>
            <wp:effectExtent l="0" t="0" r="0" b="0"/>
            <wp:docPr id="459770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7079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95861" w14:textId="01BBB296" w:rsidR="00AD5853" w:rsidRDefault="00AD5853" w:rsidP="00AD5853">
      <w:pPr>
        <w:pStyle w:val="NormalWeb"/>
        <w:spacing w:before="0" w:beforeAutospacing="0" w:after="0" w:afterAutospacing="0"/>
        <w:jc w:val="both"/>
      </w:pPr>
      <w:r>
        <w:rPr>
          <w:rFonts w:eastAsia="+mn-ea"/>
          <w:b/>
          <w:bCs/>
          <w:color w:val="000000"/>
          <w:kern w:val="24"/>
        </w:rPr>
        <w:t xml:space="preserve">Supplementary Figure 6. Combination of 27907 and 8803 TME effects in the IBC-resistant TS/A model. </w:t>
      </w:r>
      <w:r>
        <w:rPr>
          <w:rFonts w:eastAsia="+mn-ea"/>
          <w:color w:val="000000"/>
          <w:kern w:val="24"/>
        </w:rPr>
        <w:t>BALB/c mice were injected orthotopically with 1 x 10</w:t>
      </w:r>
      <w:r>
        <w:rPr>
          <w:rFonts w:eastAsia="+mn-ea"/>
          <w:color w:val="000000"/>
          <w:kern w:val="24"/>
          <w:position w:val="7"/>
          <w:vertAlign w:val="superscript"/>
        </w:rPr>
        <w:t>5</w:t>
      </w:r>
      <w:r>
        <w:rPr>
          <w:rFonts w:eastAsia="+mn-ea"/>
          <w:color w:val="000000"/>
          <w:kern w:val="24"/>
        </w:rPr>
        <w:t xml:space="preserve"> TS/A cells into the fourth left mammary gland. When the tumor reached 75-100 mm</w:t>
      </w:r>
      <w:r>
        <w:rPr>
          <w:rFonts w:eastAsia="+mn-ea"/>
          <w:color w:val="000000"/>
          <w:kern w:val="24"/>
          <w:position w:val="7"/>
          <w:vertAlign w:val="superscript"/>
        </w:rPr>
        <w:t>3</w:t>
      </w:r>
      <w:r>
        <w:rPr>
          <w:rFonts w:eastAsia="+mn-ea"/>
          <w:color w:val="000000"/>
          <w:kern w:val="24"/>
        </w:rPr>
        <w:t>, mice were randomized in the treatment groups and were injected intratumorally 2 times at 3</w:t>
      </w:r>
      <w:r w:rsidR="00160B52">
        <w:rPr>
          <w:rFonts w:eastAsia="+mn-ea"/>
          <w:color w:val="000000"/>
          <w:kern w:val="24"/>
        </w:rPr>
        <w:t xml:space="preserve"> </w:t>
      </w:r>
      <w:r>
        <w:rPr>
          <w:rFonts w:eastAsia="+mn-ea"/>
          <w:color w:val="000000"/>
          <w:kern w:val="24"/>
        </w:rPr>
        <w:t>-</w:t>
      </w:r>
      <w:r w:rsidR="00160B52">
        <w:rPr>
          <w:rFonts w:eastAsia="+mn-ea"/>
          <w:color w:val="000000"/>
          <w:kern w:val="24"/>
        </w:rPr>
        <w:t xml:space="preserve"> </w:t>
      </w:r>
      <w:r>
        <w:rPr>
          <w:rFonts w:eastAsia="+mn-ea"/>
          <w:color w:val="000000"/>
          <w:kern w:val="24"/>
        </w:rPr>
        <w:t xml:space="preserve">4 days intervals either with 10 µL of PBS or 10 µg of 8803 and treated </w:t>
      </w:r>
      <w:proofErr w:type="spellStart"/>
      <w:r>
        <w:rPr>
          <w:rFonts w:eastAsia="+mn-ea"/>
          <w:color w:val="000000"/>
          <w:kern w:val="24"/>
        </w:rPr>
        <w:t>i.p.</w:t>
      </w:r>
      <w:proofErr w:type="spellEnd"/>
      <w:r>
        <w:rPr>
          <w:rFonts w:eastAsia="+mn-ea"/>
          <w:color w:val="000000"/>
          <w:kern w:val="24"/>
        </w:rPr>
        <w:t xml:space="preserve"> with either 100 µL of PBS alone (untreated) or containing 200 µg of 27907, twice a week for three weeks. Mice were sacrificed 3</w:t>
      </w:r>
      <w:r w:rsidR="00160B52">
        <w:rPr>
          <w:rFonts w:eastAsia="+mn-ea"/>
          <w:color w:val="000000"/>
          <w:kern w:val="24"/>
        </w:rPr>
        <w:t xml:space="preserve"> </w:t>
      </w:r>
      <w:r>
        <w:rPr>
          <w:rFonts w:eastAsia="+mn-ea"/>
          <w:color w:val="000000"/>
          <w:kern w:val="24"/>
        </w:rPr>
        <w:t>-</w:t>
      </w:r>
      <w:r w:rsidR="00160B52">
        <w:rPr>
          <w:rFonts w:eastAsia="+mn-ea"/>
          <w:color w:val="000000"/>
          <w:kern w:val="24"/>
        </w:rPr>
        <w:t xml:space="preserve"> </w:t>
      </w:r>
      <w:r>
        <w:rPr>
          <w:rFonts w:eastAsia="+mn-ea"/>
          <w:color w:val="000000"/>
          <w:kern w:val="24"/>
        </w:rPr>
        <w:t xml:space="preserve">4 days after the final treatment and tumors were excised and processed for analysis of the TME through histology and immunohistochemical/fluorescence analysis. </w:t>
      </w:r>
      <w:r>
        <w:rPr>
          <w:rFonts w:eastAsia="+mn-ea"/>
          <w:b/>
          <w:bCs/>
          <w:color w:val="000000"/>
          <w:kern w:val="24"/>
        </w:rPr>
        <w:t>(A</w:t>
      </w:r>
      <w:r>
        <w:rPr>
          <w:rFonts w:eastAsia="+mn-ea"/>
          <w:color w:val="000000"/>
          <w:kern w:val="24"/>
        </w:rPr>
        <w:t>,</w:t>
      </w:r>
      <w:r>
        <w:rPr>
          <w:rFonts w:eastAsia="+mn-ea"/>
          <w:b/>
          <w:bCs/>
          <w:color w:val="000000"/>
          <w:kern w:val="24"/>
        </w:rPr>
        <w:t xml:space="preserve"> C</w:t>
      </w:r>
      <w:r>
        <w:rPr>
          <w:rFonts w:eastAsia="+mn-ea"/>
          <w:color w:val="000000"/>
          <w:kern w:val="24"/>
        </w:rPr>
        <w:t>,</w:t>
      </w:r>
      <w:r>
        <w:rPr>
          <w:rFonts w:eastAsia="+mn-ea"/>
          <w:b/>
          <w:bCs/>
          <w:color w:val="000000"/>
          <w:kern w:val="24"/>
        </w:rPr>
        <w:t xml:space="preserve"> E) </w:t>
      </w:r>
      <w:r>
        <w:rPr>
          <w:rFonts w:eastAsia="+mn-ea"/>
          <w:color w:val="000000"/>
          <w:kern w:val="24"/>
        </w:rPr>
        <w:t xml:space="preserve">Representative IHC images of tumors stained with anti-CD3 to identify T cells, anti-Foxp3 for regulatory T cells, and anti-F4/80 for macrophages. </w:t>
      </w:r>
      <w:r>
        <w:rPr>
          <w:rFonts w:eastAsia="+mn-ea"/>
          <w:b/>
          <w:bCs/>
          <w:color w:val="000000"/>
          <w:kern w:val="24"/>
        </w:rPr>
        <w:t>(B</w:t>
      </w:r>
      <w:r>
        <w:rPr>
          <w:rFonts w:eastAsia="+mn-ea"/>
          <w:color w:val="000000"/>
          <w:kern w:val="24"/>
        </w:rPr>
        <w:t>,</w:t>
      </w:r>
      <w:r>
        <w:rPr>
          <w:rFonts w:eastAsia="+mn-ea"/>
          <w:b/>
          <w:bCs/>
          <w:color w:val="000000"/>
          <w:kern w:val="24"/>
        </w:rPr>
        <w:t xml:space="preserve"> D</w:t>
      </w:r>
      <w:r>
        <w:rPr>
          <w:rFonts w:eastAsia="+mn-ea"/>
          <w:color w:val="000000"/>
          <w:kern w:val="24"/>
        </w:rPr>
        <w:t>,</w:t>
      </w:r>
      <w:r>
        <w:rPr>
          <w:rFonts w:eastAsia="+mn-ea"/>
          <w:b/>
          <w:bCs/>
          <w:color w:val="000000"/>
          <w:kern w:val="24"/>
        </w:rPr>
        <w:t xml:space="preserve"> F) </w:t>
      </w:r>
      <w:r>
        <w:rPr>
          <w:rFonts w:eastAsia="+mn-ea"/>
          <w:color w:val="000000"/>
          <w:kern w:val="24"/>
        </w:rPr>
        <w:t xml:space="preserve">Dot plots displaying the percentage of positive cells in tumors under different treatments. </w:t>
      </w:r>
      <w:r>
        <w:rPr>
          <w:rFonts w:eastAsia="+mn-ea"/>
          <w:b/>
          <w:bCs/>
          <w:color w:val="000000"/>
          <w:kern w:val="24"/>
        </w:rPr>
        <w:t>(G</w:t>
      </w:r>
      <w:r>
        <w:rPr>
          <w:rFonts w:eastAsia="+mn-ea"/>
          <w:color w:val="000000"/>
          <w:kern w:val="24"/>
        </w:rPr>
        <w:t>,</w:t>
      </w:r>
      <w:r>
        <w:rPr>
          <w:rFonts w:eastAsia="+mn-ea"/>
          <w:b/>
          <w:bCs/>
          <w:color w:val="000000"/>
          <w:kern w:val="24"/>
        </w:rPr>
        <w:t xml:space="preserve"> I) </w:t>
      </w:r>
      <w:r>
        <w:rPr>
          <w:rFonts w:eastAsia="+mn-ea"/>
          <w:color w:val="000000"/>
          <w:kern w:val="24"/>
        </w:rPr>
        <w:t xml:space="preserve">Representative immunofluorescence images of tumors stained with anti-F4/80 to identify macrophages, anti-CD206 as a marker for M2 polarization, and DAPI for visualizing nuclei. </w:t>
      </w:r>
      <w:r>
        <w:rPr>
          <w:rFonts w:eastAsia="+mn-ea"/>
          <w:b/>
          <w:bCs/>
          <w:color w:val="000000"/>
          <w:kern w:val="24"/>
        </w:rPr>
        <w:t>(H</w:t>
      </w:r>
      <w:r>
        <w:rPr>
          <w:rFonts w:eastAsia="+mn-ea"/>
          <w:color w:val="000000"/>
          <w:kern w:val="24"/>
        </w:rPr>
        <w:t>,</w:t>
      </w:r>
      <w:r>
        <w:rPr>
          <w:rFonts w:eastAsia="+mn-ea"/>
          <w:b/>
          <w:bCs/>
          <w:color w:val="000000"/>
          <w:kern w:val="24"/>
        </w:rPr>
        <w:t xml:space="preserve"> J). </w:t>
      </w:r>
      <w:r>
        <w:rPr>
          <w:rFonts w:eastAsia="+mn-ea"/>
          <w:color w:val="000000"/>
          <w:kern w:val="24"/>
        </w:rPr>
        <w:t xml:space="preserve">Histograms illustrating the percentage of positive CD206 macrophages and the intensity of CD206 fluorescence in tumors with various treatments. Statistical significance was determined by ordinary one-way ANOVA, with </w:t>
      </w:r>
      <w:r w:rsidR="00E743F5">
        <w:rPr>
          <w:rFonts w:eastAsia="+mn-ea"/>
          <w:color w:val="000000"/>
          <w:kern w:val="24"/>
        </w:rPr>
        <w:t>*P</w:t>
      </w:r>
      <w:r w:rsidR="009A3502">
        <w:rPr>
          <w:rFonts w:eastAsia="+mn-ea"/>
          <w:color w:val="000000"/>
          <w:kern w:val="24"/>
        </w:rPr>
        <w:t xml:space="preserve"> </w:t>
      </w:r>
      <w:r>
        <w:rPr>
          <w:rFonts w:eastAsia="+mn-ea"/>
          <w:color w:val="000000"/>
          <w:kern w:val="24"/>
        </w:rPr>
        <w:t>&lt; 0.05, **P &lt; 0.01, ***P &lt; 0.001, ****P &lt; 0.0001.</w:t>
      </w:r>
    </w:p>
    <w:p w14:paraId="46391756" w14:textId="48C2C98F" w:rsidR="00D34078" w:rsidRPr="00686D59" w:rsidRDefault="00E743F5" w:rsidP="00E743F5">
      <w:pPr>
        <w:rPr>
          <w:rFonts w:eastAsiaTheme="minorEastAsia"/>
          <w:b/>
          <w:bCs/>
          <w:color w:val="000000" w:themeColor="text1"/>
          <w:kern w:val="24"/>
        </w:rPr>
      </w:pPr>
      <w:r>
        <w:rPr>
          <w:rFonts w:eastAsiaTheme="minorEastAsia"/>
          <w:b/>
          <w:bCs/>
          <w:color w:val="000000" w:themeColor="text1"/>
          <w:kern w:val="24"/>
        </w:rPr>
        <w:br w:type="column"/>
      </w:r>
      <w:r w:rsidRPr="00E743F5">
        <w:rPr>
          <w:rFonts w:eastAsiaTheme="minorEastAsia"/>
          <w:b/>
          <w:bCs/>
          <w:noProof/>
          <w:color w:val="000000" w:themeColor="text1"/>
          <w:kern w:val="24"/>
        </w:rPr>
        <w:lastRenderedPageBreak/>
        <w:drawing>
          <wp:inline distT="0" distB="0" distL="0" distR="0" wp14:anchorId="73BB3F86" wp14:editId="21D4FC39">
            <wp:extent cx="5943600" cy="5344795"/>
            <wp:effectExtent l="0" t="0" r="0" b="0"/>
            <wp:docPr id="1848476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761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D723D" w14:textId="0954447D" w:rsidR="00E476D3" w:rsidRDefault="00E476D3" w:rsidP="00E476D3">
      <w:pPr>
        <w:pStyle w:val="NormalWeb"/>
        <w:spacing w:before="0" w:beforeAutospacing="0" w:after="0" w:afterAutospacing="0"/>
        <w:jc w:val="both"/>
      </w:pPr>
      <w:r>
        <w:rPr>
          <w:rFonts w:eastAsiaTheme="minorEastAsia"/>
          <w:b/>
          <w:bCs/>
          <w:color w:val="000000" w:themeColor="text1"/>
          <w:kern w:val="24"/>
        </w:rPr>
        <w:t xml:space="preserve">Supplementary Figure 7. PD-L1 and PD-L2 expression in the TME and Tumor Draining Lymph Nodes (TDLNs) of B16-PD-L2 tumors. </w:t>
      </w:r>
      <w:r>
        <w:rPr>
          <w:rFonts w:eastAsiaTheme="minorEastAsia"/>
          <w:color w:val="000000" w:themeColor="text1"/>
          <w:kern w:val="24"/>
        </w:rPr>
        <w:t>FACS analysis of PD-L1 and PD-L2 surface expression on TME and TDLN. Percentage of PD-L1</w:t>
      </w:r>
      <w:r>
        <w:rPr>
          <w:rFonts w:eastAsiaTheme="minorEastAsia"/>
          <w:color w:val="000000" w:themeColor="text1"/>
          <w:kern w:val="24"/>
          <w:position w:val="7"/>
          <w:vertAlign w:val="superscript"/>
        </w:rPr>
        <w:t>hi</w:t>
      </w:r>
      <w:r>
        <w:rPr>
          <w:rFonts w:eastAsiaTheme="minorEastAsia"/>
          <w:color w:val="000000" w:themeColor="text1"/>
          <w:kern w:val="24"/>
        </w:rPr>
        <w:t xml:space="preserve"> (</w:t>
      </w:r>
      <w:r>
        <w:rPr>
          <w:rFonts w:eastAsiaTheme="minorEastAsia"/>
          <w:b/>
          <w:bCs/>
          <w:color w:val="000000" w:themeColor="text1"/>
          <w:kern w:val="24"/>
        </w:rPr>
        <w:t>A</w:t>
      </w:r>
      <w:r>
        <w:rPr>
          <w:rFonts w:eastAsiaTheme="minorEastAsia"/>
          <w:color w:val="000000" w:themeColor="text1"/>
          <w:kern w:val="24"/>
        </w:rPr>
        <w:t>), PD-L1 (</w:t>
      </w:r>
      <w:r>
        <w:rPr>
          <w:rFonts w:eastAsiaTheme="minorEastAsia"/>
          <w:b/>
          <w:bCs/>
          <w:color w:val="000000" w:themeColor="text1"/>
          <w:kern w:val="24"/>
        </w:rPr>
        <w:t>B</w:t>
      </w:r>
      <w:r>
        <w:rPr>
          <w:rFonts w:eastAsiaTheme="minorEastAsia"/>
          <w:color w:val="000000" w:themeColor="text1"/>
          <w:kern w:val="24"/>
        </w:rPr>
        <w:t>) and PD-L2 (</w:t>
      </w:r>
      <w:r>
        <w:rPr>
          <w:rFonts w:eastAsiaTheme="minorEastAsia"/>
          <w:b/>
          <w:bCs/>
          <w:color w:val="000000" w:themeColor="text1"/>
          <w:kern w:val="24"/>
        </w:rPr>
        <w:t>C</w:t>
      </w:r>
      <w:r>
        <w:rPr>
          <w:rFonts w:eastAsiaTheme="minorEastAsia"/>
          <w:color w:val="000000" w:themeColor="text1"/>
          <w:kern w:val="24"/>
        </w:rPr>
        <w:t xml:space="preserve">) expression in </w:t>
      </w:r>
      <w:proofErr w:type="spellStart"/>
      <w:r>
        <w:rPr>
          <w:rFonts w:eastAsiaTheme="minorEastAsia"/>
          <w:color w:val="000000" w:themeColor="text1"/>
          <w:kern w:val="24"/>
        </w:rPr>
        <w:t>mMDSCs</w:t>
      </w:r>
      <w:proofErr w:type="spellEnd"/>
      <w:r>
        <w:rPr>
          <w:rFonts w:eastAsiaTheme="minorEastAsia"/>
          <w:color w:val="000000" w:themeColor="text1"/>
          <w:kern w:val="24"/>
        </w:rPr>
        <w:t xml:space="preserve">, </w:t>
      </w:r>
      <w:proofErr w:type="spellStart"/>
      <w:r>
        <w:rPr>
          <w:rFonts w:eastAsiaTheme="minorEastAsia"/>
          <w:color w:val="000000" w:themeColor="text1"/>
          <w:kern w:val="24"/>
        </w:rPr>
        <w:t>gMDSCs</w:t>
      </w:r>
      <w:proofErr w:type="spellEnd"/>
      <w:r>
        <w:rPr>
          <w:rFonts w:eastAsiaTheme="minorEastAsia"/>
          <w:color w:val="000000" w:themeColor="text1"/>
          <w:kern w:val="24"/>
        </w:rPr>
        <w:t>, TAMs (macrophages in TDLNs), and DCs. Data are presented as mean ± SEM. Statistical significance was assessed using ordinary one-way ANOVA with *P &lt; 0.05, **P &lt; 0.01, ***P &lt; 0.001, ****P &lt; 0.0001.</w:t>
      </w:r>
    </w:p>
    <w:p w14:paraId="003C99CC" w14:textId="080F51D4" w:rsidR="00B119D5" w:rsidRDefault="00B119D5"/>
    <w:p w14:paraId="7A1B38BB" w14:textId="3BF44A7D" w:rsidR="00B119D5" w:rsidRPr="00E476D3" w:rsidRDefault="00B119D5">
      <w:pPr>
        <w:rPr>
          <w:rFonts w:ascii="Times New Roman" w:hAnsi="Times New Roman" w:cs="Times New Roman"/>
        </w:rPr>
      </w:pPr>
    </w:p>
    <w:p w14:paraId="4EB9C04A" w14:textId="673D4F65" w:rsidR="00B119D5" w:rsidRPr="00E476D3" w:rsidRDefault="00B119D5">
      <w:pPr>
        <w:rPr>
          <w:rFonts w:ascii="Times New Roman" w:hAnsi="Times New Roman" w:cs="Times New Roman"/>
        </w:rPr>
      </w:pPr>
    </w:p>
    <w:p w14:paraId="34FE103B" w14:textId="5293730E" w:rsidR="00B119D5" w:rsidRDefault="00B119D5"/>
    <w:p w14:paraId="44251328" w14:textId="703F0CFE" w:rsidR="00B119D5" w:rsidRDefault="00B119D5"/>
    <w:p w14:paraId="7D6F4F7A" w14:textId="77777777" w:rsidR="007C4D5B" w:rsidRDefault="007C4D5B" w:rsidP="007C4D5B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  <w:r w:rsidRPr="007C4D5B">
        <w:rPr>
          <w:rFonts w:eastAsia="Aptos" w:cs="Arial"/>
          <w:b/>
          <w:bCs/>
          <w:noProof/>
          <w:color w:val="000000"/>
          <w:kern w:val="24"/>
        </w:rPr>
        <w:lastRenderedPageBreak/>
        <w:drawing>
          <wp:inline distT="0" distB="0" distL="0" distR="0" wp14:anchorId="063FF065" wp14:editId="2B2F15D3">
            <wp:extent cx="5868485" cy="4517571"/>
            <wp:effectExtent l="0" t="0" r="0" b="0"/>
            <wp:docPr id="1576421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2174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00449" cy="454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0ECF2" w14:textId="77777777" w:rsidR="007C4D5B" w:rsidRDefault="007C4D5B" w:rsidP="007C4D5B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</w:p>
    <w:p w14:paraId="3515325E" w14:textId="32490065" w:rsidR="00A35EDB" w:rsidRDefault="00A35EDB" w:rsidP="007C4D5B">
      <w:pPr>
        <w:pStyle w:val="NormalWeb"/>
        <w:spacing w:before="0" w:beforeAutospacing="0" w:after="160" w:afterAutospacing="0" w:line="256" w:lineRule="auto"/>
        <w:jc w:val="both"/>
      </w:pPr>
      <w:r>
        <w:rPr>
          <w:rFonts w:eastAsia="Aptos" w:cs="Arial"/>
          <w:b/>
          <w:bCs/>
          <w:color w:val="000000"/>
          <w:kern w:val="24"/>
        </w:rPr>
        <w:t xml:space="preserve">Supplementary Figure 8. 8803 does not alter PD-L2 expression or viability in mouse endothelial cells. </w:t>
      </w:r>
      <w:r>
        <w:rPr>
          <w:rFonts w:eastAsia="Aptos" w:cs="Arial"/>
          <w:color w:val="000000"/>
          <w:kern w:val="24"/>
        </w:rPr>
        <w:t>(</w:t>
      </w:r>
      <w:r>
        <w:rPr>
          <w:rFonts w:eastAsia="Aptos" w:cs="Arial"/>
          <w:b/>
          <w:bCs/>
          <w:color w:val="000000"/>
          <w:kern w:val="24"/>
        </w:rPr>
        <w:t>A</w:t>
      </w:r>
      <w:r>
        <w:rPr>
          <w:rFonts w:eastAsia="Aptos" w:cs="Arial"/>
          <w:color w:val="000000"/>
          <w:kern w:val="24"/>
        </w:rPr>
        <w:t>) FACS analysis of surface PD-L2 expression on bEnd.3 cells following 8803 treatment compared with untreated controls or treatment with IFN</w:t>
      </w:r>
      <w:r>
        <w:rPr>
          <w:rFonts w:eastAsia="Aptos" w:hAnsi="Symbol"/>
          <w:color w:val="000000"/>
          <w:kern w:val="24"/>
        </w:rPr>
        <w:sym w:font="Symbol" w:char="F061"/>
      </w:r>
      <w:r>
        <w:rPr>
          <w:rFonts w:eastAsia="Aptos" w:cs="Arial"/>
          <w:color w:val="000000"/>
          <w:kern w:val="24"/>
        </w:rPr>
        <w:t>, IFN</w:t>
      </w:r>
      <w:r>
        <w:rPr>
          <w:rFonts w:eastAsia="Aptos" w:hAnsi="Symbol"/>
          <w:color w:val="000000"/>
          <w:kern w:val="24"/>
        </w:rPr>
        <w:sym w:font="Symbol" w:char="F062"/>
      </w:r>
      <w:r>
        <w:rPr>
          <w:rFonts w:eastAsia="Aptos" w:cs="Arial"/>
          <w:color w:val="000000"/>
          <w:kern w:val="24"/>
        </w:rPr>
        <w:t>, and IFN</w:t>
      </w:r>
      <w:r>
        <w:rPr>
          <w:rFonts w:eastAsia="Aptos" w:hAnsi="Symbol"/>
          <w:color w:val="000000"/>
          <w:kern w:val="24"/>
        </w:rPr>
        <w:sym w:font="Symbol" w:char="F067"/>
      </w:r>
      <w:r>
        <w:rPr>
          <w:rFonts w:eastAsia="Aptos" w:cs="Arial"/>
          <w:color w:val="000000"/>
          <w:kern w:val="24"/>
        </w:rPr>
        <w:t>. (</w:t>
      </w:r>
      <w:r>
        <w:rPr>
          <w:rFonts w:eastAsia="Aptos" w:cs="Arial"/>
          <w:b/>
          <w:bCs/>
          <w:color w:val="000000"/>
          <w:kern w:val="24"/>
        </w:rPr>
        <w:t>B</w:t>
      </w:r>
      <w:r>
        <w:rPr>
          <w:rFonts w:eastAsia="Aptos" w:cs="Arial"/>
          <w:color w:val="000000"/>
          <w:kern w:val="24"/>
        </w:rPr>
        <w:t>) Cell viability assessed by 7-AAD staining showing no significant increase in cell death after stimulation with 8803. For functional assessment, bEnd.3 cells (</w:t>
      </w:r>
      <w:r>
        <w:rPr>
          <w:rFonts w:eastAsia="Aptos" w:cs="Arial"/>
          <w:b/>
          <w:bCs/>
          <w:color w:val="000000"/>
          <w:kern w:val="24"/>
        </w:rPr>
        <w:t>C</w:t>
      </w:r>
      <w:r>
        <w:rPr>
          <w:rFonts w:eastAsia="Aptos" w:cs="Arial"/>
          <w:color w:val="000000"/>
          <w:kern w:val="24"/>
        </w:rPr>
        <w:t>) and mouse splenocytes (</w:t>
      </w:r>
      <w:r>
        <w:rPr>
          <w:rFonts w:eastAsia="Aptos" w:cs="Arial"/>
          <w:b/>
          <w:bCs/>
          <w:color w:val="000000"/>
          <w:kern w:val="24"/>
        </w:rPr>
        <w:t>D</w:t>
      </w:r>
      <w:r>
        <w:rPr>
          <w:rFonts w:eastAsia="Aptos" w:cs="Arial"/>
          <w:color w:val="000000"/>
          <w:kern w:val="24"/>
        </w:rPr>
        <w:t>) were cultured with or without 10 µg/mL 8803 for 48 hours and 50 ng/ml of IFN</w:t>
      </w:r>
      <w:r>
        <w:rPr>
          <w:rFonts w:eastAsia="Aptos" w:hAnsi="Symbol"/>
          <w:color w:val="000000"/>
          <w:kern w:val="24"/>
        </w:rPr>
        <w:sym w:font="Symbol" w:char="F061"/>
      </w:r>
      <w:r>
        <w:rPr>
          <w:rFonts w:eastAsia="Aptos" w:cs="Arial"/>
          <w:color w:val="000000"/>
          <w:kern w:val="24"/>
        </w:rPr>
        <w:t>, IFN</w:t>
      </w:r>
      <w:r>
        <w:rPr>
          <w:rFonts w:eastAsia="Aptos" w:hAnsi="Symbol"/>
          <w:color w:val="000000"/>
          <w:kern w:val="24"/>
        </w:rPr>
        <w:sym w:font="Symbol" w:char="F062"/>
      </w:r>
      <w:r>
        <w:rPr>
          <w:rFonts w:eastAsia="Aptos" w:cs="Arial"/>
          <w:color w:val="000000"/>
          <w:kern w:val="24"/>
        </w:rPr>
        <w:t>, or IFN</w:t>
      </w:r>
      <w:r>
        <w:rPr>
          <w:rFonts w:eastAsia="Aptos" w:hAnsi="Symbol"/>
          <w:color w:val="000000"/>
          <w:kern w:val="24"/>
        </w:rPr>
        <w:sym w:font="Symbol" w:char="F067"/>
      </w:r>
      <w:r>
        <w:rPr>
          <w:rFonts w:eastAsia="Aptos" w:cs="Arial"/>
          <w:color w:val="000000"/>
          <w:kern w:val="24"/>
        </w:rPr>
        <w:t xml:space="preserve"> for 18 hours. Cell viability was measured using the CellTiter-Glo Luminescent Cell Viability Assay, and luminescence is presented as percent luminescence.</w:t>
      </w:r>
    </w:p>
    <w:p w14:paraId="0992CC49" w14:textId="77777777" w:rsidR="00B119D5" w:rsidRDefault="00B119D5"/>
    <w:p w14:paraId="0E40E6A8" w14:textId="2C42FED5" w:rsidR="00B119D5" w:rsidRDefault="00B119D5"/>
    <w:p w14:paraId="4C977AE1" w14:textId="5F148F25" w:rsidR="00B119D5" w:rsidRDefault="00B119D5"/>
    <w:p w14:paraId="72FFD2EF" w14:textId="77777777" w:rsidR="0086689D" w:rsidRDefault="0086689D"/>
    <w:p w14:paraId="11C12CC7" w14:textId="77777777" w:rsidR="0086689D" w:rsidRDefault="0086689D"/>
    <w:p w14:paraId="386AFC01" w14:textId="5E9D0B69" w:rsidR="000A207F" w:rsidRDefault="000A207F"/>
    <w:p w14:paraId="6730E1CB" w14:textId="0B527DA5" w:rsidR="00181498" w:rsidRDefault="007C4D5B" w:rsidP="005E7841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  <w:r>
        <w:rPr>
          <w:rFonts w:eastAsia="Aptos" w:cs="Arial"/>
          <w:b/>
          <w:bCs/>
          <w:noProof/>
          <w:color w:val="000000"/>
          <w:kern w:val="24"/>
          <w14:ligatures w14:val="standardContextual"/>
        </w:rPr>
        <w:lastRenderedPageBreak/>
        <w:drawing>
          <wp:anchor distT="0" distB="0" distL="114300" distR="114300" simplePos="0" relativeHeight="251658250" behindDoc="0" locked="0" layoutInCell="1" allowOverlap="1" wp14:anchorId="45C82BEA" wp14:editId="54BF3C3D">
            <wp:simplePos x="0" y="0"/>
            <wp:positionH relativeFrom="margin">
              <wp:posOffset>892538</wp:posOffset>
            </wp:positionH>
            <wp:positionV relativeFrom="paragraph">
              <wp:posOffset>250190</wp:posOffset>
            </wp:positionV>
            <wp:extent cx="4030345" cy="2731770"/>
            <wp:effectExtent l="0" t="0" r="0" b="0"/>
            <wp:wrapSquare wrapText="bothSides"/>
            <wp:docPr id="3635285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28511" name="Picture 3635285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345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ECDE8" w14:textId="619424BE" w:rsidR="00181498" w:rsidRDefault="00181498" w:rsidP="005E7841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</w:p>
    <w:p w14:paraId="57478B4D" w14:textId="0C6F0331" w:rsidR="00181498" w:rsidRDefault="00181498" w:rsidP="005E7841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</w:p>
    <w:p w14:paraId="4BFBE058" w14:textId="138C4B5B" w:rsidR="00181498" w:rsidRDefault="00181498" w:rsidP="005E7841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</w:p>
    <w:p w14:paraId="10B7BDBE" w14:textId="77777777" w:rsidR="00181498" w:rsidRDefault="00181498" w:rsidP="005E7841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</w:p>
    <w:p w14:paraId="6AEDF0EC" w14:textId="7E68B795" w:rsidR="00181498" w:rsidRDefault="00181498" w:rsidP="005E7841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</w:p>
    <w:p w14:paraId="5869C3BE" w14:textId="77777777" w:rsidR="00181498" w:rsidRDefault="00181498" w:rsidP="005E7841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</w:p>
    <w:p w14:paraId="1C3D8858" w14:textId="77777777" w:rsidR="00181498" w:rsidRDefault="00181498" w:rsidP="005E7841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</w:p>
    <w:p w14:paraId="5C87AABD" w14:textId="20EEED08" w:rsidR="00181498" w:rsidRDefault="00181498" w:rsidP="005E7841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</w:p>
    <w:p w14:paraId="65BC6EFB" w14:textId="5FE25521" w:rsidR="000A207F" w:rsidRDefault="000A207F"/>
    <w:p w14:paraId="0BED1D11" w14:textId="5E2580EA" w:rsidR="000A207F" w:rsidRDefault="000A207F"/>
    <w:p w14:paraId="5B8E94E8" w14:textId="32B938A5" w:rsidR="00181498" w:rsidRPr="005E7841" w:rsidRDefault="00181498" w:rsidP="00181498">
      <w:pPr>
        <w:pStyle w:val="NormalWeb"/>
        <w:spacing w:before="0" w:beforeAutospacing="0" w:after="160" w:afterAutospacing="0" w:line="256" w:lineRule="auto"/>
        <w:jc w:val="both"/>
        <w:rPr>
          <w:rFonts w:eastAsia="Aptos" w:cs="Arial"/>
          <w:b/>
          <w:bCs/>
          <w:color w:val="000000"/>
          <w:kern w:val="24"/>
        </w:rPr>
      </w:pPr>
      <w:r>
        <w:rPr>
          <w:rFonts w:eastAsia="Aptos" w:cs="Arial"/>
          <w:b/>
          <w:bCs/>
          <w:color w:val="000000"/>
          <w:kern w:val="24"/>
        </w:rPr>
        <w:t xml:space="preserve">Supplementary Figure 9. Flow cytometric analysis of PD-L1 and PD-L2 expression on bEnd.3 cells following 8803 treatment. </w:t>
      </w:r>
      <w:r>
        <w:rPr>
          <w:rFonts w:eastAsia="Aptos" w:cs="Arial"/>
          <w:color w:val="000000"/>
          <w:kern w:val="24"/>
        </w:rPr>
        <w:t>bEnd.3 cells were treated with 8803 for 18 h, after which the treatment was removed, and cells were cultured for additional 24 hours. Surface PD-L1 and PD-L2 expression was then analyzed by FACS.</w:t>
      </w:r>
    </w:p>
    <w:p w14:paraId="5C220ACF" w14:textId="77777777" w:rsidR="0086689D" w:rsidRDefault="0086689D"/>
    <w:p w14:paraId="042AF02C" w14:textId="77777777" w:rsidR="00E6267D" w:rsidRDefault="00E6267D"/>
    <w:p w14:paraId="58096573" w14:textId="77777777" w:rsidR="00E6267D" w:rsidRDefault="00E6267D"/>
    <w:p w14:paraId="6D30F769" w14:textId="77777777" w:rsidR="0086689D" w:rsidRDefault="0086689D"/>
    <w:p w14:paraId="631A04D5" w14:textId="77777777" w:rsidR="0086689D" w:rsidRDefault="0086689D"/>
    <w:p w14:paraId="2444D97C" w14:textId="77777777" w:rsidR="0086689D" w:rsidRDefault="0086689D"/>
    <w:p w14:paraId="5450F739" w14:textId="39F021D9" w:rsidR="0086689D" w:rsidRDefault="0086689D"/>
    <w:p w14:paraId="672511A9" w14:textId="284185C6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2F00F6AA" w14:textId="77777777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4C7C91E3" w14:textId="27EADECA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255B1096" w14:textId="77777777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30F3ADE0" w14:textId="59EFD39B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47BA6555" w14:textId="77777777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0AD8760B" w14:textId="680342B3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6C9E1A23" w14:textId="77777777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0AC0F6EC" w14:textId="77777777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0E0DE95B" w14:textId="77777777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0078F32E" w14:textId="77777777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50932C72" w14:textId="77777777" w:rsidR="00E6267D" w:rsidRDefault="00E6267D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28A489D1" w14:textId="6E40A190" w:rsidR="00E6267D" w:rsidRDefault="007C4D5B" w:rsidP="007C4D5B">
      <w:pPr>
        <w:pStyle w:val="NormalWeb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  <w:r w:rsidRPr="007C4D5B">
        <w:rPr>
          <w:rFonts w:eastAsiaTheme="minorEastAsia"/>
          <w:b/>
          <w:bCs/>
          <w:noProof/>
          <w:color w:val="000000" w:themeColor="text1"/>
          <w:kern w:val="24"/>
        </w:rPr>
        <w:lastRenderedPageBreak/>
        <w:drawing>
          <wp:inline distT="0" distB="0" distL="0" distR="0" wp14:anchorId="4082F5F1" wp14:editId="729CD1BB">
            <wp:extent cx="3702957" cy="1993900"/>
            <wp:effectExtent l="0" t="0" r="0" b="0"/>
            <wp:docPr id="277429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2904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31714" cy="200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A0E1C" w14:textId="77777777" w:rsidR="006F6892" w:rsidRDefault="006F6892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013B14DF" w14:textId="77777777" w:rsidR="006F6892" w:rsidRDefault="006F6892" w:rsidP="00C80834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17A12B62" w14:textId="714F108E" w:rsidR="00C80834" w:rsidRDefault="00C80834" w:rsidP="00C80834">
      <w:pPr>
        <w:pStyle w:val="NormalWeb"/>
        <w:spacing w:before="0" w:beforeAutospacing="0" w:after="0" w:afterAutospacing="0"/>
        <w:jc w:val="both"/>
      </w:pPr>
      <w:r>
        <w:rPr>
          <w:rFonts w:eastAsiaTheme="minorEastAsia"/>
          <w:b/>
          <w:bCs/>
          <w:color w:val="000000" w:themeColor="text1"/>
          <w:kern w:val="24"/>
        </w:rPr>
        <w:t>Supplementary Figure 10.</w:t>
      </w:r>
      <w:r>
        <w:rPr>
          <w:rFonts w:eastAsia="Calibri"/>
          <w:b/>
          <w:bCs/>
          <w:color w:val="000000" w:themeColor="text1"/>
          <w:kern w:val="24"/>
        </w:rPr>
        <w:t xml:space="preserve"> </w:t>
      </w:r>
      <w:r>
        <w:rPr>
          <w:rFonts w:eastAsia="Calibri"/>
          <w:b/>
          <w:bCs/>
          <w:color w:val="000000" w:themeColor="text1"/>
          <w:kern w:val="2"/>
        </w:rPr>
        <w:t xml:space="preserve">Evaluation of 8803 effect on cell viability of HUVECs and human PBMCs. </w:t>
      </w:r>
      <w:r>
        <w:rPr>
          <w:rFonts w:eastAsia="Calibri"/>
          <w:color w:val="000000" w:themeColor="text1"/>
          <w:kern w:val="2"/>
        </w:rPr>
        <w:t>Luminescence was measured after 48 hours</w:t>
      </w:r>
      <w:r>
        <w:rPr>
          <w:rFonts w:eastAsia="Calibri"/>
          <w:color w:val="FF0000"/>
          <w:kern w:val="2"/>
        </w:rPr>
        <w:t xml:space="preserve"> </w:t>
      </w:r>
      <w:r>
        <w:rPr>
          <w:rFonts w:eastAsia="Calibri"/>
          <w:color w:val="000000" w:themeColor="text1"/>
          <w:kern w:val="2"/>
        </w:rPr>
        <w:t>in the presence or absence of 10 µg/mL of 8803. HUVECs (</w:t>
      </w:r>
      <w:r>
        <w:rPr>
          <w:rFonts w:eastAsia="Calibri"/>
          <w:b/>
          <w:bCs/>
          <w:color w:val="000000" w:themeColor="text1"/>
          <w:kern w:val="2"/>
        </w:rPr>
        <w:t>A</w:t>
      </w:r>
      <w:r>
        <w:rPr>
          <w:rFonts w:eastAsia="Calibri"/>
          <w:color w:val="000000" w:themeColor="text1"/>
          <w:kern w:val="2"/>
        </w:rPr>
        <w:t>) PBMCs from healthy donor (</w:t>
      </w:r>
      <w:r>
        <w:rPr>
          <w:rFonts w:eastAsia="Calibri"/>
          <w:b/>
          <w:bCs/>
          <w:color w:val="000000" w:themeColor="text1"/>
          <w:kern w:val="2"/>
        </w:rPr>
        <w:t>B</w:t>
      </w:r>
      <w:r>
        <w:rPr>
          <w:rFonts w:eastAsia="Calibri"/>
          <w:color w:val="000000" w:themeColor="text1"/>
          <w:kern w:val="2"/>
        </w:rPr>
        <w:t>). Percentage of luminescence (using t</w:t>
      </w:r>
      <w:r>
        <w:rPr>
          <w:rFonts w:eastAsiaTheme="minorEastAsia"/>
          <w:color w:val="000000" w:themeColor="text1"/>
          <w:kern w:val="24"/>
        </w:rPr>
        <w:t>he CellTiter-Glo Luminescent Cell Viability Assay)</w:t>
      </w:r>
      <w:r>
        <w:rPr>
          <w:rFonts w:eastAsia="Calibri"/>
          <w:color w:val="000000" w:themeColor="text1"/>
          <w:kern w:val="2"/>
        </w:rPr>
        <w:t xml:space="preserve"> shown on the y-axis. </w:t>
      </w:r>
    </w:p>
    <w:p w14:paraId="647760B5" w14:textId="1D0A03CE" w:rsidR="00B119D5" w:rsidRDefault="00B119D5" w:rsidP="00C80834"/>
    <w:p w14:paraId="795090C8" w14:textId="1DB2BC56" w:rsidR="00B119D5" w:rsidRPr="004A6F46" w:rsidRDefault="00B119D5"/>
    <w:sectPr w:rsidR="00B119D5" w:rsidRPr="004A6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40477" w14:textId="77777777" w:rsidR="001F56E1" w:rsidRDefault="001F56E1" w:rsidP="000B2726">
      <w:pPr>
        <w:spacing w:after="0" w:line="240" w:lineRule="auto"/>
      </w:pPr>
      <w:r>
        <w:separator/>
      </w:r>
    </w:p>
  </w:endnote>
  <w:endnote w:type="continuationSeparator" w:id="0">
    <w:p w14:paraId="6F49B8AE" w14:textId="77777777" w:rsidR="001F56E1" w:rsidRDefault="001F56E1" w:rsidP="000B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+mn-cs">
    <w:panose1 w:val="020B0604020202020204"/>
    <w:charset w:val="00"/>
    <w:family w:val="roman"/>
    <w:notTrueType/>
    <w:pitch w:val="default"/>
  </w:font>
  <w:font w:name="+mn-ea"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5BC31" w14:textId="77777777" w:rsidR="001F56E1" w:rsidRDefault="001F56E1" w:rsidP="000B2726">
      <w:pPr>
        <w:spacing w:after="0" w:line="240" w:lineRule="auto"/>
      </w:pPr>
      <w:r>
        <w:separator/>
      </w:r>
    </w:p>
  </w:footnote>
  <w:footnote w:type="continuationSeparator" w:id="0">
    <w:p w14:paraId="701FEB46" w14:textId="77777777" w:rsidR="001F56E1" w:rsidRDefault="001F56E1" w:rsidP="000B2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43350"/>
    <w:multiLevelType w:val="hybridMultilevel"/>
    <w:tmpl w:val="EF7E6E9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131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46"/>
    <w:rsid w:val="000153A3"/>
    <w:rsid w:val="00017E1C"/>
    <w:rsid w:val="00031C2B"/>
    <w:rsid w:val="00035D5C"/>
    <w:rsid w:val="00036349"/>
    <w:rsid w:val="000366C0"/>
    <w:rsid w:val="00040157"/>
    <w:rsid w:val="000415CA"/>
    <w:rsid w:val="00046E5E"/>
    <w:rsid w:val="00057322"/>
    <w:rsid w:val="00071914"/>
    <w:rsid w:val="00071B75"/>
    <w:rsid w:val="00072C87"/>
    <w:rsid w:val="00073019"/>
    <w:rsid w:val="0008318C"/>
    <w:rsid w:val="000A207F"/>
    <w:rsid w:val="000A4E56"/>
    <w:rsid w:val="000B2726"/>
    <w:rsid w:val="000D6E48"/>
    <w:rsid w:val="000F2DC3"/>
    <w:rsid w:val="001116C8"/>
    <w:rsid w:val="0012750F"/>
    <w:rsid w:val="00127D90"/>
    <w:rsid w:val="00134733"/>
    <w:rsid w:val="00137906"/>
    <w:rsid w:val="001550E2"/>
    <w:rsid w:val="00160B52"/>
    <w:rsid w:val="001638E7"/>
    <w:rsid w:val="00163B1A"/>
    <w:rsid w:val="00166DA2"/>
    <w:rsid w:val="00171FDB"/>
    <w:rsid w:val="00176AF7"/>
    <w:rsid w:val="0018072A"/>
    <w:rsid w:val="00181378"/>
    <w:rsid w:val="00181498"/>
    <w:rsid w:val="0019331E"/>
    <w:rsid w:val="00196218"/>
    <w:rsid w:val="001A4FDD"/>
    <w:rsid w:val="001B3237"/>
    <w:rsid w:val="001B6EEB"/>
    <w:rsid w:val="001D15EF"/>
    <w:rsid w:val="001D3B3F"/>
    <w:rsid w:val="001E15D2"/>
    <w:rsid w:val="001E2FAE"/>
    <w:rsid w:val="001E5481"/>
    <w:rsid w:val="001E60A6"/>
    <w:rsid w:val="001F5433"/>
    <w:rsid w:val="001F56E1"/>
    <w:rsid w:val="00213B41"/>
    <w:rsid w:val="00216CF1"/>
    <w:rsid w:val="00216D56"/>
    <w:rsid w:val="00221A3F"/>
    <w:rsid w:val="00232560"/>
    <w:rsid w:val="0023385C"/>
    <w:rsid w:val="00240A28"/>
    <w:rsid w:val="00265475"/>
    <w:rsid w:val="0028210C"/>
    <w:rsid w:val="0029119F"/>
    <w:rsid w:val="002A1A77"/>
    <w:rsid w:val="002A774F"/>
    <w:rsid w:val="002B3649"/>
    <w:rsid w:val="002C7BDF"/>
    <w:rsid w:val="002E3212"/>
    <w:rsid w:val="00310289"/>
    <w:rsid w:val="0032059E"/>
    <w:rsid w:val="003210F2"/>
    <w:rsid w:val="00321377"/>
    <w:rsid w:val="00326F4D"/>
    <w:rsid w:val="00331AF5"/>
    <w:rsid w:val="00334D0E"/>
    <w:rsid w:val="003411D1"/>
    <w:rsid w:val="00341F49"/>
    <w:rsid w:val="003463F5"/>
    <w:rsid w:val="00357863"/>
    <w:rsid w:val="00364C73"/>
    <w:rsid w:val="003677D7"/>
    <w:rsid w:val="00372A0B"/>
    <w:rsid w:val="003757E7"/>
    <w:rsid w:val="00383E3C"/>
    <w:rsid w:val="003857CA"/>
    <w:rsid w:val="00387BB0"/>
    <w:rsid w:val="0039203F"/>
    <w:rsid w:val="003A708C"/>
    <w:rsid w:val="003B1A06"/>
    <w:rsid w:val="003B6105"/>
    <w:rsid w:val="003D011E"/>
    <w:rsid w:val="003D286B"/>
    <w:rsid w:val="003D7B20"/>
    <w:rsid w:val="003E4D3B"/>
    <w:rsid w:val="003E7C90"/>
    <w:rsid w:val="003F45C7"/>
    <w:rsid w:val="0040291A"/>
    <w:rsid w:val="00405DE5"/>
    <w:rsid w:val="00406C42"/>
    <w:rsid w:val="00406C73"/>
    <w:rsid w:val="004103AF"/>
    <w:rsid w:val="00413DAB"/>
    <w:rsid w:val="00427A68"/>
    <w:rsid w:val="00434D04"/>
    <w:rsid w:val="004353D5"/>
    <w:rsid w:val="00441865"/>
    <w:rsid w:val="00444614"/>
    <w:rsid w:val="0044543F"/>
    <w:rsid w:val="004475A6"/>
    <w:rsid w:val="004503B9"/>
    <w:rsid w:val="00450BA6"/>
    <w:rsid w:val="0047245D"/>
    <w:rsid w:val="00476AE5"/>
    <w:rsid w:val="0048096A"/>
    <w:rsid w:val="004A1302"/>
    <w:rsid w:val="004A1D78"/>
    <w:rsid w:val="004A6F46"/>
    <w:rsid w:val="004B4471"/>
    <w:rsid w:val="004B53DC"/>
    <w:rsid w:val="004C39E5"/>
    <w:rsid w:val="004D06E9"/>
    <w:rsid w:val="004D3DC8"/>
    <w:rsid w:val="004D3FA2"/>
    <w:rsid w:val="004D4B99"/>
    <w:rsid w:val="004D5286"/>
    <w:rsid w:val="004E36F0"/>
    <w:rsid w:val="0050485B"/>
    <w:rsid w:val="005062F4"/>
    <w:rsid w:val="0051218B"/>
    <w:rsid w:val="005429FB"/>
    <w:rsid w:val="0054320E"/>
    <w:rsid w:val="00544925"/>
    <w:rsid w:val="00546212"/>
    <w:rsid w:val="00553AC2"/>
    <w:rsid w:val="00564B6F"/>
    <w:rsid w:val="0057744A"/>
    <w:rsid w:val="005825BD"/>
    <w:rsid w:val="00583ED4"/>
    <w:rsid w:val="0059424F"/>
    <w:rsid w:val="005960E0"/>
    <w:rsid w:val="005A004D"/>
    <w:rsid w:val="005A20BE"/>
    <w:rsid w:val="005A2BA3"/>
    <w:rsid w:val="005A46F1"/>
    <w:rsid w:val="005B0FAA"/>
    <w:rsid w:val="005B4582"/>
    <w:rsid w:val="005C4EF4"/>
    <w:rsid w:val="005C58BD"/>
    <w:rsid w:val="005D30FB"/>
    <w:rsid w:val="005E4B1F"/>
    <w:rsid w:val="005E7841"/>
    <w:rsid w:val="005F317C"/>
    <w:rsid w:val="005F39B3"/>
    <w:rsid w:val="005F4D4B"/>
    <w:rsid w:val="005F76EB"/>
    <w:rsid w:val="006029D2"/>
    <w:rsid w:val="00610D59"/>
    <w:rsid w:val="00611215"/>
    <w:rsid w:val="006230D7"/>
    <w:rsid w:val="00634895"/>
    <w:rsid w:val="00645A24"/>
    <w:rsid w:val="00646D1A"/>
    <w:rsid w:val="0065790F"/>
    <w:rsid w:val="006623B9"/>
    <w:rsid w:val="006627B8"/>
    <w:rsid w:val="0066370F"/>
    <w:rsid w:val="00672022"/>
    <w:rsid w:val="00676231"/>
    <w:rsid w:val="00686C8A"/>
    <w:rsid w:val="00686D59"/>
    <w:rsid w:val="006873AD"/>
    <w:rsid w:val="006A0718"/>
    <w:rsid w:val="006A4888"/>
    <w:rsid w:val="006A5DCC"/>
    <w:rsid w:val="006A73A9"/>
    <w:rsid w:val="006D55EE"/>
    <w:rsid w:val="006F11A7"/>
    <w:rsid w:val="006F53CE"/>
    <w:rsid w:val="006F6892"/>
    <w:rsid w:val="00713183"/>
    <w:rsid w:val="007134D3"/>
    <w:rsid w:val="00721A0D"/>
    <w:rsid w:val="00721C55"/>
    <w:rsid w:val="007301E5"/>
    <w:rsid w:val="00735AFB"/>
    <w:rsid w:val="00736930"/>
    <w:rsid w:val="00740360"/>
    <w:rsid w:val="0075021A"/>
    <w:rsid w:val="007631F3"/>
    <w:rsid w:val="00770BBC"/>
    <w:rsid w:val="0079178A"/>
    <w:rsid w:val="0079407F"/>
    <w:rsid w:val="007A1610"/>
    <w:rsid w:val="007A6E83"/>
    <w:rsid w:val="007C1521"/>
    <w:rsid w:val="007C4D5B"/>
    <w:rsid w:val="007C5164"/>
    <w:rsid w:val="007D2E63"/>
    <w:rsid w:val="007F3CE8"/>
    <w:rsid w:val="007F71E6"/>
    <w:rsid w:val="008041F2"/>
    <w:rsid w:val="008054CF"/>
    <w:rsid w:val="00811C33"/>
    <w:rsid w:val="00812AC0"/>
    <w:rsid w:val="00817E58"/>
    <w:rsid w:val="00823658"/>
    <w:rsid w:val="00826186"/>
    <w:rsid w:val="008371BF"/>
    <w:rsid w:val="00842338"/>
    <w:rsid w:val="00844BC3"/>
    <w:rsid w:val="00844D99"/>
    <w:rsid w:val="00850838"/>
    <w:rsid w:val="00862D80"/>
    <w:rsid w:val="00862E33"/>
    <w:rsid w:val="008642DB"/>
    <w:rsid w:val="0086689D"/>
    <w:rsid w:val="00890F9D"/>
    <w:rsid w:val="00892332"/>
    <w:rsid w:val="008A0CCE"/>
    <w:rsid w:val="008A13C2"/>
    <w:rsid w:val="008A64B1"/>
    <w:rsid w:val="008B1400"/>
    <w:rsid w:val="008B2D45"/>
    <w:rsid w:val="008B3821"/>
    <w:rsid w:val="008D3482"/>
    <w:rsid w:val="008E17F8"/>
    <w:rsid w:val="00910D4A"/>
    <w:rsid w:val="00910FA0"/>
    <w:rsid w:val="00913D89"/>
    <w:rsid w:val="00914F49"/>
    <w:rsid w:val="00916B84"/>
    <w:rsid w:val="00916BB4"/>
    <w:rsid w:val="009260C2"/>
    <w:rsid w:val="009330FE"/>
    <w:rsid w:val="0093778C"/>
    <w:rsid w:val="00937B19"/>
    <w:rsid w:val="009412A7"/>
    <w:rsid w:val="00941568"/>
    <w:rsid w:val="00952FB2"/>
    <w:rsid w:val="00953650"/>
    <w:rsid w:val="00962A54"/>
    <w:rsid w:val="00980667"/>
    <w:rsid w:val="00983578"/>
    <w:rsid w:val="00996524"/>
    <w:rsid w:val="009A3502"/>
    <w:rsid w:val="009D74EE"/>
    <w:rsid w:val="009E19B8"/>
    <w:rsid w:val="009E2A86"/>
    <w:rsid w:val="009F0228"/>
    <w:rsid w:val="00A07BAA"/>
    <w:rsid w:val="00A22D5E"/>
    <w:rsid w:val="00A35EDB"/>
    <w:rsid w:val="00A41A4D"/>
    <w:rsid w:val="00A41BE3"/>
    <w:rsid w:val="00A43B2F"/>
    <w:rsid w:val="00A44CEB"/>
    <w:rsid w:val="00A5041F"/>
    <w:rsid w:val="00A52FCB"/>
    <w:rsid w:val="00A53511"/>
    <w:rsid w:val="00A5714D"/>
    <w:rsid w:val="00A734AB"/>
    <w:rsid w:val="00A737F4"/>
    <w:rsid w:val="00A81323"/>
    <w:rsid w:val="00A84763"/>
    <w:rsid w:val="00A92E14"/>
    <w:rsid w:val="00A9567E"/>
    <w:rsid w:val="00A97D7C"/>
    <w:rsid w:val="00AA0FA9"/>
    <w:rsid w:val="00AA13A7"/>
    <w:rsid w:val="00AA22D2"/>
    <w:rsid w:val="00AB031D"/>
    <w:rsid w:val="00AB56DC"/>
    <w:rsid w:val="00AB5C74"/>
    <w:rsid w:val="00AC296A"/>
    <w:rsid w:val="00AD5853"/>
    <w:rsid w:val="00AE4006"/>
    <w:rsid w:val="00AE57C1"/>
    <w:rsid w:val="00AE636D"/>
    <w:rsid w:val="00AE6FC4"/>
    <w:rsid w:val="00AF3579"/>
    <w:rsid w:val="00B04EBB"/>
    <w:rsid w:val="00B119D5"/>
    <w:rsid w:val="00B15C1A"/>
    <w:rsid w:val="00B23DF8"/>
    <w:rsid w:val="00B3248E"/>
    <w:rsid w:val="00B57819"/>
    <w:rsid w:val="00B73F4A"/>
    <w:rsid w:val="00B800AE"/>
    <w:rsid w:val="00BA2F8D"/>
    <w:rsid w:val="00BA5C52"/>
    <w:rsid w:val="00BB001C"/>
    <w:rsid w:val="00BB0BE2"/>
    <w:rsid w:val="00BB2533"/>
    <w:rsid w:val="00BC067D"/>
    <w:rsid w:val="00BC2AB8"/>
    <w:rsid w:val="00BC648A"/>
    <w:rsid w:val="00BD2D69"/>
    <w:rsid w:val="00BD7A3F"/>
    <w:rsid w:val="00BE0051"/>
    <w:rsid w:val="00BE13FC"/>
    <w:rsid w:val="00BE300F"/>
    <w:rsid w:val="00BF1BEF"/>
    <w:rsid w:val="00C029C5"/>
    <w:rsid w:val="00C03AB8"/>
    <w:rsid w:val="00C20945"/>
    <w:rsid w:val="00C27788"/>
    <w:rsid w:val="00C30235"/>
    <w:rsid w:val="00C3069C"/>
    <w:rsid w:val="00C33368"/>
    <w:rsid w:val="00C573F0"/>
    <w:rsid w:val="00C6250B"/>
    <w:rsid w:val="00C63A84"/>
    <w:rsid w:val="00C80834"/>
    <w:rsid w:val="00C841A7"/>
    <w:rsid w:val="00C852A8"/>
    <w:rsid w:val="00C86D2F"/>
    <w:rsid w:val="00CA0241"/>
    <w:rsid w:val="00CA3501"/>
    <w:rsid w:val="00CA70D9"/>
    <w:rsid w:val="00CB73E1"/>
    <w:rsid w:val="00CC073B"/>
    <w:rsid w:val="00CC252C"/>
    <w:rsid w:val="00CC2F48"/>
    <w:rsid w:val="00CD08B9"/>
    <w:rsid w:val="00CD1D5B"/>
    <w:rsid w:val="00CD515B"/>
    <w:rsid w:val="00CE3A6D"/>
    <w:rsid w:val="00CE3A99"/>
    <w:rsid w:val="00CF7598"/>
    <w:rsid w:val="00D06BC3"/>
    <w:rsid w:val="00D11E90"/>
    <w:rsid w:val="00D14F3E"/>
    <w:rsid w:val="00D173C9"/>
    <w:rsid w:val="00D201E7"/>
    <w:rsid w:val="00D22468"/>
    <w:rsid w:val="00D25ED8"/>
    <w:rsid w:val="00D26B68"/>
    <w:rsid w:val="00D30F0D"/>
    <w:rsid w:val="00D34078"/>
    <w:rsid w:val="00D34132"/>
    <w:rsid w:val="00D34A5A"/>
    <w:rsid w:val="00D36CCE"/>
    <w:rsid w:val="00D46D73"/>
    <w:rsid w:val="00D56FD1"/>
    <w:rsid w:val="00D57E92"/>
    <w:rsid w:val="00D608F3"/>
    <w:rsid w:val="00D674DC"/>
    <w:rsid w:val="00D73472"/>
    <w:rsid w:val="00D835A7"/>
    <w:rsid w:val="00D84F1C"/>
    <w:rsid w:val="00D93CA5"/>
    <w:rsid w:val="00DA6260"/>
    <w:rsid w:val="00DB2114"/>
    <w:rsid w:val="00DC01D9"/>
    <w:rsid w:val="00DC1EAC"/>
    <w:rsid w:val="00DC5922"/>
    <w:rsid w:val="00DF0CB8"/>
    <w:rsid w:val="00E028FE"/>
    <w:rsid w:val="00E11F13"/>
    <w:rsid w:val="00E17468"/>
    <w:rsid w:val="00E21664"/>
    <w:rsid w:val="00E2693B"/>
    <w:rsid w:val="00E27C80"/>
    <w:rsid w:val="00E350A9"/>
    <w:rsid w:val="00E476D3"/>
    <w:rsid w:val="00E52A38"/>
    <w:rsid w:val="00E560ED"/>
    <w:rsid w:val="00E571AD"/>
    <w:rsid w:val="00E6267D"/>
    <w:rsid w:val="00E63741"/>
    <w:rsid w:val="00E647F5"/>
    <w:rsid w:val="00E64CA6"/>
    <w:rsid w:val="00E743F5"/>
    <w:rsid w:val="00E85658"/>
    <w:rsid w:val="00EA72A6"/>
    <w:rsid w:val="00EB19D9"/>
    <w:rsid w:val="00EB235A"/>
    <w:rsid w:val="00ED0638"/>
    <w:rsid w:val="00ED27F1"/>
    <w:rsid w:val="00F00946"/>
    <w:rsid w:val="00F06F8B"/>
    <w:rsid w:val="00F1297F"/>
    <w:rsid w:val="00F13134"/>
    <w:rsid w:val="00F23D62"/>
    <w:rsid w:val="00F27366"/>
    <w:rsid w:val="00F4117E"/>
    <w:rsid w:val="00F41956"/>
    <w:rsid w:val="00F5004E"/>
    <w:rsid w:val="00F544C2"/>
    <w:rsid w:val="00F54D29"/>
    <w:rsid w:val="00F7697D"/>
    <w:rsid w:val="00F943BE"/>
    <w:rsid w:val="00F94BC9"/>
    <w:rsid w:val="00F97BE1"/>
    <w:rsid w:val="00FA0E85"/>
    <w:rsid w:val="00FA0F84"/>
    <w:rsid w:val="00FA1B07"/>
    <w:rsid w:val="00FC09D7"/>
    <w:rsid w:val="00FC49E3"/>
    <w:rsid w:val="00FD026F"/>
    <w:rsid w:val="00FD232C"/>
    <w:rsid w:val="00FD79A7"/>
    <w:rsid w:val="00FE12C9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3D91C0"/>
  <w15:chartTrackingRefBased/>
  <w15:docId w15:val="{BE262281-DA87-4160-A455-2A245A8E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F4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F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F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F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F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F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F4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F4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F4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F4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F4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F4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A6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F4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A6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F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2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E3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3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32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21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2A38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B2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72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B2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72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image" Target="media/image9.tif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tiff"/><Relationship Id="rId19" Type="http://schemas.openxmlformats.org/officeDocument/2006/relationships/image" Target="media/image10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1445c1-1a2e-4ff1-88ac-03d4f86f0727" xsi:nil="true"/>
    <lcf76f155ced4ddcb4097134ff3c332f xmlns="00172b72-cd54-4def-9425-34bc7841c29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FDBD969463F4BB0FBED7B4F7F7734" ma:contentTypeVersion="12" ma:contentTypeDescription="Create a new document." ma:contentTypeScope="" ma:versionID="46b67cb887a733bc8f7c41d57e5f4808">
  <xsd:schema xmlns:xsd="http://www.w3.org/2001/XMLSchema" xmlns:xs="http://www.w3.org/2001/XMLSchema" xmlns:p="http://schemas.microsoft.com/office/2006/metadata/properties" xmlns:ns2="741445c1-1a2e-4ff1-88ac-03d4f86f0727" xmlns:ns3="00172b72-cd54-4def-9425-34bc7841c29a" targetNamespace="http://schemas.microsoft.com/office/2006/metadata/properties" ma:root="true" ma:fieldsID="a73c6cb98f595decea0152ab490aed8f" ns2:_="" ns3:_="">
    <xsd:import namespace="741445c1-1a2e-4ff1-88ac-03d4f86f0727"/>
    <xsd:import namespace="00172b72-cd54-4def-9425-34bc7841c2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445c1-1a2e-4ff1-88ac-03d4f86f07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17e6472-1fd4-4d94-bdee-1c366c7d9f0a}" ma:internalName="TaxCatchAll" ma:showField="CatchAllData" ma:web="741445c1-1a2e-4ff1-88ac-03d4f86f0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72b72-cd54-4def-9425-34bc7841c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47f2539-986c-42e9-90ca-c380e588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25B5E-ED6B-46E4-978F-D6590831DF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4C02A3-B4D8-4B93-8BF8-24C71631D48F}">
  <ds:schemaRefs>
    <ds:schemaRef ds:uri="http://schemas.microsoft.com/office/2006/metadata/properties"/>
    <ds:schemaRef ds:uri="http://schemas.microsoft.com/office/infopath/2007/PartnerControls"/>
    <ds:schemaRef ds:uri="741445c1-1a2e-4ff1-88ac-03d4f86f0727"/>
    <ds:schemaRef ds:uri="00172b72-cd54-4def-9425-34bc7841c29a"/>
  </ds:schemaRefs>
</ds:datastoreItem>
</file>

<file path=customXml/itemProps3.xml><?xml version="1.0" encoding="utf-8"?>
<ds:datastoreItem xmlns:ds="http://schemas.openxmlformats.org/officeDocument/2006/customXml" ds:itemID="{53F42CB0-E8DF-419C-BA84-C751EE794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445c1-1a2e-4ff1-88ac-03d4f86f0727"/>
    <ds:schemaRef ds:uri="00172b72-cd54-4def-9425-34bc7841c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 Salameh</dc:creator>
  <cp:keywords/>
  <dc:description/>
  <cp:lastModifiedBy>Federica Cavallo</cp:lastModifiedBy>
  <cp:revision>2</cp:revision>
  <dcterms:created xsi:type="dcterms:W3CDTF">2026-03-26T17:15:00Z</dcterms:created>
  <dcterms:modified xsi:type="dcterms:W3CDTF">2026-03-26T17:15:00Z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0x010100D00FDBD969463F4BB0FBED7B4F7F7734</vt:lpwstr>
  </property>
  <property fmtid="{D5CDD505-2E9C-101B-9397-08002B2CF9AE}" pid="3" name="MediaServiceImageTags">
    <vt:lpwstr/>
  </property>
</Properties>
</file>