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3EA9D">
      <w:pPr>
        <w:jc w:val="left"/>
        <w:rPr>
          <w:rFonts w:hint="default" w:ascii="Times New Roman" w:hAnsi="Times New Roman" w:cs="Times New Roman" w:eastAsiaTheme="minorEastAsia"/>
          <w:b/>
          <w:szCs w:val="21"/>
          <w:lang w:val="en-US" w:eastAsia="zh-CN"/>
        </w:rPr>
      </w:pPr>
      <w:bookmarkStart w:id="0" w:name="OLE_LINK1"/>
      <w:bookmarkStart w:id="1" w:name="OLE_LINK2"/>
      <w:r>
        <w:rPr>
          <w:rFonts w:hint="eastAsia" w:ascii="Times New Roman" w:hAnsi="Times New Roman" w:cs="Times New Roman"/>
          <w:b/>
          <w:szCs w:val="21"/>
          <w:lang w:val="en-US" w:eastAsia="zh-CN"/>
        </w:rPr>
        <w:t>Supplementary Materials</w:t>
      </w:r>
    </w:p>
    <w:p w14:paraId="23D7373A">
      <w:pPr>
        <w:jc w:val="center"/>
        <w:rPr>
          <w:rFonts w:ascii="Times New Roman" w:hAnsi="Times New Roman" w:cs="Times New Roman"/>
          <w:b/>
          <w:szCs w:val="21"/>
        </w:rPr>
      </w:pPr>
      <w:r>
        <w:rPr>
          <w:rFonts w:ascii="Times New Roman" w:hAnsi="Times New Roman" w:cs="Times New Roman"/>
          <w:b/>
          <w:szCs w:val="21"/>
        </w:rPr>
        <w:t>K</w:t>
      </w:r>
      <w:r>
        <w:rPr>
          <w:rFonts w:hint="eastAsia" w:ascii="Times New Roman" w:hAnsi="Times New Roman" w:cs="Times New Roman"/>
          <w:b/>
          <w:szCs w:val="21"/>
        </w:rPr>
        <w:t>lf</w:t>
      </w:r>
      <w:r>
        <w:rPr>
          <w:rFonts w:ascii="Times New Roman" w:hAnsi="Times New Roman" w:cs="Times New Roman"/>
          <w:b/>
          <w:szCs w:val="21"/>
        </w:rPr>
        <w:t>4</w:t>
      </w:r>
      <w:r>
        <w:rPr>
          <w:rFonts w:hint="eastAsia" w:ascii="Times New Roman" w:hAnsi="Times New Roman" w:cs="Times New Roman"/>
          <w:b/>
          <w:szCs w:val="21"/>
        </w:rPr>
        <w:t>-</w:t>
      </w:r>
      <w:r>
        <w:rPr>
          <w:rFonts w:ascii="Times New Roman" w:hAnsi="Times New Roman" w:cs="Times New Roman"/>
          <w:b/>
          <w:szCs w:val="21"/>
        </w:rPr>
        <w:t>T</w:t>
      </w:r>
      <w:r>
        <w:rPr>
          <w:rFonts w:hint="eastAsia" w:ascii="Times New Roman" w:hAnsi="Times New Roman" w:cs="Times New Roman"/>
          <w:b/>
          <w:szCs w:val="21"/>
        </w:rPr>
        <w:t>ymp</w:t>
      </w:r>
      <w:r>
        <w:rPr>
          <w:rFonts w:ascii="Times New Roman" w:hAnsi="Times New Roman" w:cs="Times New Roman"/>
          <w:b/>
          <w:szCs w:val="21"/>
        </w:rPr>
        <w:t xml:space="preserve"> Axis </w:t>
      </w:r>
      <w:r>
        <w:rPr>
          <w:rFonts w:hint="eastAsia" w:ascii="Times New Roman" w:hAnsi="Times New Roman" w:cs="Times New Roman"/>
          <w:b/>
          <w:szCs w:val="21"/>
        </w:rPr>
        <w:t>Promote</w:t>
      </w:r>
      <w:r>
        <w:rPr>
          <w:rFonts w:ascii="Times New Roman" w:hAnsi="Times New Roman" w:cs="Times New Roman"/>
          <w:b/>
          <w:szCs w:val="21"/>
        </w:rPr>
        <w:t xml:space="preserve">s </w:t>
      </w:r>
      <w:r>
        <w:rPr>
          <w:rFonts w:hint="eastAsia" w:ascii="Times New Roman" w:hAnsi="Times New Roman" w:cs="Times New Roman"/>
          <w:b/>
          <w:szCs w:val="21"/>
          <w:lang w:val="en-US" w:eastAsia="zh-CN"/>
        </w:rPr>
        <w:t>Inflammation-driven</w:t>
      </w:r>
      <w:r>
        <w:rPr>
          <w:rFonts w:hint="eastAsia" w:ascii="Times New Roman" w:hAnsi="Times New Roman" w:cs="Times New Roman"/>
          <w:b/>
          <w:szCs w:val="21"/>
        </w:rPr>
        <w:t xml:space="preserve"> </w:t>
      </w:r>
      <w:r>
        <w:rPr>
          <w:rFonts w:ascii="Times New Roman" w:hAnsi="Times New Roman" w:cs="Times New Roman"/>
          <w:b/>
          <w:szCs w:val="21"/>
        </w:rPr>
        <w:t>Early Tumorigenesis by Enhancing Kras</w:t>
      </w:r>
      <w:r>
        <w:rPr>
          <w:rFonts w:hint="eastAsia" w:ascii="Times New Roman" w:hAnsi="Times New Roman" w:cs="Times New Roman"/>
          <w:b/>
          <w:szCs w:val="21"/>
        </w:rPr>
        <w:t xml:space="preserve"> Mutation</w:t>
      </w:r>
      <w:r>
        <w:rPr>
          <w:rFonts w:ascii="Times New Roman" w:hAnsi="Times New Roman" w:cs="Times New Roman"/>
          <w:b/>
          <w:szCs w:val="21"/>
        </w:rPr>
        <w:t>-Induced Acinar-to-Ductal Metaplasia Through P</w:t>
      </w:r>
      <w:r>
        <w:rPr>
          <w:rFonts w:hint="eastAsia" w:ascii="Times New Roman" w:hAnsi="Times New Roman" w:cs="Times New Roman"/>
          <w:b/>
          <w:szCs w:val="21"/>
        </w:rPr>
        <w:t>i3k</w:t>
      </w:r>
      <w:r>
        <w:rPr>
          <w:rFonts w:ascii="Times New Roman" w:hAnsi="Times New Roman" w:cs="Times New Roman"/>
          <w:b/>
          <w:szCs w:val="21"/>
        </w:rPr>
        <w:t>/A</w:t>
      </w:r>
      <w:r>
        <w:rPr>
          <w:rFonts w:hint="eastAsia" w:ascii="Times New Roman" w:hAnsi="Times New Roman" w:cs="Times New Roman"/>
          <w:b/>
          <w:szCs w:val="21"/>
        </w:rPr>
        <w:t>kt</w:t>
      </w:r>
      <w:r>
        <w:rPr>
          <w:rFonts w:ascii="Times New Roman" w:hAnsi="Times New Roman" w:cs="Times New Roman"/>
          <w:b/>
          <w:szCs w:val="21"/>
        </w:rPr>
        <w:t xml:space="preserve"> and M</w:t>
      </w:r>
      <w:r>
        <w:rPr>
          <w:rFonts w:hint="eastAsia" w:ascii="Times New Roman" w:hAnsi="Times New Roman" w:cs="Times New Roman"/>
          <w:b/>
          <w:szCs w:val="21"/>
        </w:rPr>
        <w:t>ek</w:t>
      </w:r>
      <w:r>
        <w:rPr>
          <w:rFonts w:ascii="Times New Roman" w:hAnsi="Times New Roman" w:cs="Times New Roman"/>
          <w:b/>
          <w:szCs w:val="21"/>
        </w:rPr>
        <w:t>/E</w:t>
      </w:r>
      <w:r>
        <w:rPr>
          <w:rFonts w:hint="eastAsia" w:ascii="Times New Roman" w:hAnsi="Times New Roman" w:cs="Times New Roman"/>
          <w:b/>
          <w:szCs w:val="21"/>
        </w:rPr>
        <w:t>rk</w:t>
      </w:r>
      <w:r>
        <w:rPr>
          <w:rFonts w:ascii="Times New Roman" w:hAnsi="Times New Roman" w:cs="Times New Roman"/>
          <w:b/>
          <w:szCs w:val="21"/>
        </w:rPr>
        <w:t xml:space="preserve"> Pathways</w:t>
      </w:r>
    </w:p>
    <w:p w14:paraId="1E257D40">
      <w:pPr>
        <w:jc w:val="center"/>
        <w:rPr>
          <w:rFonts w:ascii="Times New Roman" w:hAnsi="Times New Roman" w:cs="Times New Roman"/>
          <w:b/>
          <w:szCs w:val="21"/>
        </w:rPr>
      </w:pPr>
    </w:p>
    <w:bookmarkEnd w:id="0"/>
    <w:bookmarkEnd w:id="1"/>
    <w:p w14:paraId="6D942B4F">
      <w:pPr>
        <w:widowControl/>
        <w:spacing w:after="160" w:line="278" w:lineRule="auto"/>
        <w:jc w:val="left"/>
        <w:rPr>
          <w:rFonts w:hint="eastAsia"/>
        </w:rPr>
      </w:pPr>
    </w:p>
    <w:p w14:paraId="3E8083F3">
      <w:r>
        <w:rPr>
          <w:rFonts w:hint="eastAsia"/>
        </w:rPr>
        <w:drawing>
          <wp:anchor distT="0" distB="0" distL="114300" distR="114300" simplePos="0" relativeHeight="251659264" behindDoc="0" locked="0" layoutInCell="1" allowOverlap="1">
            <wp:simplePos x="0" y="0"/>
            <wp:positionH relativeFrom="column">
              <wp:posOffset>1270</wp:posOffset>
            </wp:positionH>
            <wp:positionV relativeFrom="paragraph">
              <wp:posOffset>46990</wp:posOffset>
            </wp:positionV>
            <wp:extent cx="5272405" cy="4860290"/>
            <wp:effectExtent l="0" t="0" r="4445" b="0"/>
            <wp:wrapTopAndBottom/>
            <wp:docPr id="3232954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95434"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2405" cy="4860290"/>
                    </a:xfrm>
                    <a:prstGeom prst="rect">
                      <a:avLst/>
                    </a:prstGeom>
                    <a:noFill/>
                    <a:ln>
                      <a:noFill/>
                    </a:ln>
                  </pic:spPr>
                </pic:pic>
              </a:graphicData>
            </a:graphic>
          </wp:anchor>
        </w:drawing>
      </w:r>
    </w:p>
    <w:p w14:paraId="4D02838E">
      <w:pPr>
        <w:spacing w:line="240" w:lineRule="exact"/>
        <w:rPr>
          <w:rFonts w:ascii="Times New Roman" w:hAnsi="Times New Roman" w:cs="Times New Roman"/>
          <w:sz w:val="18"/>
          <w:szCs w:val="18"/>
        </w:rPr>
      </w:pPr>
      <w:r>
        <w:rPr>
          <w:rFonts w:ascii="Times New Roman" w:hAnsi="Times New Roman" w:cs="Times New Roman"/>
          <w:b/>
          <w:bCs/>
          <w:sz w:val="18"/>
          <w:szCs w:val="18"/>
        </w:rPr>
        <w:t>Supplementary Figure 1. Prognostic relevance of ductal subpopulations in pancreatic cancer.</w:t>
      </w:r>
      <w:r>
        <w:rPr>
          <w:rFonts w:hint="eastAsia" w:ascii="Times New Roman" w:hAnsi="Times New Roman" w:cs="Times New Roman"/>
          <w:sz w:val="18"/>
          <w:szCs w:val="18"/>
        </w:rPr>
        <w:t xml:space="preserve"> </w:t>
      </w:r>
      <w:r>
        <w:rPr>
          <w:rFonts w:ascii="Times New Roman" w:hAnsi="Times New Roman" w:cs="Times New Roman"/>
          <w:sz w:val="18"/>
          <w:szCs w:val="18"/>
        </w:rPr>
        <w:t>Kaplan</w:t>
      </w:r>
      <w:r>
        <w:rPr>
          <w:rFonts w:hint="eastAsia" w:ascii="Times New Roman" w:hAnsi="Times New Roman" w:cs="Times New Roman"/>
          <w:sz w:val="18"/>
          <w:szCs w:val="18"/>
          <w:lang w:val="en-US" w:eastAsia="zh-CN"/>
        </w:rPr>
        <w:t>-</w:t>
      </w:r>
      <w:r>
        <w:rPr>
          <w:rFonts w:ascii="Times New Roman" w:hAnsi="Times New Roman" w:cs="Times New Roman"/>
          <w:sz w:val="18"/>
          <w:szCs w:val="18"/>
        </w:rPr>
        <w:t>Meier survival curves showing overall survival of patients stratified by the expression of ductal subpopulation-specific gene signatures (D0</w:t>
      </w:r>
      <w:r>
        <w:rPr>
          <w:rFonts w:hint="eastAsia" w:ascii="Times New Roman" w:hAnsi="Times New Roman" w:cs="Times New Roman"/>
          <w:sz w:val="18"/>
          <w:szCs w:val="18"/>
          <w:lang w:val="en-US" w:eastAsia="zh-CN"/>
        </w:rPr>
        <w:t>-</w:t>
      </w:r>
      <w:r>
        <w:rPr>
          <w:rFonts w:ascii="Times New Roman" w:hAnsi="Times New Roman" w:cs="Times New Roman"/>
          <w:sz w:val="18"/>
          <w:szCs w:val="18"/>
        </w:rPr>
        <w:t xml:space="preserve">D8) based on TCGA datasets. High expression of D0, D1, D3, D4, D5, and D8 ductal signatures was significantly associated with poor prognosis, as indicated by hazard ratios (HR) and log-rank p-values. In contrast, D2, D6, and D7 ductal subpopulations did not exhibit significant prognostic impact. </w:t>
      </w:r>
    </w:p>
    <w:p w14:paraId="7D1ADB04">
      <w:pPr>
        <w:widowControl/>
        <w:spacing w:after="160" w:line="278" w:lineRule="auto"/>
        <w:jc w:val="left"/>
        <w:rPr>
          <w:rFonts w:ascii="Times New Roman" w:hAnsi="Times New Roman" w:cs="Times New Roman"/>
          <w:sz w:val="18"/>
          <w:szCs w:val="18"/>
        </w:rPr>
      </w:pPr>
      <w:r>
        <w:rPr>
          <w:rFonts w:ascii="Times New Roman" w:hAnsi="Times New Roman" w:cs="Times New Roman"/>
          <w:sz w:val="18"/>
          <w:szCs w:val="18"/>
        </w:rPr>
        <w:br w:type="page"/>
      </w:r>
    </w:p>
    <w:p w14:paraId="0861D652">
      <w:pPr>
        <w:spacing w:line="240" w:lineRule="exact"/>
        <w:rPr>
          <w:rFonts w:ascii="Times New Roman" w:hAnsi="Times New Roman" w:cs="Times New Roman"/>
          <w:sz w:val="18"/>
          <w:szCs w:val="18"/>
        </w:rPr>
      </w:pPr>
      <w:r>
        <w:drawing>
          <wp:anchor distT="0" distB="0" distL="114300" distR="114300" simplePos="0" relativeHeight="251660288" behindDoc="0" locked="0" layoutInCell="1" allowOverlap="1">
            <wp:simplePos x="0" y="0"/>
            <wp:positionH relativeFrom="column">
              <wp:posOffset>15240</wp:posOffset>
            </wp:positionH>
            <wp:positionV relativeFrom="paragraph">
              <wp:posOffset>0</wp:posOffset>
            </wp:positionV>
            <wp:extent cx="5274310" cy="3347720"/>
            <wp:effectExtent l="0" t="0" r="2540" b="5080"/>
            <wp:wrapTopAndBottom/>
            <wp:docPr id="1524371194" name="图片 6"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71194" name="图片 6" descr="图表, 折线图&#10;&#10;AI 生成的内容可能不正确。"/>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3347720"/>
                    </a:xfrm>
                    <a:prstGeom prst="rect">
                      <a:avLst/>
                    </a:prstGeom>
                    <a:noFill/>
                    <a:ln>
                      <a:noFill/>
                    </a:ln>
                  </pic:spPr>
                </pic:pic>
              </a:graphicData>
            </a:graphic>
          </wp:anchor>
        </w:drawing>
      </w:r>
      <w:r>
        <w:rPr>
          <w:rFonts w:hint="eastAsia" w:ascii="Times New Roman" w:hAnsi="Times New Roman" w:cs="Times New Roman"/>
          <w:b/>
          <w:bCs/>
          <w:sz w:val="18"/>
          <w:szCs w:val="18"/>
        </w:rPr>
        <w:t>Supplementary Figure 2. Prognostic impact of acinar subpopulations in pancreatic cancer.</w:t>
      </w:r>
      <w:r>
        <w:rPr>
          <w:rFonts w:hint="eastAsia" w:ascii="Times New Roman" w:hAnsi="Times New Roman" w:cs="Times New Roman"/>
          <w:sz w:val="18"/>
          <w:szCs w:val="18"/>
        </w:rPr>
        <w:t xml:space="preserve"> Kaplan</w:t>
      </w:r>
      <w:r>
        <w:rPr>
          <w:rFonts w:hint="eastAsia" w:ascii="Times New Roman" w:hAnsi="Times New Roman" w:cs="Times New Roman"/>
          <w:sz w:val="18"/>
          <w:szCs w:val="18"/>
          <w:lang w:val="en-US" w:eastAsia="zh-CN"/>
        </w:rPr>
        <w:t>-</w:t>
      </w:r>
      <w:r>
        <w:rPr>
          <w:rFonts w:hint="eastAsia" w:ascii="Times New Roman" w:hAnsi="Times New Roman" w:cs="Times New Roman"/>
          <w:sz w:val="18"/>
          <w:szCs w:val="18"/>
        </w:rPr>
        <w:t>Meier survival curves showing overall survival of patients stratified by gene signatures specific to acinar subclusters (C0</w:t>
      </w:r>
      <w:r>
        <w:rPr>
          <w:rFonts w:hint="eastAsia" w:ascii="Times New Roman" w:hAnsi="Times New Roman" w:cs="Times New Roman"/>
          <w:sz w:val="18"/>
          <w:szCs w:val="18"/>
          <w:lang w:val="en-US" w:eastAsia="zh-CN"/>
        </w:rPr>
        <w:t>-</w:t>
      </w:r>
      <w:r>
        <w:rPr>
          <w:rFonts w:hint="eastAsia" w:ascii="Times New Roman" w:hAnsi="Times New Roman" w:cs="Times New Roman"/>
          <w:sz w:val="18"/>
          <w:szCs w:val="18"/>
        </w:rPr>
        <w:t>C4) using TCGA datasets. High expression of the C4 acinar signature was significantly associated with poor prognosis (HR = 1.79, 95% CI: 1.18</w:t>
      </w:r>
      <w:r>
        <w:rPr>
          <w:rFonts w:hint="eastAsia" w:ascii="Times New Roman" w:hAnsi="Times New Roman" w:cs="Times New Roman"/>
          <w:sz w:val="18"/>
          <w:szCs w:val="18"/>
          <w:lang w:val="en-US" w:eastAsia="zh-CN"/>
        </w:rPr>
        <w:t>-</w:t>
      </w:r>
      <w:r>
        <w:rPr>
          <w:rFonts w:hint="eastAsia" w:ascii="Times New Roman" w:hAnsi="Times New Roman" w:cs="Times New Roman"/>
          <w:sz w:val="18"/>
          <w:szCs w:val="18"/>
        </w:rPr>
        <w:t xml:space="preserve">2.7, p = 0.005). </w:t>
      </w:r>
    </w:p>
    <w:p w14:paraId="416A4D6A">
      <w:pPr>
        <w:rPr>
          <w:rFonts w:hint="eastAsia" w:ascii="Times New Roman" w:hAnsi="Times New Roman" w:cs="Times New Roman" w:eastAsiaTheme="minorEastAsia"/>
          <w:sz w:val="18"/>
          <w:szCs w:val="18"/>
          <w:lang w:eastAsia="zh-CN"/>
        </w:rPr>
      </w:pPr>
      <w:r>
        <w:rPr>
          <w:rFonts w:ascii="Times New Roman" w:hAnsi="Times New Roman" w:cs="Times New Roman"/>
          <w:sz w:val="18"/>
          <w:szCs w:val="18"/>
        </w:rPr>
        <w:br w:type="page"/>
      </w:r>
      <w:r>
        <w:rPr>
          <w:rFonts w:hint="eastAsia" w:ascii="Times New Roman" w:hAnsi="Times New Roman" w:cs="Times New Roman" w:eastAsiaTheme="minorEastAsia"/>
          <w:sz w:val="18"/>
          <w:szCs w:val="18"/>
          <w:lang w:eastAsia="zh-CN"/>
        </w:rPr>
        <w:drawing>
          <wp:inline distT="0" distB="0" distL="114300" distR="114300">
            <wp:extent cx="5271770" cy="3683635"/>
            <wp:effectExtent l="0" t="0" r="1270" b="4445"/>
            <wp:docPr id="5" name="图片 5" descr="Supplementary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ementary Figure 3"/>
                    <pic:cNvPicPr>
                      <a:picLocks noChangeAspect="1"/>
                    </pic:cNvPicPr>
                  </pic:nvPicPr>
                  <pic:blipFill>
                    <a:blip r:embed="rId8"/>
                    <a:stretch>
                      <a:fillRect/>
                    </a:stretch>
                  </pic:blipFill>
                  <pic:spPr>
                    <a:xfrm>
                      <a:off x="0" y="0"/>
                      <a:ext cx="5271770" cy="3683635"/>
                    </a:xfrm>
                    <a:prstGeom prst="rect">
                      <a:avLst/>
                    </a:prstGeom>
                  </pic:spPr>
                </pic:pic>
              </a:graphicData>
            </a:graphic>
          </wp:inline>
        </w:drawing>
      </w:r>
    </w:p>
    <w:p w14:paraId="5A955BEE">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cs="Times New Roman" w:eastAsiaTheme="minorEastAsia"/>
          <w:sz w:val="18"/>
          <w:szCs w:val="18"/>
          <w:lang w:eastAsia="zh-CN"/>
        </w:rPr>
      </w:pPr>
      <w:r>
        <w:rPr>
          <w:rFonts w:hint="eastAsia" w:ascii="Times New Roman" w:hAnsi="Times New Roman" w:cs="Times New Roman"/>
          <w:b/>
          <w:bCs/>
          <w:sz w:val="18"/>
          <w:szCs w:val="18"/>
        </w:rPr>
        <w:t xml:space="preserve">Supplementary Figure </w:t>
      </w:r>
      <w:r>
        <w:rPr>
          <w:rFonts w:hint="eastAsia" w:ascii="Times New Roman" w:hAnsi="Times New Roman" w:cs="Times New Roman"/>
          <w:b/>
          <w:bCs/>
          <w:sz w:val="18"/>
          <w:szCs w:val="18"/>
          <w:lang w:val="en-US" w:eastAsia="zh-CN"/>
        </w:rPr>
        <w:t>3</w:t>
      </w:r>
      <w:r>
        <w:rPr>
          <w:rFonts w:hint="eastAsia" w:ascii="Times New Roman" w:hAnsi="Times New Roman" w:cs="Times New Roman"/>
          <w:b/>
          <w:bCs/>
          <w:sz w:val="18"/>
          <w:szCs w:val="18"/>
        </w:rPr>
        <w:t xml:space="preserve">. Single-cell transcriptomic analysis identifies distinct </w:t>
      </w:r>
      <w:r>
        <w:rPr>
          <w:rFonts w:hint="eastAsia" w:ascii="Times New Roman" w:hAnsi="Times New Roman" w:cs="Times New Roman"/>
          <w:b/>
          <w:bCs/>
          <w:sz w:val="18"/>
          <w:szCs w:val="18"/>
          <w:lang w:val="en-US" w:eastAsia="zh-CN"/>
        </w:rPr>
        <w:t xml:space="preserve">ductal and acinar </w:t>
      </w:r>
      <w:r>
        <w:rPr>
          <w:rFonts w:hint="eastAsia" w:ascii="Times New Roman" w:hAnsi="Times New Roman" w:cs="Times New Roman"/>
          <w:b/>
          <w:bCs/>
          <w:sz w:val="18"/>
          <w:szCs w:val="18"/>
        </w:rPr>
        <w:t>cell populations and highlights KLF5 and TYMP expression patterns.</w:t>
      </w:r>
      <w:r>
        <w:rPr>
          <w:rFonts w:hint="eastAsia" w:ascii="Times New Roman" w:hAnsi="Times New Roman" w:cs="Times New Roman"/>
          <w:b/>
          <w:bCs/>
          <w:sz w:val="18"/>
          <w:szCs w:val="18"/>
          <w:lang w:val="en-US" w:eastAsia="zh-CN"/>
        </w:rPr>
        <w:t xml:space="preserve"> </w:t>
      </w:r>
      <w:r>
        <w:rPr>
          <w:rFonts w:hint="eastAsia" w:ascii="Times New Roman" w:hAnsi="Times New Roman" w:cs="Times New Roman"/>
          <w:b w:val="0"/>
          <w:bCs w:val="0"/>
          <w:sz w:val="18"/>
          <w:szCs w:val="18"/>
        </w:rPr>
        <w:t>(A) UMAP visualization showing three major cell populations</w:t>
      </w:r>
      <w:r>
        <w:rPr>
          <w:rFonts w:hint="eastAsia" w:ascii="Times New Roman" w:hAnsi="Times New Roman" w:cs="Times New Roman"/>
          <w:b w:val="0"/>
          <w:bCs w:val="0"/>
          <w:sz w:val="18"/>
          <w:szCs w:val="18"/>
          <w:lang w:val="en-US" w:eastAsia="zh-CN"/>
        </w:rPr>
        <w:t xml:space="preserve">. </w:t>
      </w:r>
      <w:r>
        <w:rPr>
          <w:rFonts w:hint="eastAsia" w:ascii="Times New Roman" w:hAnsi="Times New Roman" w:cs="Times New Roman"/>
          <w:b w:val="0"/>
          <w:bCs w:val="0"/>
          <w:sz w:val="18"/>
          <w:szCs w:val="18"/>
        </w:rPr>
        <w:t xml:space="preserve">(B) Dot plot illustrating the expression of canonical ductal markers (KRT19, SOX9) and acinar markers (PRSS1, CPA1) across the three cell populations. (C) Feature plots displaying the distribution of acinar markers PRSS1 and CPA1 across the UMAP </w:t>
      </w:r>
      <w:r>
        <w:rPr>
          <w:rFonts w:hint="eastAsia" w:ascii="Times New Roman" w:hAnsi="Times New Roman" w:cs="Times New Roman"/>
          <w:b w:val="0"/>
          <w:bCs w:val="0"/>
          <w:sz w:val="18"/>
          <w:szCs w:val="18"/>
          <w:lang w:val="en-US" w:eastAsia="zh-CN"/>
        </w:rPr>
        <w:t>plots</w:t>
      </w:r>
      <w:r>
        <w:rPr>
          <w:rFonts w:hint="eastAsia" w:ascii="Times New Roman" w:hAnsi="Times New Roman" w:cs="Times New Roman"/>
          <w:b w:val="0"/>
          <w:bCs w:val="0"/>
          <w:sz w:val="18"/>
          <w:szCs w:val="18"/>
        </w:rPr>
        <w:t>.</w:t>
      </w:r>
      <w:r>
        <w:rPr>
          <w:rFonts w:hint="eastAsia" w:ascii="Times New Roman" w:hAnsi="Times New Roman" w:cs="Times New Roman"/>
          <w:b w:val="0"/>
          <w:bCs w:val="0"/>
          <w:sz w:val="18"/>
          <w:szCs w:val="18"/>
          <w:lang w:val="en-US" w:eastAsia="zh-CN"/>
        </w:rPr>
        <w:t xml:space="preserve"> </w:t>
      </w:r>
      <w:r>
        <w:rPr>
          <w:rFonts w:hint="eastAsia" w:ascii="Times New Roman" w:hAnsi="Times New Roman" w:cs="Times New Roman"/>
          <w:b w:val="0"/>
          <w:bCs w:val="0"/>
          <w:sz w:val="18"/>
          <w:szCs w:val="18"/>
        </w:rPr>
        <w:t>(D) Feature plots showing expression of ductal markers KRT19 and SOX9.</w:t>
      </w:r>
      <w:r>
        <w:rPr>
          <w:rFonts w:hint="eastAsia" w:ascii="Times New Roman" w:hAnsi="Times New Roman" w:cs="Times New Roman"/>
          <w:b w:val="0"/>
          <w:bCs w:val="0"/>
          <w:sz w:val="18"/>
          <w:szCs w:val="18"/>
          <w:lang w:val="en-US" w:eastAsia="zh-CN"/>
        </w:rPr>
        <w:t xml:space="preserve"> </w:t>
      </w:r>
      <w:r>
        <w:rPr>
          <w:rFonts w:hint="eastAsia" w:ascii="Times New Roman" w:hAnsi="Times New Roman" w:cs="Times New Roman"/>
          <w:b w:val="0"/>
          <w:bCs w:val="0"/>
          <w:sz w:val="18"/>
          <w:szCs w:val="18"/>
        </w:rPr>
        <w:t>(E) Feature plots demonstrating the expression patterns of KLF5 and TYMP across cell populations.</w:t>
      </w:r>
      <w:r>
        <w:rPr>
          <w:rFonts w:hint="eastAsia" w:ascii="Times New Roman" w:hAnsi="Times New Roman" w:cs="Times New Roman"/>
          <w:b w:val="0"/>
          <w:bCs w:val="0"/>
          <w:sz w:val="18"/>
          <w:szCs w:val="18"/>
          <w:lang w:val="en-US" w:eastAsia="zh-CN"/>
        </w:rPr>
        <w:t xml:space="preserve"> </w:t>
      </w:r>
      <w:r>
        <w:rPr>
          <w:rFonts w:hint="eastAsia" w:ascii="Times New Roman" w:hAnsi="Times New Roman" w:cs="Times New Roman"/>
          <w:b w:val="0"/>
          <w:bCs w:val="0"/>
          <w:sz w:val="18"/>
          <w:szCs w:val="18"/>
        </w:rPr>
        <w:t xml:space="preserve">(F) Quantification of gene expression levels (KLF5, TYMP, PRSS1, and KRT19) across </w:t>
      </w:r>
      <w:r>
        <w:rPr>
          <w:rFonts w:hint="eastAsia" w:ascii="Times New Roman" w:hAnsi="Times New Roman" w:cs="Times New Roman"/>
          <w:b w:val="0"/>
          <w:bCs w:val="0"/>
          <w:sz w:val="18"/>
          <w:szCs w:val="18"/>
          <w:lang w:val="en-US" w:eastAsia="zh-CN"/>
        </w:rPr>
        <w:t>different</w:t>
      </w:r>
      <w:r>
        <w:rPr>
          <w:rFonts w:hint="eastAsia" w:ascii="Times New Roman" w:hAnsi="Times New Roman" w:cs="Times New Roman"/>
          <w:b w:val="0"/>
          <w:bCs w:val="0"/>
          <w:sz w:val="18"/>
          <w:szCs w:val="18"/>
        </w:rPr>
        <w:t xml:space="preserve"> groups. </w:t>
      </w:r>
      <w:r>
        <w:rPr>
          <w:rFonts w:hint="eastAsia" w:ascii="Times New Roman" w:hAnsi="Times New Roman" w:cs="Times New Roman"/>
          <w:b w:val="0"/>
          <w:bCs w:val="0"/>
          <w:sz w:val="18"/>
          <w:szCs w:val="18"/>
          <w:lang w:val="en-US" w:eastAsia="zh-CN"/>
        </w:rPr>
        <w:t xml:space="preserve">Statistical significance is indicated as ***P &lt; 0.001. </w:t>
      </w:r>
    </w:p>
    <w:p w14:paraId="7720D232">
      <w:pPr>
        <w:widowControl/>
        <w:spacing w:after="160" w:line="278" w:lineRule="auto"/>
        <w:jc w:val="left"/>
        <w:rPr>
          <w:rFonts w:hint="eastAsia" w:ascii="Times New Roman" w:hAnsi="Times New Roman" w:cs="Times New Roman" w:eastAsiaTheme="minorEastAsia"/>
          <w:sz w:val="18"/>
          <w:szCs w:val="18"/>
          <w:lang w:eastAsia="zh-CN"/>
        </w:rPr>
      </w:pPr>
      <w:r>
        <w:rPr>
          <w:rFonts w:hint="eastAsia" w:ascii="Times New Roman" w:hAnsi="Times New Roman" w:cs="Times New Roman" w:eastAsiaTheme="minorEastAsia"/>
          <w:sz w:val="18"/>
          <w:szCs w:val="18"/>
          <w:lang w:eastAsia="zh-CN"/>
        </w:rPr>
        <w:drawing>
          <wp:inline distT="0" distB="0" distL="114300" distR="114300">
            <wp:extent cx="5270500" cy="4975860"/>
            <wp:effectExtent l="0" t="0" r="6350" b="5715"/>
            <wp:docPr id="1" name="图片 1" descr="Supplementary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4"/>
                    <pic:cNvPicPr>
                      <a:picLocks noChangeAspect="1"/>
                    </pic:cNvPicPr>
                  </pic:nvPicPr>
                  <pic:blipFill>
                    <a:blip r:embed="rId9"/>
                    <a:stretch>
                      <a:fillRect/>
                    </a:stretch>
                  </pic:blipFill>
                  <pic:spPr>
                    <a:xfrm>
                      <a:off x="0" y="0"/>
                      <a:ext cx="5270500" cy="4975860"/>
                    </a:xfrm>
                    <a:prstGeom prst="rect">
                      <a:avLst/>
                    </a:prstGeom>
                  </pic:spPr>
                </pic:pic>
              </a:graphicData>
            </a:graphic>
          </wp:inline>
        </w:drawing>
      </w:r>
    </w:p>
    <w:p w14:paraId="4C0C1910">
      <w:pPr>
        <w:widowControl/>
        <w:spacing w:after="160" w:line="240" w:lineRule="exact"/>
        <w:rPr>
          <w:rFonts w:hint="eastAsia" w:ascii="Times New Roman" w:hAnsi="Times New Roman" w:cs="Times New Roman" w:eastAsiaTheme="minorEastAsia"/>
          <w:sz w:val="18"/>
          <w:szCs w:val="18"/>
          <w:lang w:val="en-US" w:eastAsia="zh-CN"/>
        </w:rPr>
      </w:pPr>
      <w:r>
        <w:rPr>
          <w:rFonts w:ascii="Times New Roman" w:hAnsi="Times New Roman" w:cs="Times New Roman"/>
          <w:b/>
          <w:bCs/>
          <w:sz w:val="18"/>
          <w:szCs w:val="18"/>
        </w:rPr>
        <w:t xml:space="preserve">Supplementary Figure </w:t>
      </w:r>
      <w:r>
        <w:rPr>
          <w:rFonts w:hint="eastAsia" w:ascii="Times New Roman" w:hAnsi="Times New Roman" w:cs="Times New Roman"/>
          <w:b/>
          <w:bCs/>
          <w:sz w:val="18"/>
          <w:szCs w:val="18"/>
          <w:lang w:val="en-US" w:eastAsia="zh-CN"/>
        </w:rPr>
        <w:t>4</w:t>
      </w:r>
      <w:r>
        <w:rPr>
          <w:rFonts w:ascii="Times New Roman" w:hAnsi="Times New Roman" w:cs="Times New Roman"/>
          <w:b/>
          <w:bCs/>
          <w:sz w:val="18"/>
          <w:szCs w:val="18"/>
        </w:rPr>
        <w:t>. Clinical significance of TYMP expression in pancreatic cancer.</w:t>
      </w:r>
      <w:r>
        <w:rPr>
          <w:rFonts w:ascii="Times New Roman" w:hAnsi="Times New Roman" w:cs="Times New Roman"/>
          <w:sz w:val="18"/>
          <w:szCs w:val="18"/>
        </w:rPr>
        <w:t xml:space="preserve"> (A) TYMP expression levels were significantly elevated in tumor tissues compared with adjacent normal tissues across multiple independent cohorts (GSE28735, GSE62452). (B) TYMP expression increased with advancing tumor stage in the TCGA-PAAD dataset. (C) Higher TYMP expression was associated with increased tumor grade across ICGC and TCGA cohorts. (D) Kaplan–Meier survival analyses demonstrated that high TYMP expression consistently correlated with </w:t>
      </w:r>
      <w:r>
        <w:rPr>
          <w:rFonts w:hint="eastAsia" w:ascii="Times New Roman" w:hAnsi="Times New Roman" w:cs="Times New Roman"/>
          <w:sz w:val="18"/>
          <w:szCs w:val="18"/>
          <w:lang w:val="en-US" w:eastAsia="zh-CN"/>
        </w:rPr>
        <w:t>clinical outcomes of patients with PC</w:t>
      </w:r>
      <w:r>
        <w:rPr>
          <w:rFonts w:ascii="Times New Roman" w:hAnsi="Times New Roman" w:cs="Times New Roman"/>
          <w:sz w:val="18"/>
          <w:szCs w:val="18"/>
        </w:rPr>
        <w:t xml:space="preserve">. (E) qRT-PCR validation showing elevated TYMP mRNA levels in human pancreatic cancer cell lines (PANC1, SW1990) compared with </w:t>
      </w:r>
      <w:r>
        <w:rPr>
          <w:rFonts w:hint="eastAsia" w:ascii="Times New Roman" w:hAnsi="Times New Roman" w:cs="Times New Roman"/>
          <w:sz w:val="18"/>
          <w:szCs w:val="18"/>
          <w:lang w:val="en-US" w:eastAsia="zh-CN"/>
        </w:rPr>
        <w:t>H6C7.</w:t>
      </w:r>
      <w:r>
        <w:rPr>
          <w:rFonts w:ascii="Times New Roman" w:hAnsi="Times New Roman" w:cs="Times New Roman"/>
          <w:sz w:val="18"/>
          <w:szCs w:val="18"/>
        </w:rPr>
        <w:t xml:space="preserve"> (F) Representative immunohistochemistry (IHC) images confirming increased TYMP protein expression in pancreatic cancer tissues relative to para-cancerous </w:t>
      </w:r>
      <w:r>
        <w:rPr>
          <w:rFonts w:hint="eastAsia" w:ascii="Times New Roman" w:hAnsi="Times New Roman" w:cs="Times New Roman"/>
          <w:sz w:val="18"/>
          <w:szCs w:val="18"/>
        </w:rPr>
        <w:t>tissue</w:t>
      </w:r>
      <w:r>
        <w:rPr>
          <w:rFonts w:ascii="Times New Roman" w:hAnsi="Times New Roman" w:cs="Times New Roman"/>
          <w:sz w:val="18"/>
          <w:szCs w:val="18"/>
        </w:rPr>
        <w:t>s.</w:t>
      </w:r>
      <w:r>
        <w:rPr>
          <w:rFonts w:hint="eastAsia" w:ascii="Times New Roman" w:hAnsi="Times New Roman" w:cs="Times New Roman"/>
          <w:sz w:val="18"/>
          <w:szCs w:val="18"/>
          <w:lang w:val="en-US" w:eastAsia="zh-CN"/>
        </w:rPr>
        <w:t xml:space="preserve"> </w:t>
      </w:r>
      <w:r>
        <w:rPr>
          <w:rFonts w:hint="eastAsia" w:ascii="Times New Roman" w:hAnsi="Times New Roman" w:cs="Times New Roman"/>
          <w:b w:val="0"/>
          <w:bCs w:val="0"/>
          <w:sz w:val="18"/>
          <w:szCs w:val="18"/>
          <w:lang w:val="en-US" w:eastAsia="zh-CN"/>
        </w:rPr>
        <w:t xml:space="preserve">Statistical significance is indicated as *P &lt; 0.05, ***P &lt; 0.001. </w:t>
      </w:r>
    </w:p>
    <w:p w14:paraId="0592A738">
      <w:pPr>
        <w:rPr>
          <w:rFonts w:ascii="Times New Roman" w:hAnsi="Times New Roman" w:cs="Times New Roman"/>
          <w:sz w:val="18"/>
          <w:szCs w:val="18"/>
        </w:rPr>
      </w:pPr>
      <w:r>
        <w:rPr>
          <w:rFonts w:ascii="Times New Roman" w:hAnsi="Times New Roman" w:cs="Times New Roman"/>
          <w:sz w:val="18"/>
          <w:szCs w:val="18"/>
        </w:rPr>
        <w:br w:type="page"/>
      </w:r>
    </w:p>
    <w:p w14:paraId="2DB2F1FE">
      <w:pPr>
        <w:widowControl/>
        <w:spacing w:after="160" w:line="278" w:lineRule="auto"/>
        <w:jc w:val="left"/>
        <w:rPr>
          <w:rFonts w:ascii="Times New Roman" w:hAnsi="Times New Roman" w:cs="Times New Roman"/>
          <w:sz w:val="18"/>
          <w:szCs w:val="18"/>
        </w:rPr>
      </w:pPr>
    </w:p>
    <w:p w14:paraId="5E04BF50">
      <w:pPr>
        <w:widowControl/>
        <w:spacing w:after="160" w:line="240" w:lineRule="exact"/>
        <w:rPr>
          <w:rFonts w:hint="eastAsia" w:ascii="Times New Roman" w:hAnsi="Times New Roman" w:cs="Times New Roman" w:eastAsiaTheme="minorEastAsia"/>
          <w:b/>
          <w:bCs/>
          <w:sz w:val="18"/>
          <w:szCs w:val="18"/>
          <w:lang w:eastAsia="zh-CN"/>
        </w:rPr>
      </w:pPr>
      <w:r>
        <w:rPr>
          <w:rFonts w:hint="eastAsia" w:ascii="Times New Roman" w:hAnsi="Times New Roman" w:cs="Times New Roman" w:eastAsiaTheme="minorEastAsia"/>
          <w:b/>
          <w:bCs/>
          <w:sz w:val="18"/>
          <w:szCs w:val="18"/>
          <w:lang w:eastAsia="zh-CN"/>
        </w:rPr>
        <w:drawing>
          <wp:anchor distT="0" distB="0" distL="114300" distR="114300" simplePos="0" relativeHeight="251661312" behindDoc="0" locked="0" layoutInCell="1" allowOverlap="1">
            <wp:simplePos x="0" y="0"/>
            <wp:positionH relativeFrom="column">
              <wp:posOffset>1162685</wp:posOffset>
            </wp:positionH>
            <wp:positionV relativeFrom="paragraph">
              <wp:posOffset>30480</wp:posOffset>
            </wp:positionV>
            <wp:extent cx="2510155" cy="1225550"/>
            <wp:effectExtent l="0" t="0" r="4445" b="3175"/>
            <wp:wrapTopAndBottom/>
            <wp:docPr id="2" name="图片 2" descr="Supplementary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ure 4"/>
                    <pic:cNvPicPr>
                      <a:picLocks noChangeAspect="1"/>
                    </pic:cNvPicPr>
                  </pic:nvPicPr>
                  <pic:blipFill>
                    <a:blip r:embed="rId10"/>
                    <a:stretch>
                      <a:fillRect/>
                    </a:stretch>
                  </pic:blipFill>
                  <pic:spPr>
                    <a:xfrm>
                      <a:off x="0" y="0"/>
                      <a:ext cx="2510155" cy="1225550"/>
                    </a:xfrm>
                    <a:prstGeom prst="rect">
                      <a:avLst/>
                    </a:prstGeom>
                  </pic:spPr>
                </pic:pic>
              </a:graphicData>
            </a:graphic>
          </wp:anchor>
        </w:drawing>
      </w:r>
    </w:p>
    <w:p w14:paraId="6F543E0A">
      <w:pPr>
        <w:widowControl/>
        <w:spacing w:after="160" w:line="240" w:lineRule="exact"/>
        <w:rPr>
          <w:rFonts w:hint="default" w:ascii="Times New Roman" w:hAnsi="Times New Roman" w:cs="Times New Roman" w:eastAsiaTheme="minorEastAsia"/>
          <w:sz w:val="18"/>
          <w:szCs w:val="18"/>
          <w:lang w:val="en-US" w:eastAsia="zh-CN"/>
        </w:rPr>
      </w:pPr>
      <w:r>
        <w:rPr>
          <w:rFonts w:ascii="Times New Roman" w:hAnsi="Times New Roman" w:cs="Times New Roman"/>
          <w:b/>
          <w:bCs/>
          <w:sz w:val="18"/>
          <w:szCs w:val="18"/>
        </w:rPr>
        <w:t xml:space="preserve">Supplementary Figure </w:t>
      </w:r>
      <w:r>
        <w:rPr>
          <w:rFonts w:hint="eastAsia" w:ascii="Times New Roman" w:hAnsi="Times New Roman" w:cs="Times New Roman"/>
          <w:b/>
          <w:bCs/>
          <w:sz w:val="18"/>
          <w:szCs w:val="18"/>
          <w:lang w:val="en-US" w:eastAsia="zh-CN"/>
        </w:rPr>
        <w:t>5.</w:t>
      </w:r>
      <w:r>
        <w:rPr>
          <w:rFonts w:ascii="Times New Roman" w:hAnsi="Times New Roman" w:cs="Times New Roman"/>
          <w:b/>
          <w:bCs/>
          <w:sz w:val="18"/>
          <w:szCs w:val="18"/>
        </w:rPr>
        <w:t xml:space="preserve"> </w:t>
      </w:r>
      <w:r>
        <w:rPr>
          <w:rFonts w:hint="eastAsia" w:ascii="Times New Roman" w:hAnsi="Times New Roman" w:cs="Times New Roman"/>
          <w:b/>
          <w:bCs/>
          <w:sz w:val="18"/>
          <w:szCs w:val="18"/>
          <w:lang w:val="en-US" w:eastAsia="zh-CN"/>
        </w:rPr>
        <w:t>Identification and v</w:t>
      </w:r>
      <w:r>
        <w:rPr>
          <w:rFonts w:ascii="Times New Roman" w:hAnsi="Times New Roman" w:cs="Times New Roman"/>
          <w:b/>
          <w:bCs/>
          <w:sz w:val="18"/>
          <w:szCs w:val="18"/>
        </w:rPr>
        <w:t xml:space="preserve">alidation of </w:t>
      </w:r>
      <w:r>
        <w:rPr>
          <w:rFonts w:hint="eastAsia" w:ascii="Times New Roman" w:hAnsi="Times New Roman" w:cs="Times New Roman"/>
          <w:b/>
          <w:bCs/>
          <w:sz w:val="18"/>
          <w:szCs w:val="18"/>
          <w:lang w:val="en-US" w:eastAsia="zh-CN"/>
        </w:rPr>
        <w:t>t</w:t>
      </w:r>
      <w:r>
        <w:rPr>
          <w:rFonts w:ascii="Times New Roman" w:hAnsi="Times New Roman" w:cs="Times New Roman"/>
          <w:b/>
          <w:bCs/>
          <w:sz w:val="18"/>
          <w:szCs w:val="18"/>
        </w:rPr>
        <w:t>ymp knockdown efficiency.</w:t>
      </w:r>
      <w:r>
        <w:rPr>
          <w:rFonts w:hint="eastAsia" w:ascii="Times New Roman" w:hAnsi="Times New Roman" w:cs="Times New Roman"/>
          <w:b/>
          <w:bCs/>
          <w:sz w:val="18"/>
          <w:szCs w:val="18"/>
        </w:rPr>
        <w:t xml:space="preserve"> </w:t>
      </w:r>
      <w:r>
        <w:rPr>
          <w:rFonts w:ascii="Times New Roman" w:hAnsi="Times New Roman" w:cs="Times New Roman"/>
          <w:sz w:val="18"/>
          <w:szCs w:val="18"/>
        </w:rPr>
        <w:t xml:space="preserve">qRT-PCR </w:t>
      </w:r>
      <w:r>
        <w:rPr>
          <w:rFonts w:hint="eastAsia" w:ascii="Times New Roman" w:hAnsi="Times New Roman" w:cs="Times New Roman"/>
          <w:sz w:val="18"/>
          <w:szCs w:val="18"/>
          <w:lang w:val="en-US" w:eastAsia="zh-CN"/>
        </w:rPr>
        <w:t>results</w:t>
      </w:r>
      <w:r>
        <w:rPr>
          <w:rFonts w:ascii="Times New Roman" w:hAnsi="Times New Roman" w:cs="Times New Roman"/>
          <w:sz w:val="18"/>
          <w:szCs w:val="18"/>
        </w:rPr>
        <w:t xml:space="preserve"> of Tymp expression following shRNA-mediated knockdown in </w:t>
      </w:r>
      <w:r>
        <w:rPr>
          <w:rFonts w:hint="eastAsia" w:ascii="Times New Roman" w:hAnsi="Times New Roman" w:cs="Times New Roman"/>
          <w:sz w:val="18"/>
          <w:szCs w:val="18"/>
          <w:lang w:val="en-US" w:eastAsia="zh-CN"/>
        </w:rPr>
        <w:t xml:space="preserve">(A) </w:t>
      </w:r>
      <w:r>
        <w:rPr>
          <w:rFonts w:ascii="Times New Roman" w:hAnsi="Times New Roman" w:cs="Times New Roman"/>
          <w:sz w:val="18"/>
          <w:szCs w:val="18"/>
        </w:rPr>
        <w:t xml:space="preserve">Panc02 cells and </w:t>
      </w:r>
      <w:r>
        <w:rPr>
          <w:rFonts w:hint="eastAsia" w:ascii="Times New Roman" w:hAnsi="Times New Roman" w:cs="Times New Roman"/>
          <w:sz w:val="18"/>
          <w:szCs w:val="18"/>
          <w:lang w:val="en-US" w:eastAsia="zh-CN"/>
        </w:rPr>
        <w:t xml:space="preserve">(B) </w:t>
      </w:r>
      <w:r>
        <w:rPr>
          <w:rFonts w:ascii="Times New Roman" w:hAnsi="Times New Roman" w:cs="Times New Roman"/>
          <w:sz w:val="18"/>
          <w:szCs w:val="18"/>
        </w:rPr>
        <w:t>primary pancreatic acinar cells.</w:t>
      </w:r>
      <w:r>
        <w:rPr>
          <w:rFonts w:hint="eastAsia" w:ascii="Times New Roman" w:hAnsi="Times New Roman" w:cs="Times New Roman"/>
          <w:sz w:val="18"/>
          <w:szCs w:val="18"/>
          <w:lang w:val="en-US" w:eastAsia="zh-CN"/>
        </w:rPr>
        <w:t xml:space="preserve"> </w:t>
      </w:r>
      <w:r>
        <w:rPr>
          <w:rFonts w:hint="eastAsia" w:ascii="Times New Roman" w:hAnsi="Times New Roman" w:cs="Times New Roman"/>
          <w:b w:val="0"/>
          <w:bCs w:val="0"/>
          <w:sz w:val="18"/>
          <w:szCs w:val="18"/>
          <w:lang w:val="en-US" w:eastAsia="zh-CN"/>
        </w:rPr>
        <w:t xml:space="preserve">Statistical significance is indicated as *P &lt; 0.05, **P &lt; 0.01, ns, not significant. </w:t>
      </w:r>
    </w:p>
    <w:p w14:paraId="2CA6875D">
      <w:pPr>
        <w:widowControl/>
        <w:spacing w:after="160" w:line="278" w:lineRule="auto"/>
        <w:jc w:val="left"/>
        <w:rPr>
          <w:rFonts w:ascii="Times New Roman" w:hAnsi="Times New Roman" w:cs="Times New Roman"/>
          <w:sz w:val="18"/>
          <w:szCs w:val="18"/>
        </w:rPr>
      </w:pPr>
      <w:r>
        <w:rPr>
          <w:rFonts w:ascii="Times New Roman" w:hAnsi="Times New Roman" w:cs="Times New Roman"/>
          <w:sz w:val="18"/>
          <w:szCs w:val="18"/>
        </w:rPr>
        <w:br w:type="page"/>
      </w:r>
    </w:p>
    <w:p w14:paraId="0CA27140">
      <w:pPr>
        <w:widowControl/>
        <w:spacing w:after="160" w:line="240" w:lineRule="exact"/>
        <w:rPr>
          <w:rFonts w:hint="eastAsia" w:ascii="Times New Roman" w:hAnsi="Times New Roman" w:cs="Times New Roman" w:eastAsiaTheme="minorEastAsia"/>
          <w:b/>
          <w:bCs/>
          <w:sz w:val="18"/>
          <w:szCs w:val="18"/>
          <w:lang w:eastAsia="zh-CN"/>
        </w:rPr>
      </w:pPr>
      <w:r>
        <w:rPr>
          <w:rFonts w:hint="eastAsia" w:ascii="Times New Roman" w:hAnsi="Times New Roman" w:cs="Times New Roman" w:eastAsiaTheme="minorEastAsia"/>
          <w:b/>
          <w:bCs/>
          <w:sz w:val="18"/>
          <w:szCs w:val="18"/>
          <w:lang w:eastAsia="zh-CN"/>
        </w:rPr>
        <w:drawing>
          <wp:anchor distT="0" distB="0" distL="114300" distR="114300" simplePos="0" relativeHeight="251662336" behindDoc="0" locked="0" layoutInCell="1" allowOverlap="1">
            <wp:simplePos x="0" y="0"/>
            <wp:positionH relativeFrom="column">
              <wp:posOffset>-7620</wp:posOffset>
            </wp:positionH>
            <wp:positionV relativeFrom="paragraph">
              <wp:posOffset>63500</wp:posOffset>
            </wp:positionV>
            <wp:extent cx="5272405" cy="5907405"/>
            <wp:effectExtent l="0" t="0" r="4445" b="7620"/>
            <wp:wrapSquare wrapText="bothSides"/>
            <wp:docPr id="6" name="图片 6" descr="Supplementary 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upplementary Figure 6"/>
                    <pic:cNvPicPr>
                      <a:picLocks noChangeAspect="1"/>
                    </pic:cNvPicPr>
                  </pic:nvPicPr>
                  <pic:blipFill>
                    <a:blip r:embed="rId11"/>
                    <a:stretch>
                      <a:fillRect/>
                    </a:stretch>
                  </pic:blipFill>
                  <pic:spPr>
                    <a:xfrm>
                      <a:off x="0" y="0"/>
                      <a:ext cx="5272405" cy="5907405"/>
                    </a:xfrm>
                    <a:prstGeom prst="rect">
                      <a:avLst/>
                    </a:prstGeom>
                  </pic:spPr>
                </pic:pic>
              </a:graphicData>
            </a:graphic>
          </wp:anchor>
        </w:drawing>
      </w:r>
    </w:p>
    <w:p w14:paraId="25193587">
      <w:pPr>
        <w:widowControl/>
        <w:spacing w:after="160" w:line="240" w:lineRule="exact"/>
        <w:rPr>
          <w:rFonts w:ascii="Times New Roman" w:hAnsi="Times New Roman" w:cs="Times New Roman"/>
          <w:sz w:val="18"/>
          <w:szCs w:val="18"/>
        </w:rPr>
      </w:pPr>
      <w:r>
        <w:rPr>
          <w:rFonts w:ascii="Times New Roman" w:hAnsi="Times New Roman" w:cs="Times New Roman"/>
          <w:b/>
          <w:bCs/>
          <w:sz w:val="18"/>
          <w:szCs w:val="18"/>
        </w:rPr>
        <w:t xml:space="preserve">Supplementary Figure </w:t>
      </w:r>
      <w:r>
        <w:rPr>
          <w:rFonts w:hint="eastAsia" w:ascii="Times New Roman" w:hAnsi="Times New Roman" w:cs="Times New Roman"/>
          <w:b/>
          <w:bCs/>
          <w:sz w:val="18"/>
          <w:szCs w:val="18"/>
          <w:lang w:val="en-US" w:eastAsia="zh-CN"/>
        </w:rPr>
        <w:t>6</w:t>
      </w:r>
      <w:r>
        <w:rPr>
          <w:rFonts w:ascii="Times New Roman" w:hAnsi="Times New Roman" w:cs="Times New Roman"/>
          <w:b/>
          <w:bCs/>
          <w:sz w:val="18"/>
          <w:szCs w:val="18"/>
        </w:rPr>
        <w:t xml:space="preserve">. Safety evaluation of AAV8-mediated </w:t>
      </w:r>
      <w:r>
        <w:rPr>
          <w:rFonts w:hint="eastAsia" w:ascii="Times New Roman" w:hAnsi="Times New Roman" w:cs="Times New Roman"/>
          <w:b/>
          <w:bCs/>
          <w:sz w:val="18"/>
          <w:szCs w:val="18"/>
          <w:lang w:val="en-US" w:eastAsia="zh-CN"/>
        </w:rPr>
        <w:t>t</w:t>
      </w:r>
      <w:r>
        <w:rPr>
          <w:rFonts w:ascii="Times New Roman" w:hAnsi="Times New Roman" w:cs="Times New Roman"/>
          <w:b/>
          <w:bCs/>
          <w:sz w:val="18"/>
          <w:szCs w:val="18"/>
        </w:rPr>
        <w:t>ymp knockdown in vivo.</w:t>
      </w:r>
      <w:r>
        <w:rPr>
          <w:rFonts w:hint="eastAsia" w:ascii="Times New Roman" w:hAnsi="Times New Roman" w:cs="Times New Roman"/>
          <w:b/>
          <w:bCs/>
          <w:sz w:val="18"/>
          <w:szCs w:val="18"/>
        </w:rPr>
        <w:t xml:space="preserve"> </w:t>
      </w:r>
      <w:r>
        <w:rPr>
          <w:rFonts w:ascii="Times New Roman" w:hAnsi="Times New Roman" w:cs="Times New Roman"/>
          <w:sz w:val="18"/>
          <w:szCs w:val="18"/>
        </w:rPr>
        <w:t xml:space="preserve">(A) In vivo bioluminescence imaging confirming efficient </w:t>
      </w:r>
      <w:r>
        <w:rPr>
          <w:rFonts w:hint="eastAsia" w:ascii="Times New Roman" w:hAnsi="Times New Roman" w:cs="Times New Roman"/>
          <w:sz w:val="18"/>
          <w:szCs w:val="18"/>
        </w:rPr>
        <w:t>pancreas</w:t>
      </w:r>
      <w:r>
        <w:rPr>
          <w:rFonts w:ascii="Times New Roman" w:hAnsi="Times New Roman" w:cs="Times New Roman"/>
          <w:sz w:val="18"/>
          <w:szCs w:val="18"/>
        </w:rPr>
        <w:t xml:space="preserve"> delivery of pAAV8-shRNA(Tymp) at escalating doses compared with control or saline-treated groups. (B) Representative immunofluorescence images of </w:t>
      </w:r>
      <w:r>
        <w:rPr>
          <w:rFonts w:hint="eastAsia" w:ascii="Times New Roman" w:hAnsi="Times New Roman" w:cs="Times New Roman"/>
          <w:sz w:val="18"/>
          <w:szCs w:val="18"/>
        </w:rPr>
        <w:t>pancreas</w:t>
      </w:r>
      <w:r>
        <w:rPr>
          <w:rFonts w:ascii="Times New Roman" w:hAnsi="Times New Roman" w:cs="Times New Roman"/>
          <w:sz w:val="18"/>
          <w:szCs w:val="18"/>
        </w:rPr>
        <w:t xml:space="preserve"> tissues showing AAV8 transduction efficiency in different treatment groups. (C) Serum biochemical assays, including alanine aminotransferase (ALT), aspartate aminotransferase (AST), albumin (ALB), blood urea nitrogen (BUN), and creatinine (CREA), indicating no significant hepatotoxicity or nephrotoxicity following administration of pAAV8-shRNA(Tymp) across multiple doses. (D) Hematoxylin and eosin (HE) staining of </w:t>
      </w:r>
      <w:r>
        <w:rPr>
          <w:rFonts w:hint="eastAsia" w:ascii="Times New Roman" w:hAnsi="Times New Roman" w:cs="Times New Roman"/>
          <w:sz w:val="18"/>
          <w:szCs w:val="18"/>
        </w:rPr>
        <w:t>pancreas</w:t>
      </w:r>
      <w:r>
        <w:rPr>
          <w:rFonts w:ascii="Times New Roman" w:hAnsi="Times New Roman" w:cs="Times New Roman"/>
          <w:sz w:val="18"/>
          <w:szCs w:val="18"/>
        </w:rPr>
        <w:t xml:space="preserve"> sections further confirmed preserved </w:t>
      </w:r>
      <w:r>
        <w:rPr>
          <w:rFonts w:hint="eastAsia" w:ascii="Times New Roman" w:hAnsi="Times New Roman" w:cs="Times New Roman"/>
          <w:sz w:val="18"/>
          <w:szCs w:val="18"/>
        </w:rPr>
        <w:t>pancreatic</w:t>
      </w:r>
      <w:r>
        <w:rPr>
          <w:rFonts w:ascii="Times New Roman" w:hAnsi="Times New Roman" w:cs="Times New Roman"/>
          <w:sz w:val="18"/>
          <w:szCs w:val="18"/>
        </w:rPr>
        <w:t xml:space="preserve"> architecture without evidence of pathological damage in AAV8-shRNA(Tymp)</w:t>
      </w:r>
      <w:r>
        <w:rPr>
          <w:rFonts w:hint="eastAsia" w:ascii="Times New Roman" w:hAnsi="Times New Roman" w:cs="Times New Roman"/>
          <w:sz w:val="18"/>
          <w:szCs w:val="18"/>
          <w:lang w:val="en-US" w:eastAsia="zh-CN"/>
        </w:rPr>
        <w:t>-</w:t>
      </w:r>
      <w:r>
        <w:rPr>
          <w:rFonts w:ascii="Times New Roman" w:hAnsi="Times New Roman" w:cs="Times New Roman"/>
          <w:sz w:val="18"/>
          <w:szCs w:val="18"/>
        </w:rPr>
        <w:t xml:space="preserve">treated mice. </w:t>
      </w:r>
    </w:p>
    <w:p w14:paraId="1A0F194F">
      <w:pPr>
        <w:rPr>
          <w:rFonts w:ascii="Times New Roman" w:hAnsi="Times New Roman" w:cs="Times New Roman"/>
          <w:sz w:val="18"/>
          <w:szCs w:val="18"/>
        </w:rPr>
      </w:pPr>
      <w:r>
        <w:rPr>
          <w:rFonts w:ascii="Times New Roman" w:hAnsi="Times New Roman" w:cs="Times New Roman"/>
          <w:sz w:val="18"/>
          <w:szCs w:val="18"/>
        </w:rPr>
        <w:br w:type="page"/>
      </w:r>
    </w:p>
    <w:p w14:paraId="19BB1B1A">
      <w:pPr>
        <w:widowControl/>
        <w:spacing w:after="160" w:line="278" w:lineRule="auto"/>
        <w:jc w:val="left"/>
        <w:rPr>
          <w:rFonts w:hint="eastAsia" w:ascii="Times New Roman" w:hAnsi="Times New Roman" w:cs="Times New Roman" w:eastAsiaTheme="minorEastAsia"/>
          <w:sz w:val="18"/>
          <w:szCs w:val="18"/>
          <w:lang w:eastAsia="zh-CN"/>
        </w:rPr>
      </w:pPr>
      <w:r>
        <w:rPr>
          <w:rFonts w:hint="eastAsia" w:ascii="Times New Roman" w:hAnsi="Times New Roman" w:cs="Times New Roman" w:eastAsiaTheme="minorEastAsia"/>
          <w:sz w:val="18"/>
          <w:szCs w:val="18"/>
          <w:lang w:eastAsia="zh-CN"/>
        </w:rPr>
        <w:drawing>
          <wp:inline distT="0" distB="0" distL="114300" distR="114300">
            <wp:extent cx="4105910" cy="1755775"/>
            <wp:effectExtent l="0" t="0" r="8890" b="6350"/>
            <wp:docPr id="8" name="图片 8" descr="Supplementary 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upplementary Figure 7"/>
                    <pic:cNvPicPr>
                      <a:picLocks noChangeAspect="1"/>
                    </pic:cNvPicPr>
                  </pic:nvPicPr>
                  <pic:blipFill>
                    <a:blip r:embed="rId12"/>
                    <a:stretch>
                      <a:fillRect/>
                    </a:stretch>
                  </pic:blipFill>
                  <pic:spPr>
                    <a:xfrm>
                      <a:off x="0" y="0"/>
                      <a:ext cx="4105910" cy="1755775"/>
                    </a:xfrm>
                    <a:prstGeom prst="rect">
                      <a:avLst/>
                    </a:prstGeom>
                  </pic:spPr>
                </pic:pic>
              </a:graphicData>
            </a:graphic>
          </wp:inline>
        </w:drawing>
      </w:r>
    </w:p>
    <w:p w14:paraId="42B803B6">
      <w:pPr>
        <w:rPr>
          <w:rFonts w:hint="default" w:ascii="Times New Roman" w:hAnsi="Times New Roman" w:cs="Times New Roman" w:eastAsiaTheme="minorEastAsia"/>
          <w:sz w:val="18"/>
          <w:szCs w:val="18"/>
          <w:lang w:val="en-US" w:eastAsia="zh-CN"/>
        </w:rPr>
      </w:pPr>
      <w:r>
        <w:rPr>
          <w:rFonts w:ascii="Times New Roman" w:hAnsi="Times New Roman" w:cs="Times New Roman"/>
          <w:b/>
          <w:bCs/>
          <w:sz w:val="18"/>
          <w:szCs w:val="18"/>
        </w:rPr>
        <w:t xml:space="preserve">Supplementary Figure </w:t>
      </w:r>
      <w:r>
        <w:rPr>
          <w:rFonts w:hint="eastAsia" w:ascii="Times New Roman" w:hAnsi="Times New Roman" w:cs="Times New Roman"/>
          <w:b/>
          <w:bCs/>
          <w:sz w:val="18"/>
          <w:szCs w:val="18"/>
          <w:lang w:val="en-US" w:eastAsia="zh-CN"/>
        </w:rPr>
        <w:t>7</w:t>
      </w:r>
      <w:r>
        <w:rPr>
          <w:rFonts w:ascii="Times New Roman" w:hAnsi="Times New Roman" w:cs="Times New Roman"/>
          <w:b/>
          <w:bCs/>
          <w:sz w:val="18"/>
          <w:szCs w:val="18"/>
        </w:rPr>
        <w:t>.</w:t>
      </w:r>
      <w:r>
        <w:rPr>
          <w:rFonts w:hint="eastAsia" w:ascii="Times New Roman" w:hAnsi="Times New Roman" w:cs="Times New Roman"/>
          <w:b/>
          <w:bCs/>
          <w:sz w:val="18"/>
          <w:szCs w:val="18"/>
          <w:lang w:val="en-US" w:eastAsia="zh-CN"/>
        </w:rPr>
        <w:t xml:space="preserve"> Impact of </w:t>
      </w:r>
      <w:r>
        <w:rPr>
          <w:rFonts w:ascii="Times New Roman" w:hAnsi="Times New Roman" w:cs="Times New Roman"/>
          <w:b/>
          <w:bCs/>
          <w:sz w:val="18"/>
          <w:szCs w:val="18"/>
        </w:rPr>
        <w:t>AAV8-mediated Tymp knockdown</w:t>
      </w:r>
      <w:r>
        <w:rPr>
          <w:rFonts w:hint="eastAsia" w:ascii="Times New Roman" w:hAnsi="Times New Roman" w:cs="Times New Roman"/>
          <w:b/>
          <w:bCs/>
          <w:sz w:val="18"/>
          <w:szCs w:val="18"/>
          <w:lang w:val="en-US" w:eastAsia="zh-CN"/>
        </w:rPr>
        <w:t xml:space="preserve"> on liver. </w:t>
      </w:r>
      <w:r>
        <w:rPr>
          <w:rFonts w:ascii="Times New Roman" w:hAnsi="Times New Roman" w:cs="Times New Roman"/>
          <w:sz w:val="18"/>
          <w:szCs w:val="18"/>
        </w:rPr>
        <w:t xml:space="preserve">Representative immunohistochemistry (IHC) </w:t>
      </w:r>
      <w:r>
        <w:rPr>
          <w:rFonts w:hint="eastAsia" w:ascii="Times New Roman" w:hAnsi="Times New Roman" w:cs="Times New Roman"/>
          <w:sz w:val="18"/>
          <w:szCs w:val="18"/>
          <w:lang w:val="en-US" w:eastAsia="zh-CN"/>
        </w:rPr>
        <w:t xml:space="preserve">assays </w:t>
      </w:r>
      <w:r>
        <w:rPr>
          <w:rFonts w:ascii="Times New Roman" w:hAnsi="Times New Roman" w:cs="Times New Roman"/>
          <w:sz w:val="18"/>
          <w:szCs w:val="18"/>
        </w:rPr>
        <w:t>confirming</w:t>
      </w:r>
      <w:r>
        <w:rPr>
          <w:rFonts w:hint="eastAsia" w:ascii="Times New Roman" w:hAnsi="Times New Roman" w:cs="Times New Roman"/>
          <w:sz w:val="18"/>
          <w:szCs w:val="18"/>
          <w:lang w:val="en-US" w:eastAsia="zh-CN"/>
        </w:rPr>
        <w:t xml:space="preserve"> no significant difference of tymp expression between AAV-NC and AAV-Tymp groups. </w:t>
      </w:r>
    </w:p>
    <w:p w14:paraId="2C6C9A9A">
      <w:pPr>
        <w:rPr>
          <w:rFonts w:hint="eastAsia" w:ascii="Times New Roman" w:hAnsi="Times New Roman" w:cs="Times New Roman" w:eastAsiaTheme="minorEastAsia"/>
          <w:sz w:val="18"/>
          <w:szCs w:val="18"/>
          <w:lang w:eastAsia="zh-CN"/>
        </w:rPr>
      </w:pPr>
      <w:r>
        <w:rPr>
          <w:rFonts w:hint="eastAsia" w:ascii="Times New Roman" w:hAnsi="Times New Roman" w:cs="Times New Roman" w:eastAsiaTheme="minorEastAsia"/>
          <w:sz w:val="18"/>
          <w:szCs w:val="18"/>
          <w:lang w:eastAsia="zh-CN"/>
        </w:rPr>
        <w:br w:type="page"/>
      </w:r>
    </w:p>
    <w:p w14:paraId="59438468">
      <w:pPr>
        <w:rPr>
          <w:rFonts w:hint="eastAsia" w:ascii="Times New Roman" w:hAnsi="Times New Roman" w:cs="Times New Roman" w:eastAsiaTheme="minorEastAsia"/>
          <w:sz w:val="18"/>
          <w:szCs w:val="18"/>
          <w:lang w:eastAsia="zh-CN"/>
        </w:rPr>
      </w:pPr>
      <w:r>
        <w:rPr>
          <w:rFonts w:hint="eastAsia" w:ascii="Times New Roman" w:hAnsi="Times New Roman" w:cs="Times New Roman" w:eastAsiaTheme="minorEastAsia"/>
          <w:sz w:val="18"/>
          <w:szCs w:val="18"/>
          <w:lang w:eastAsia="zh-CN"/>
        </w:rPr>
        <w:drawing>
          <wp:inline distT="0" distB="0" distL="114300" distR="114300">
            <wp:extent cx="5270500" cy="2554605"/>
            <wp:effectExtent l="0" t="0" r="6350" b="7620"/>
            <wp:docPr id="12" name="图片 12" descr="Supplementary 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upplementary Figure 8"/>
                    <pic:cNvPicPr>
                      <a:picLocks noChangeAspect="1"/>
                    </pic:cNvPicPr>
                  </pic:nvPicPr>
                  <pic:blipFill>
                    <a:blip r:embed="rId13"/>
                    <a:stretch>
                      <a:fillRect/>
                    </a:stretch>
                  </pic:blipFill>
                  <pic:spPr>
                    <a:xfrm>
                      <a:off x="0" y="0"/>
                      <a:ext cx="5270500" cy="2554605"/>
                    </a:xfrm>
                    <a:prstGeom prst="rect">
                      <a:avLst/>
                    </a:prstGeom>
                  </pic:spPr>
                </pic:pic>
              </a:graphicData>
            </a:graphic>
          </wp:inline>
        </w:drawing>
      </w:r>
    </w:p>
    <w:p w14:paraId="721A3CD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cs="Times New Roman"/>
          <w:b w:val="0"/>
          <w:bCs w:val="0"/>
          <w:sz w:val="18"/>
          <w:szCs w:val="18"/>
          <w:lang w:val="en-US" w:eastAsia="zh-CN"/>
        </w:rPr>
      </w:pPr>
      <w:r>
        <w:rPr>
          <w:rFonts w:ascii="Times New Roman" w:hAnsi="Times New Roman" w:cs="Times New Roman"/>
          <w:b/>
          <w:bCs/>
          <w:sz w:val="18"/>
          <w:szCs w:val="18"/>
        </w:rPr>
        <w:t xml:space="preserve">Supplementary Figure </w:t>
      </w:r>
      <w:r>
        <w:rPr>
          <w:rFonts w:hint="eastAsia" w:ascii="Times New Roman" w:hAnsi="Times New Roman" w:cs="Times New Roman"/>
          <w:b/>
          <w:bCs/>
          <w:sz w:val="18"/>
          <w:szCs w:val="18"/>
          <w:lang w:val="en-US" w:eastAsia="zh-CN"/>
        </w:rPr>
        <w:t xml:space="preserve">8. Tymp knockdown suppresses pancreatic ductal remodeling and acinar-to-ductal metaplasia (ADM) in Kras-driven mice. </w:t>
      </w:r>
      <w:r>
        <w:rPr>
          <w:rFonts w:hint="eastAsia" w:ascii="Times New Roman" w:hAnsi="Times New Roman" w:cs="Times New Roman"/>
          <w:b w:val="0"/>
          <w:bCs w:val="0"/>
          <w:sz w:val="18"/>
          <w:szCs w:val="18"/>
          <w:lang w:val="en-US" w:eastAsia="zh-CN"/>
        </w:rPr>
        <w:t>(A) Representative Alcian Blue staining of pancreatic tissues. (B) Immunofluorescence (IF) staining showing expression of ductal marker CK19 (green), acinar marker amylase (red), and nuclei (DAPI, blue) in pancreatic tissues.</w:t>
      </w:r>
    </w:p>
    <w:p w14:paraId="22C0EABE">
      <w:pPr>
        <w:rPr>
          <w:rFonts w:hint="eastAsia" w:ascii="Times New Roman" w:hAnsi="Times New Roman" w:cs="Times New Roman"/>
          <w:b w:val="0"/>
          <w:bCs w:val="0"/>
          <w:sz w:val="18"/>
          <w:szCs w:val="18"/>
          <w:lang w:val="en-US" w:eastAsia="zh-CN"/>
        </w:rPr>
      </w:pPr>
      <w:r>
        <w:rPr>
          <w:rFonts w:hint="eastAsia" w:ascii="Times New Roman" w:hAnsi="Times New Roman" w:cs="Times New Roman"/>
          <w:b w:val="0"/>
          <w:bCs w:val="0"/>
          <w:sz w:val="18"/>
          <w:szCs w:val="18"/>
          <w:lang w:val="en-US" w:eastAsia="zh-CN"/>
        </w:rPr>
        <w:br w:type="page"/>
      </w:r>
    </w:p>
    <w:p w14:paraId="51FA9C62">
      <w:pPr>
        <w:rPr>
          <w:rFonts w:hint="default" w:ascii="Times New Roman" w:hAnsi="Times New Roman" w:cs="Times New Roman"/>
          <w:b/>
          <w:bCs/>
          <w:sz w:val="18"/>
          <w:szCs w:val="18"/>
          <w:lang w:val="en-US" w:eastAsia="zh-CN"/>
        </w:rPr>
      </w:pPr>
      <w:r>
        <w:rPr>
          <w:rFonts w:hint="default" w:ascii="Times New Roman" w:hAnsi="Times New Roman" w:cs="Times New Roman"/>
          <w:b/>
          <w:bCs/>
          <w:sz w:val="18"/>
          <w:szCs w:val="18"/>
          <w:lang w:val="en-US" w:eastAsia="zh-CN"/>
        </w:rPr>
        <w:drawing>
          <wp:inline distT="0" distB="0" distL="114300" distR="114300">
            <wp:extent cx="5271770" cy="2587625"/>
            <wp:effectExtent l="0" t="0" r="5080" b="3175"/>
            <wp:docPr id="13" name="图片 13" descr="Supplementary 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upplementary Figure 9"/>
                    <pic:cNvPicPr>
                      <a:picLocks noChangeAspect="1"/>
                    </pic:cNvPicPr>
                  </pic:nvPicPr>
                  <pic:blipFill>
                    <a:blip r:embed="rId14"/>
                    <a:stretch>
                      <a:fillRect/>
                    </a:stretch>
                  </pic:blipFill>
                  <pic:spPr>
                    <a:xfrm>
                      <a:off x="0" y="0"/>
                      <a:ext cx="5271770" cy="2587625"/>
                    </a:xfrm>
                    <a:prstGeom prst="rect">
                      <a:avLst/>
                    </a:prstGeom>
                  </pic:spPr>
                </pic:pic>
              </a:graphicData>
            </a:graphic>
          </wp:inline>
        </w:drawing>
      </w:r>
    </w:p>
    <w:p w14:paraId="41986B8F">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b w:val="0"/>
          <w:bCs w:val="0"/>
          <w:sz w:val="18"/>
          <w:szCs w:val="18"/>
          <w:lang w:val="en-US" w:eastAsia="zh-CN"/>
        </w:rPr>
      </w:pPr>
      <w:r>
        <w:rPr>
          <w:rFonts w:ascii="Times New Roman" w:hAnsi="Times New Roman" w:cs="Times New Roman"/>
          <w:b/>
          <w:bCs/>
          <w:sz w:val="18"/>
          <w:szCs w:val="18"/>
        </w:rPr>
        <w:t xml:space="preserve">Supplementary Figure </w:t>
      </w:r>
      <w:r>
        <w:rPr>
          <w:rFonts w:hint="eastAsia" w:ascii="Times New Roman" w:hAnsi="Times New Roman" w:cs="Times New Roman"/>
          <w:b/>
          <w:bCs/>
          <w:sz w:val="18"/>
          <w:szCs w:val="18"/>
          <w:lang w:val="en-US" w:eastAsia="zh-CN"/>
        </w:rPr>
        <w:t xml:space="preserve">9. TYMP knockdown inhibits pancreatic cancer cell proliferation, migration and invasion. </w:t>
      </w:r>
      <w:r>
        <w:rPr>
          <w:rFonts w:hint="eastAsia" w:ascii="Times New Roman" w:hAnsi="Times New Roman" w:cs="Times New Roman"/>
          <w:b w:val="0"/>
          <w:bCs w:val="0"/>
          <w:sz w:val="18"/>
          <w:szCs w:val="18"/>
          <w:lang w:val="en-US" w:eastAsia="zh-CN"/>
        </w:rPr>
        <w:t xml:space="preserve">(A) Relative TYMP expression levels in cells transfected with control shRNA (shNC) or three independent shRNAs targeting TYMP (shTYMP #1-#3). (B-D) Cell viability assessed by CCK-8 assay at 24h, 48h, and 72h. (E) Wound-healing assay showing cell migration at 0 h and 24 h in shNC and TYMP-knockdown cells. (F) Transwell invasion assay showing decreased invasive capacity in TYMP-knockdown cells compared with control. Statistical significance is indicated as *P &lt; 0.05, **P &lt; 0.01, ***P &lt; 0.001; ns, not significant. </w:t>
      </w:r>
    </w:p>
    <w:p w14:paraId="4A5B3C4D">
      <w:pPr>
        <w:rPr>
          <w:rFonts w:hint="default" w:ascii="Times New Roman" w:hAnsi="Times New Roman" w:cs="Times New Roman"/>
          <w:b/>
          <w:bCs/>
          <w:sz w:val="18"/>
          <w:szCs w:val="18"/>
          <w:lang w:val="en-US" w:eastAsia="zh-CN"/>
        </w:rPr>
      </w:pPr>
    </w:p>
    <w:p w14:paraId="26413511">
      <w:pPr>
        <w:rPr>
          <w:rFonts w:hint="default" w:ascii="Times New Roman" w:hAnsi="Times New Roman" w:cs="Times New Roman"/>
          <w:b/>
          <w:bCs/>
          <w:sz w:val="18"/>
          <w:szCs w:val="18"/>
          <w:lang w:val="en-US" w:eastAsia="zh-CN"/>
        </w:rPr>
      </w:pPr>
    </w:p>
    <w:p w14:paraId="65DD0638">
      <w:pPr>
        <w:rPr>
          <w:rFonts w:hint="default" w:ascii="Times New Roman" w:hAnsi="Times New Roman" w:cs="Times New Roman"/>
          <w:b/>
          <w:bCs/>
          <w:sz w:val="18"/>
          <w:szCs w:val="18"/>
          <w:lang w:val="en-US" w:eastAsia="zh-CN"/>
        </w:rPr>
      </w:pPr>
    </w:p>
    <w:p w14:paraId="4C23540D">
      <w:pPr>
        <w:rPr>
          <w:rFonts w:hint="default" w:ascii="Times New Roman" w:hAnsi="Times New Roman" w:cs="Times New Roman"/>
          <w:b/>
          <w:bCs/>
          <w:sz w:val="18"/>
          <w:szCs w:val="18"/>
          <w:lang w:val="en-US" w:eastAsia="zh-CN"/>
        </w:rPr>
      </w:pPr>
      <w:r>
        <w:rPr>
          <w:rFonts w:hint="default" w:ascii="Times New Roman" w:hAnsi="Times New Roman" w:cs="Times New Roman"/>
          <w:b/>
          <w:bCs/>
          <w:sz w:val="18"/>
          <w:szCs w:val="18"/>
          <w:lang w:val="en-US" w:eastAsia="zh-CN"/>
        </w:rPr>
        <w:br w:type="page"/>
      </w:r>
    </w:p>
    <w:p w14:paraId="09309E98">
      <w:pPr>
        <w:widowControl/>
        <w:spacing w:after="160" w:line="240" w:lineRule="exact"/>
        <w:rPr>
          <w:rFonts w:hint="eastAsia" w:ascii="Times New Roman" w:hAnsi="Times New Roman" w:cs="Times New Roman" w:eastAsiaTheme="minorEastAsia"/>
          <w:b/>
          <w:bCs/>
          <w:sz w:val="18"/>
          <w:szCs w:val="18"/>
          <w:lang w:eastAsia="zh-CN"/>
        </w:rPr>
      </w:pPr>
      <w:r>
        <w:rPr>
          <w:rFonts w:hint="eastAsia" w:ascii="Times New Roman" w:hAnsi="Times New Roman" w:cs="Times New Roman" w:eastAsiaTheme="minorEastAsia"/>
          <w:b/>
          <w:bCs/>
          <w:sz w:val="18"/>
          <w:szCs w:val="18"/>
          <w:lang w:eastAsia="zh-CN"/>
        </w:rPr>
        <w:drawing>
          <wp:anchor distT="0" distB="0" distL="114300" distR="114300" simplePos="0" relativeHeight="251663360" behindDoc="0" locked="0" layoutInCell="1" allowOverlap="1">
            <wp:simplePos x="0" y="0"/>
            <wp:positionH relativeFrom="column">
              <wp:posOffset>-43180</wp:posOffset>
            </wp:positionH>
            <wp:positionV relativeFrom="paragraph">
              <wp:posOffset>78105</wp:posOffset>
            </wp:positionV>
            <wp:extent cx="5269230" cy="4110355"/>
            <wp:effectExtent l="0" t="0" r="7620" b="4445"/>
            <wp:wrapSquare wrapText="bothSides"/>
            <wp:docPr id="14" name="图片 14" descr="Supplementary 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upplementary Figure 10"/>
                    <pic:cNvPicPr>
                      <a:picLocks noChangeAspect="1"/>
                    </pic:cNvPicPr>
                  </pic:nvPicPr>
                  <pic:blipFill>
                    <a:blip r:embed="rId15"/>
                    <a:stretch>
                      <a:fillRect/>
                    </a:stretch>
                  </pic:blipFill>
                  <pic:spPr>
                    <a:xfrm>
                      <a:off x="0" y="0"/>
                      <a:ext cx="5269230" cy="4110355"/>
                    </a:xfrm>
                    <a:prstGeom prst="rect">
                      <a:avLst/>
                    </a:prstGeom>
                  </pic:spPr>
                </pic:pic>
              </a:graphicData>
            </a:graphic>
          </wp:anchor>
        </w:drawing>
      </w:r>
    </w:p>
    <w:p w14:paraId="2436B1E2">
      <w:pPr>
        <w:widowControl/>
        <w:spacing w:after="160" w:line="240" w:lineRule="exact"/>
        <w:rPr>
          <w:rFonts w:ascii="Times New Roman" w:hAnsi="Times New Roman" w:cs="Times New Roman"/>
          <w:sz w:val="18"/>
          <w:szCs w:val="18"/>
        </w:rPr>
      </w:pPr>
      <w:r>
        <w:rPr>
          <w:rFonts w:ascii="Times New Roman" w:hAnsi="Times New Roman" w:cs="Times New Roman"/>
          <w:b/>
          <w:bCs/>
          <w:sz w:val="18"/>
          <w:szCs w:val="18"/>
        </w:rPr>
        <w:t xml:space="preserve">Supplementary Figure </w:t>
      </w:r>
      <w:r>
        <w:rPr>
          <w:rFonts w:hint="eastAsia" w:ascii="Times New Roman" w:hAnsi="Times New Roman" w:cs="Times New Roman"/>
          <w:b/>
          <w:bCs/>
          <w:sz w:val="18"/>
          <w:szCs w:val="18"/>
          <w:lang w:val="en-US" w:eastAsia="zh-CN"/>
        </w:rPr>
        <w:t>10</w:t>
      </w:r>
      <w:r>
        <w:rPr>
          <w:rFonts w:ascii="Times New Roman" w:hAnsi="Times New Roman" w:cs="Times New Roman"/>
          <w:b/>
          <w:bCs/>
          <w:sz w:val="18"/>
          <w:szCs w:val="18"/>
        </w:rPr>
        <w:t>. K</w:t>
      </w:r>
      <w:r>
        <w:rPr>
          <w:rFonts w:hint="eastAsia" w:ascii="Times New Roman" w:hAnsi="Times New Roman" w:cs="Times New Roman"/>
          <w:b/>
          <w:bCs/>
          <w:sz w:val="18"/>
          <w:szCs w:val="18"/>
          <w:lang w:val="en-US" w:eastAsia="zh-CN"/>
        </w:rPr>
        <w:t>lf</w:t>
      </w:r>
      <w:r>
        <w:rPr>
          <w:rFonts w:ascii="Times New Roman" w:hAnsi="Times New Roman" w:cs="Times New Roman"/>
          <w:b/>
          <w:bCs/>
          <w:sz w:val="18"/>
          <w:szCs w:val="18"/>
        </w:rPr>
        <w:t>4 directly binds to the Tymp promoter and activates its transcription.</w:t>
      </w:r>
      <w:r>
        <w:rPr>
          <w:rFonts w:hint="eastAsia" w:ascii="Times New Roman" w:hAnsi="Times New Roman" w:cs="Times New Roman"/>
          <w:b/>
          <w:bCs/>
          <w:sz w:val="18"/>
          <w:szCs w:val="18"/>
        </w:rPr>
        <w:t xml:space="preserve"> </w:t>
      </w:r>
      <w:r>
        <w:rPr>
          <w:rFonts w:ascii="Times New Roman" w:hAnsi="Times New Roman" w:cs="Times New Roman"/>
          <w:sz w:val="18"/>
          <w:szCs w:val="18"/>
        </w:rPr>
        <w:t>(</w:t>
      </w:r>
      <w:r>
        <w:rPr>
          <w:rFonts w:hint="eastAsia" w:ascii="Times New Roman" w:hAnsi="Times New Roman" w:cs="Times New Roman"/>
          <w:sz w:val="18"/>
          <w:szCs w:val="18"/>
          <w:lang w:val="en-US" w:eastAsia="zh-CN"/>
        </w:rPr>
        <w:t>A</w:t>
      </w:r>
      <w:r>
        <w:rPr>
          <w:rFonts w:ascii="Times New Roman" w:hAnsi="Times New Roman" w:cs="Times New Roman"/>
          <w:sz w:val="18"/>
          <w:szCs w:val="18"/>
        </w:rPr>
        <w:t>) Schematic representation of predicted K</w:t>
      </w:r>
      <w:r>
        <w:rPr>
          <w:rFonts w:hint="eastAsia" w:ascii="Times New Roman" w:hAnsi="Times New Roman" w:cs="Times New Roman"/>
          <w:sz w:val="18"/>
          <w:szCs w:val="18"/>
          <w:lang w:val="en-US" w:eastAsia="zh-CN"/>
        </w:rPr>
        <w:t>lf</w:t>
      </w:r>
      <w:r>
        <w:rPr>
          <w:rFonts w:ascii="Times New Roman" w:hAnsi="Times New Roman" w:cs="Times New Roman"/>
          <w:sz w:val="18"/>
          <w:szCs w:val="18"/>
        </w:rPr>
        <w:t>4-binding motifs within the Tymp promoter region (−2000 to +100 bp relative to the transcription start site, TSS). (</w:t>
      </w:r>
      <w:r>
        <w:rPr>
          <w:rFonts w:hint="eastAsia" w:ascii="Times New Roman" w:hAnsi="Times New Roman" w:cs="Times New Roman"/>
          <w:sz w:val="18"/>
          <w:szCs w:val="18"/>
          <w:lang w:val="en-US" w:eastAsia="zh-CN"/>
        </w:rPr>
        <w:t>B</w:t>
      </w:r>
      <w:r>
        <w:rPr>
          <w:rFonts w:ascii="Times New Roman" w:hAnsi="Times New Roman" w:cs="Times New Roman"/>
          <w:sz w:val="18"/>
          <w:szCs w:val="18"/>
        </w:rPr>
        <w:t xml:space="preserve">) </w:t>
      </w:r>
      <w:r>
        <w:rPr>
          <w:rFonts w:hint="eastAsia" w:ascii="Times New Roman" w:hAnsi="Times New Roman" w:cs="Times New Roman"/>
          <w:sz w:val="18"/>
          <w:szCs w:val="18"/>
        </w:rPr>
        <w:t>The dual-luciferase reporter assay verified the regulatory relationship between the transcription factor K</w:t>
      </w:r>
      <w:r>
        <w:rPr>
          <w:rFonts w:hint="eastAsia" w:ascii="Times New Roman" w:hAnsi="Times New Roman" w:cs="Times New Roman"/>
          <w:sz w:val="18"/>
          <w:szCs w:val="18"/>
          <w:lang w:val="en-US" w:eastAsia="zh-CN"/>
        </w:rPr>
        <w:t>lf</w:t>
      </w:r>
      <w:r>
        <w:rPr>
          <w:rFonts w:hint="eastAsia" w:ascii="Times New Roman" w:hAnsi="Times New Roman" w:cs="Times New Roman"/>
          <w:sz w:val="18"/>
          <w:szCs w:val="18"/>
        </w:rPr>
        <w:t>4 and the T</w:t>
      </w:r>
      <w:r>
        <w:rPr>
          <w:rFonts w:hint="eastAsia" w:ascii="Times New Roman" w:hAnsi="Times New Roman" w:cs="Times New Roman"/>
          <w:sz w:val="18"/>
          <w:szCs w:val="18"/>
          <w:lang w:val="en-US" w:eastAsia="zh-CN"/>
        </w:rPr>
        <w:t>ymp</w:t>
      </w:r>
      <w:r>
        <w:rPr>
          <w:rFonts w:hint="eastAsia" w:ascii="Times New Roman" w:hAnsi="Times New Roman" w:cs="Times New Roman"/>
          <w:sz w:val="18"/>
          <w:szCs w:val="18"/>
        </w:rPr>
        <w:t xml:space="preserve"> gene.</w:t>
      </w:r>
      <w:r>
        <w:rPr>
          <w:rFonts w:hint="eastAsia" w:ascii="Times New Roman" w:hAnsi="Times New Roman" w:cs="Times New Roman"/>
          <w:sz w:val="18"/>
          <w:szCs w:val="18"/>
          <w:lang w:val="en-US" w:eastAsia="zh-CN"/>
        </w:rPr>
        <w:t xml:space="preserve"> (C) Experimental design for in vivo studies. KC mice were injected intraperitoneally (i.p.) with AAV-Klf4, followed by caerulein treatment. Pancreatic tissues were collected for histological and immunohistochemical analyses at indicated time points. (D) Representative images of HE staining, immunohistochemistry (IHC) for KLF4 and TYMP, and immunofluorescence (IF) staining for amylase (red) and CK19 (green) in Klf4-NC and Klf4-overexpressing (Klf4-OE) mice. (E) Schematic of AAV-mediated Klf4 overexpression in normal mice and subsequent pancreatic organoid derivation. (F) Representative images of pancreatic organoids derived from AAV-Klf4-treated mice with or without thymidine phosphorylase inhibitor (TPI, 20</w:t>
      </w:r>
      <w:r>
        <w:rPr>
          <w:rFonts w:hint="default" w:ascii="Times New Roman" w:hAnsi="Times New Roman" w:cs="Times New Roman"/>
          <w:sz w:val="18"/>
          <w:szCs w:val="18"/>
          <w:lang w:val="en-US" w:eastAsia="zh-CN"/>
        </w:rPr>
        <w:t>μ</w:t>
      </w:r>
      <w:r>
        <w:rPr>
          <w:rFonts w:hint="eastAsia" w:ascii="Times New Roman" w:hAnsi="Times New Roman" w:cs="Times New Roman"/>
          <w:sz w:val="18"/>
          <w:szCs w:val="18"/>
          <w:lang w:val="en-US" w:eastAsia="zh-CN"/>
        </w:rPr>
        <w:t>M). Statistical significance is indicated as ***P &lt; 0.001; ns, not significant.</w:t>
      </w:r>
    </w:p>
    <w:p w14:paraId="4600451B">
      <w:pPr>
        <w:rPr>
          <w:rFonts w:ascii="Times New Roman" w:hAnsi="Times New Roman" w:cs="Times New Roman"/>
          <w:sz w:val="18"/>
          <w:szCs w:val="18"/>
        </w:rPr>
      </w:pPr>
      <w:r>
        <w:rPr>
          <w:rFonts w:ascii="Times New Roman" w:hAnsi="Times New Roman" w:cs="Times New Roman"/>
          <w:sz w:val="18"/>
          <w:szCs w:val="18"/>
        </w:rPr>
        <w:br w:type="page"/>
      </w:r>
    </w:p>
    <w:p w14:paraId="4EEC7159">
      <w:pPr>
        <w:widowControl/>
        <w:spacing w:after="160" w:line="240" w:lineRule="exact"/>
        <w:rPr>
          <w:rFonts w:hint="eastAsia" w:ascii="Times New Roman" w:hAnsi="Times New Roman" w:cs="Times New Roman" w:eastAsiaTheme="minorEastAsia"/>
          <w:sz w:val="18"/>
          <w:szCs w:val="18"/>
          <w:lang w:eastAsia="zh-CN"/>
        </w:rPr>
      </w:pPr>
      <w:r>
        <w:rPr>
          <w:rFonts w:hint="eastAsia" w:ascii="Times New Roman" w:hAnsi="Times New Roman" w:cs="Times New Roman" w:eastAsiaTheme="minorEastAsia"/>
          <w:sz w:val="18"/>
          <w:szCs w:val="18"/>
          <w:lang w:eastAsia="zh-CN"/>
        </w:rPr>
        <w:drawing>
          <wp:anchor distT="0" distB="0" distL="114300" distR="114300" simplePos="0" relativeHeight="251664384" behindDoc="0" locked="0" layoutInCell="1" allowOverlap="1">
            <wp:simplePos x="0" y="0"/>
            <wp:positionH relativeFrom="column">
              <wp:posOffset>61595</wp:posOffset>
            </wp:positionH>
            <wp:positionV relativeFrom="paragraph">
              <wp:posOffset>52705</wp:posOffset>
            </wp:positionV>
            <wp:extent cx="5271770" cy="3100070"/>
            <wp:effectExtent l="0" t="0" r="5080" b="5080"/>
            <wp:wrapSquare wrapText="bothSides"/>
            <wp:docPr id="17" name="图片 17" descr="Supplementary 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Supplementary Figure 11"/>
                    <pic:cNvPicPr>
                      <a:picLocks noChangeAspect="1"/>
                    </pic:cNvPicPr>
                  </pic:nvPicPr>
                  <pic:blipFill>
                    <a:blip r:embed="rId16"/>
                    <a:stretch>
                      <a:fillRect/>
                    </a:stretch>
                  </pic:blipFill>
                  <pic:spPr>
                    <a:xfrm>
                      <a:off x="0" y="0"/>
                      <a:ext cx="5271770" cy="3100070"/>
                    </a:xfrm>
                    <a:prstGeom prst="rect">
                      <a:avLst/>
                    </a:prstGeom>
                  </pic:spPr>
                </pic:pic>
              </a:graphicData>
            </a:graphic>
          </wp:anchor>
        </w:drawing>
      </w:r>
    </w:p>
    <w:p w14:paraId="1731872F">
      <w:pPr>
        <w:widowControl/>
        <w:spacing w:after="160" w:line="240" w:lineRule="exact"/>
        <w:rPr>
          <w:rFonts w:hint="default" w:ascii="Times New Roman" w:hAnsi="Times New Roman" w:cs="Times New Roman"/>
          <w:sz w:val="18"/>
          <w:szCs w:val="18"/>
        </w:rPr>
      </w:pPr>
      <w:r>
        <w:rPr>
          <w:rFonts w:hint="default" w:ascii="Times New Roman" w:hAnsi="Times New Roman" w:cs="Times New Roman"/>
          <w:b/>
          <w:bCs/>
          <w:sz w:val="18"/>
          <w:szCs w:val="18"/>
        </w:rPr>
        <w:t xml:space="preserve">Supplementary Figure </w:t>
      </w:r>
      <w:r>
        <w:rPr>
          <w:rFonts w:hint="default" w:ascii="Times New Roman" w:hAnsi="Times New Roman" w:cs="Times New Roman"/>
          <w:b/>
          <w:bCs/>
          <w:sz w:val="18"/>
          <w:szCs w:val="18"/>
          <w:lang w:val="en-US" w:eastAsia="zh-CN"/>
        </w:rPr>
        <w:t>11</w:t>
      </w:r>
      <w:r>
        <w:rPr>
          <w:rFonts w:hint="default" w:ascii="Times New Roman" w:hAnsi="Times New Roman" w:cs="Times New Roman"/>
          <w:b/>
          <w:bCs/>
          <w:sz w:val="18"/>
          <w:szCs w:val="18"/>
        </w:rPr>
        <w:t>. T</w:t>
      </w:r>
      <w:r>
        <w:rPr>
          <w:rFonts w:hint="eastAsia" w:ascii="Times New Roman" w:hAnsi="Times New Roman" w:cs="Times New Roman"/>
          <w:b/>
          <w:bCs/>
          <w:sz w:val="18"/>
          <w:szCs w:val="18"/>
          <w:lang w:val="en-US" w:eastAsia="zh-CN"/>
        </w:rPr>
        <w:t>ymp</w:t>
      </w:r>
      <w:r>
        <w:rPr>
          <w:rFonts w:hint="default" w:ascii="Times New Roman" w:hAnsi="Times New Roman" w:cs="Times New Roman"/>
          <w:b/>
          <w:bCs/>
          <w:sz w:val="18"/>
          <w:szCs w:val="18"/>
        </w:rPr>
        <w:t xml:space="preserve"> promotes pancreatic organoid growth via </w:t>
      </w:r>
      <w:r>
        <w:rPr>
          <w:rFonts w:hint="eastAsia" w:ascii="Times New Roman" w:hAnsi="Times New Roman" w:cs="Times New Roman"/>
          <w:b/>
          <w:bCs/>
          <w:sz w:val="18"/>
          <w:szCs w:val="18"/>
          <w:lang w:val="en-US" w:eastAsia="zh-CN"/>
        </w:rPr>
        <w:t xml:space="preserve">Pi3k/Akt and </w:t>
      </w:r>
      <w:r>
        <w:rPr>
          <w:rFonts w:hint="default" w:ascii="Times New Roman" w:hAnsi="Times New Roman" w:cs="Times New Roman"/>
          <w:b/>
          <w:bCs/>
          <w:sz w:val="18"/>
          <w:szCs w:val="18"/>
        </w:rPr>
        <w:t>M</w:t>
      </w:r>
      <w:r>
        <w:rPr>
          <w:rFonts w:hint="eastAsia" w:ascii="Times New Roman" w:hAnsi="Times New Roman" w:cs="Times New Roman"/>
          <w:b/>
          <w:bCs/>
          <w:sz w:val="18"/>
          <w:szCs w:val="18"/>
          <w:lang w:val="en-US" w:eastAsia="zh-CN"/>
        </w:rPr>
        <w:t>ek/Erk</w:t>
      </w:r>
      <w:r>
        <w:rPr>
          <w:rFonts w:hint="default" w:ascii="Times New Roman" w:hAnsi="Times New Roman" w:cs="Times New Roman"/>
          <w:b/>
          <w:bCs/>
          <w:sz w:val="18"/>
          <w:szCs w:val="18"/>
        </w:rPr>
        <w:t xml:space="preserve"> signaling.</w:t>
      </w:r>
      <w:r>
        <w:rPr>
          <w:rFonts w:hint="default" w:ascii="Times New Roman" w:hAnsi="Times New Roman" w:cs="Times New Roman"/>
          <w:b/>
          <w:bCs/>
          <w:sz w:val="18"/>
          <w:szCs w:val="18"/>
          <w:lang w:val="en-US" w:eastAsia="zh-CN"/>
        </w:rPr>
        <w:t xml:space="preserve"> </w:t>
      </w:r>
      <w:r>
        <w:rPr>
          <w:rFonts w:hint="default" w:ascii="Times New Roman" w:hAnsi="Times New Roman" w:cs="Times New Roman"/>
          <w:b w:val="0"/>
          <w:bCs w:val="0"/>
          <w:sz w:val="18"/>
          <w:szCs w:val="18"/>
        </w:rPr>
        <w:t>(A) Representative bright-field images of pancreatic organoids under different conditions at Days 1, 3, and 5. Compared with control (NC), TYMP overexpression (Tymp-OE) markedly enhances organoid growth, while treatment with the MAPK pathway inhibitor PD98059 (20μM) attenuates this effect.</w:t>
      </w:r>
      <w:r>
        <w:rPr>
          <w:rFonts w:hint="default" w:ascii="Times New Roman" w:hAnsi="Times New Roman" w:cs="Times New Roman"/>
          <w:b w:val="0"/>
          <w:bCs w:val="0"/>
          <w:sz w:val="18"/>
          <w:szCs w:val="18"/>
          <w:lang w:val="en-US" w:eastAsia="zh-CN"/>
        </w:rPr>
        <w:t xml:space="preserve"> </w:t>
      </w:r>
      <w:r>
        <w:rPr>
          <w:rFonts w:hint="default" w:ascii="Times New Roman" w:hAnsi="Times New Roman" w:cs="Times New Roman"/>
          <w:b w:val="0"/>
          <w:bCs w:val="0"/>
          <w:sz w:val="18"/>
          <w:szCs w:val="18"/>
        </w:rPr>
        <w:t>(B) Quantification of organoid relative size at Day 5 in control (NC), Tymp knockdown (Tymp-KD), and Tymp-KD treated with 740 Y-P (20μM). TYMP knockdown significantly reduces organoid growth, which is partially rescued by activation of the PI3K pathway using 740 Y-P.</w:t>
      </w:r>
      <w:r>
        <w:rPr>
          <w:rFonts w:hint="default" w:ascii="Times New Roman" w:hAnsi="Times New Roman" w:cs="Times New Roman"/>
          <w:b w:val="0"/>
          <w:bCs w:val="0"/>
          <w:sz w:val="18"/>
          <w:szCs w:val="18"/>
          <w:lang w:val="en-US" w:eastAsia="zh-CN"/>
        </w:rPr>
        <w:t xml:space="preserve"> </w:t>
      </w:r>
      <w:r>
        <w:rPr>
          <w:rFonts w:hint="default" w:ascii="Times New Roman" w:hAnsi="Times New Roman" w:cs="Times New Roman"/>
          <w:b w:val="0"/>
          <w:bCs w:val="0"/>
          <w:sz w:val="18"/>
          <w:szCs w:val="18"/>
        </w:rPr>
        <w:t>(C) Quantification of organoid relative size at Day 5 in control (NC), Tymp overexpression (Tymp-OE), and Tymp-OE treated with PD98059 (20μM).</w:t>
      </w:r>
      <w:r>
        <w:rPr>
          <w:rFonts w:hint="default" w:ascii="Times New Roman" w:hAnsi="Times New Roman" w:cs="Times New Roman"/>
          <w:b w:val="0"/>
          <w:bCs w:val="0"/>
          <w:sz w:val="18"/>
          <w:szCs w:val="18"/>
          <w:lang w:val="en-US" w:eastAsia="zh-CN"/>
        </w:rPr>
        <w:t xml:space="preserve"> </w:t>
      </w:r>
      <w:r>
        <w:rPr>
          <w:rFonts w:hint="default" w:ascii="Times New Roman" w:hAnsi="Times New Roman" w:cs="Times New Roman"/>
          <w:b w:val="0"/>
          <w:bCs w:val="0"/>
          <w:sz w:val="18"/>
          <w:szCs w:val="18"/>
        </w:rPr>
        <w:t>Statistical significance is indicated as ***P &lt; 0.001.</w:t>
      </w:r>
    </w:p>
    <w:p w14:paraId="62FE0AA1">
      <w:pPr>
        <w:rPr>
          <w:rFonts w:ascii="Times New Roman" w:hAnsi="Times New Roman" w:cs="Times New Roman"/>
          <w:sz w:val="18"/>
          <w:szCs w:val="18"/>
        </w:rPr>
      </w:pPr>
      <w:r>
        <w:rPr>
          <w:rFonts w:ascii="Times New Roman" w:hAnsi="Times New Roman" w:cs="Times New Roman"/>
          <w:sz w:val="18"/>
          <w:szCs w:val="18"/>
        </w:rPr>
        <w:br w:type="page"/>
      </w:r>
    </w:p>
    <w:p w14:paraId="0ED4CA38">
      <w:pPr>
        <w:widowControl/>
        <w:spacing w:after="160" w:line="240" w:lineRule="exact"/>
        <w:rPr>
          <w:rFonts w:hint="default" w:ascii="Times New Roman" w:hAnsi="Times New Roman" w:cs="Times New Roman"/>
          <w:b/>
          <w:bCs/>
          <w:sz w:val="18"/>
          <w:szCs w:val="18"/>
        </w:rPr>
      </w:pPr>
      <w:r>
        <w:rPr>
          <w:rFonts w:hint="eastAsia" w:ascii="Times New Roman" w:hAnsi="Times New Roman" w:cs="Times New Roman" w:eastAsiaTheme="minorEastAsia"/>
          <w:b/>
          <w:bCs/>
          <w:sz w:val="18"/>
          <w:szCs w:val="18"/>
          <w:lang w:eastAsia="zh-CN"/>
        </w:rPr>
        <w:drawing>
          <wp:anchor distT="0" distB="0" distL="114300" distR="114300" simplePos="0" relativeHeight="251665408" behindDoc="0" locked="0" layoutInCell="1" allowOverlap="1">
            <wp:simplePos x="0" y="0"/>
            <wp:positionH relativeFrom="column">
              <wp:posOffset>19050</wp:posOffset>
            </wp:positionH>
            <wp:positionV relativeFrom="paragraph">
              <wp:posOffset>90170</wp:posOffset>
            </wp:positionV>
            <wp:extent cx="5272405" cy="5231765"/>
            <wp:effectExtent l="0" t="0" r="4445" b="6985"/>
            <wp:wrapSquare wrapText="bothSides"/>
            <wp:docPr id="18" name="图片 18" descr="Supplementary 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Supplementary Figure 12"/>
                    <pic:cNvPicPr>
                      <a:picLocks noChangeAspect="1"/>
                    </pic:cNvPicPr>
                  </pic:nvPicPr>
                  <pic:blipFill>
                    <a:blip r:embed="rId17"/>
                    <a:stretch>
                      <a:fillRect/>
                    </a:stretch>
                  </pic:blipFill>
                  <pic:spPr>
                    <a:xfrm>
                      <a:off x="0" y="0"/>
                      <a:ext cx="5272405" cy="5231765"/>
                    </a:xfrm>
                    <a:prstGeom prst="rect">
                      <a:avLst/>
                    </a:prstGeom>
                  </pic:spPr>
                </pic:pic>
              </a:graphicData>
            </a:graphic>
          </wp:anchor>
        </w:drawing>
      </w:r>
    </w:p>
    <w:p w14:paraId="54640F3E">
      <w:pPr>
        <w:widowControl/>
        <w:spacing w:after="160" w:line="240" w:lineRule="exact"/>
        <w:rPr>
          <w:rFonts w:hint="eastAsia" w:ascii="Times New Roman" w:hAnsi="Times New Roman" w:cs="Times New Roman" w:eastAsiaTheme="minorEastAsia"/>
          <w:b/>
          <w:bCs/>
          <w:sz w:val="18"/>
          <w:szCs w:val="18"/>
          <w:lang w:eastAsia="zh-CN"/>
        </w:rPr>
      </w:pPr>
    </w:p>
    <w:p w14:paraId="72A358F6">
      <w:pPr>
        <w:widowControl/>
        <w:spacing w:after="160" w:line="240" w:lineRule="exact"/>
        <w:rPr>
          <w:rFonts w:hint="default" w:ascii="Times New Roman" w:hAnsi="Times New Roman" w:cs="Times New Roman" w:eastAsiaTheme="minorEastAsia"/>
          <w:sz w:val="18"/>
          <w:szCs w:val="18"/>
          <w:lang w:val="en-US" w:eastAsia="zh-CN"/>
        </w:rPr>
      </w:pPr>
      <w:r>
        <w:rPr>
          <w:rFonts w:hint="default" w:ascii="Times New Roman" w:hAnsi="Times New Roman" w:cs="Times New Roman"/>
          <w:b/>
          <w:bCs/>
          <w:sz w:val="18"/>
          <w:szCs w:val="18"/>
        </w:rPr>
        <w:t xml:space="preserve">Supplementary Figure </w:t>
      </w:r>
      <w:r>
        <w:rPr>
          <w:rFonts w:hint="default" w:ascii="Times New Roman" w:hAnsi="Times New Roman" w:cs="Times New Roman"/>
          <w:b/>
          <w:bCs/>
          <w:sz w:val="18"/>
          <w:szCs w:val="18"/>
          <w:lang w:val="en-US" w:eastAsia="zh-CN"/>
        </w:rPr>
        <w:t>1</w:t>
      </w:r>
      <w:r>
        <w:rPr>
          <w:rFonts w:hint="eastAsia" w:ascii="Times New Roman" w:hAnsi="Times New Roman" w:cs="Times New Roman"/>
          <w:b/>
          <w:bCs/>
          <w:sz w:val="18"/>
          <w:szCs w:val="18"/>
          <w:lang w:val="en-US" w:eastAsia="zh-CN"/>
        </w:rPr>
        <w:t>2</w:t>
      </w:r>
      <w:r>
        <w:rPr>
          <w:rFonts w:hint="default" w:ascii="Times New Roman" w:hAnsi="Times New Roman" w:cs="Times New Roman"/>
          <w:b/>
          <w:bCs/>
          <w:sz w:val="18"/>
          <w:szCs w:val="18"/>
        </w:rPr>
        <w:t>.</w:t>
      </w:r>
      <w:r>
        <w:rPr>
          <w:rFonts w:hint="eastAsia" w:ascii="Times New Roman" w:hAnsi="Times New Roman" w:cs="Times New Roman"/>
          <w:b/>
          <w:bCs/>
          <w:sz w:val="18"/>
          <w:szCs w:val="18"/>
          <w:lang w:val="en-US" w:eastAsia="zh-CN"/>
        </w:rPr>
        <w:t xml:space="preserve"> Conserved TYMP sequence and functional importance of catalytic residues in organoid growth. </w:t>
      </w:r>
      <w:r>
        <w:rPr>
          <w:rFonts w:hint="eastAsia" w:ascii="Times New Roman" w:hAnsi="Times New Roman" w:cs="Times New Roman"/>
          <w:b w:val="0"/>
          <w:bCs w:val="0"/>
          <w:sz w:val="18"/>
          <w:szCs w:val="18"/>
          <w:lang w:val="en-US" w:eastAsia="zh-CN"/>
        </w:rPr>
        <w:t>Amino acid seq</w:t>
      </w:r>
      <w:bookmarkStart w:id="2" w:name="_GoBack"/>
      <w:bookmarkEnd w:id="2"/>
      <w:r>
        <w:rPr>
          <w:rFonts w:hint="eastAsia" w:ascii="Times New Roman" w:hAnsi="Times New Roman" w:cs="Times New Roman"/>
          <w:b w:val="0"/>
          <w:bCs w:val="0"/>
          <w:sz w:val="18"/>
          <w:szCs w:val="18"/>
          <w:lang w:val="en-US" w:eastAsia="zh-CN"/>
        </w:rPr>
        <w:t>uence of (A) human and (B) mouse TYMP with conserved and functionally important residues highlighted. Key catalytic or binding-related residues are marked in red. (C) Molecular docking results of human Tymp protein and thymidine. (D) Molecular docking results of human Tymp protein and thymidine phosphorylase inhibitor (TPI). (E) Representative bright-field images of pancreatic organoids derived from cells expressing control (NC), wild-type TYMP (Tymp-WT), or mutant TYMP (Tymp-Mut) at Days 1, 3, and 5. TYMP overexpression promotes organoid growth, whereas mutation of key residues attenuates this effect. Statistical significance is indicated as ***P &lt; 0.001.</w:t>
      </w:r>
    </w:p>
    <w:p w14:paraId="29BCBD3B">
      <w:pPr>
        <w:widowControl/>
        <w:spacing w:after="160" w:line="240" w:lineRule="exact"/>
        <w:rPr>
          <w:rFonts w:hint="eastAsia" w:ascii="Times New Roman" w:hAnsi="Times New Roman" w:cs="Times New Roman"/>
          <w:sz w:val="18"/>
          <w:szCs w:val="18"/>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355"/>
    <w:rsid w:val="00334CC8"/>
    <w:rsid w:val="004D2355"/>
    <w:rsid w:val="00825788"/>
    <w:rsid w:val="008E63C8"/>
    <w:rsid w:val="00916079"/>
    <w:rsid w:val="00936276"/>
    <w:rsid w:val="00B02B0C"/>
    <w:rsid w:val="00BA3909"/>
    <w:rsid w:val="00D54D80"/>
    <w:rsid w:val="02A36C44"/>
    <w:rsid w:val="02E96621"/>
    <w:rsid w:val="04A647CA"/>
    <w:rsid w:val="06510697"/>
    <w:rsid w:val="08F301FA"/>
    <w:rsid w:val="0A261F09"/>
    <w:rsid w:val="0B164B83"/>
    <w:rsid w:val="0B3D575C"/>
    <w:rsid w:val="0B941820"/>
    <w:rsid w:val="0BE36304"/>
    <w:rsid w:val="0D605732"/>
    <w:rsid w:val="0EB83A78"/>
    <w:rsid w:val="0F607C6B"/>
    <w:rsid w:val="10171D84"/>
    <w:rsid w:val="10AD0C8E"/>
    <w:rsid w:val="122E5DFF"/>
    <w:rsid w:val="132D1F2C"/>
    <w:rsid w:val="1360648C"/>
    <w:rsid w:val="141554C8"/>
    <w:rsid w:val="14E629C1"/>
    <w:rsid w:val="15BB5BFB"/>
    <w:rsid w:val="17FB5AC3"/>
    <w:rsid w:val="183D4FEE"/>
    <w:rsid w:val="18552337"/>
    <w:rsid w:val="19DB4ABE"/>
    <w:rsid w:val="1D381F16"/>
    <w:rsid w:val="1E7B23CC"/>
    <w:rsid w:val="1ED63AA6"/>
    <w:rsid w:val="1FDF698A"/>
    <w:rsid w:val="200308CB"/>
    <w:rsid w:val="211A411E"/>
    <w:rsid w:val="227855A0"/>
    <w:rsid w:val="228D5BDE"/>
    <w:rsid w:val="240D1D18"/>
    <w:rsid w:val="24E30CCB"/>
    <w:rsid w:val="25A246E2"/>
    <w:rsid w:val="26064C71"/>
    <w:rsid w:val="260F67A9"/>
    <w:rsid w:val="2641214D"/>
    <w:rsid w:val="26494640"/>
    <w:rsid w:val="2734580E"/>
    <w:rsid w:val="27475541"/>
    <w:rsid w:val="287E31E4"/>
    <w:rsid w:val="28E60D8A"/>
    <w:rsid w:val="2AC1560A"/>
    <w:rsid w:val="2C4D184B"/>
    <w:rsid w:val="2C624BCB"/>
    <w:rsid w:val="2CAE7E10"/>
    <w:rsid w:val="2D216834"/>
    <w:rsid w:val="2D56770C"/>
    <w:rsid w:val="2FFD0E93"/>
    <w:rsid w:val="30354AD0"/>
    <w:rsid w:val="31DD5420"/>
    <w:rsid w:val="326F3B9E"/>
    <w:rsid w:val="32B36C29"/>
    <w:rsid w:val="32E02C55"/>
    <w:rsid w:val="32EB5AE5"/>
    <w:rsid w:val="33886359"/>
    <w:rsid w:val="33AF6948"/>
    <w:rsid w:val="34C53F49"/>
    <w:rsid w:val="360F56DE"/>
    <w:rsid w:val="3677568B"/>
    <w:rsid w:val="36FF1994"/>
    <w:rsid w:val="377D0B0B"/>
    <w:rsid w:val="37962886"/>
    <w:rsid w:val="38053C77"/>
    <w:rsid w:val="391E68B4"/>
    <w:rsid w:val="39A03EED"/>
    <w:rsid w:val="3AC579AA"/>
    <w:rsid w:val="3B2C087E"/>
    <w:rsid w:val="3B64380F"/>
    <w:rsid w:val="3D376C44"/>
    <w:rsid w:val="3D600CB3"/>
    <w:rsid w:val="3D9A49D8"/>
    <w:rsid w:val="3E2241BA"/>
    <w:rsid w:val="3E8E35FE"/>
    <w:rsid w:val="3EDE4585"/>
    <w:rsid w:val="3EEA4CD8"/>
    <w:rsid w:val="4473751E"/>
    <w:rsid w:val="44D2256A"/>
    <w:rsid w:val="45232CF2"/>
    <w:rsid w:val="455235D7"/>
    <w:rsid w:val="45F36B68"/>
    <w:rsid w:val="47D37AEC"/>
    <w:rsid w:val="48897310"/>
    <w:rsid w:val="48DA7B6B"/>
    <w:rsid w:val="4921579A"/>
    <w:rsid w:val="4A991754"/>
    <w:rsid w:val="4ABA40F8"/>
    <w:rsid w:val="4BE156B5"/>
    <w:rsid w:val="4F455F5A"/>
    <w:rsid w:val="4F734876"/>
    <w:rsid w:val="4FD43B24"/>
    <w:rsid w:val="500B2D00"/>
    <w:rsid w:val="514364CA"/>
    <w:rsid w:val="53DD7C13"/>
    <w:rsid w:val="541530F7"/>
    <w:rsid w:val="575256B8"/>
    <w:rsid w:val="57E04A72"/>
    <w:rsid w:val="57F329F7"/>
    <w:rsid w:val="58006EC2"/>
    <w:rsid w:val="58134E48"/>
    <w:rsid w:val="581F559B"/>
    <w:rsid w:val="588C0756"/>
    <w:rsid w:val="58DA5965"/>
    <w:rsid w:val="594D25DB"/>
    <w:rsid w:val="59575208"/>
    <w:rsid w:val="595B0854"/>
    <w:rsid w:val="59965D30"/>
    <w:rsid w:val="5ACE1C12"/>
    <w:rsid w:val="5B22137F"/>
    <w:rsid w:val="5BB71F8E"/>
    <w:rsid w:val="5BDB3ECE"/>
    <w:rsid w:val="5D7C3695"/>
    <w:rsid w:val="5DA622BA"/>
    <w:rsid w:val="5E6E2DD8"/>
    <w:rsid w:val="5F824661"/>
    <w:rsid w:val="5F9F5213"/>
    <w:rsid w:val="60EE6452"/>
    <w:rsid w:val="614F4D58"/>
    <w:rsid w:val="61FC694D"/>
    <w:rsid w:val="621B3277"/>
    <w:rsid w:val="62685D90"/>
    <w:rsid w:val="62B64D4D"/>
    <w:rsid w:val="6347584B"/>
    <w:rsid w:val="64520AA6"/>
    <w:rsid w:val="64925D9F"/>
    <w:rsid w:val="64B67287"/>
    <w:rsid w:val="670818F0"/>
    <w:rsid w:val="68093B71"/>
    <w:rsid w:val="68C161FA"/>
    <w:rsid w:val="690F0054"/>
    <w:rsid w:val="6C1856B4"/>
    <w:rsid w:val="6D763A57"/>
    <w:rsid w:val="6ED547AD"/>
    <w:rsid w:val="70D0347E"/>
    <w:rsid w:val="71347EB1"/>
    <w:rsid w:val="720458DC"/>
    <w:rsid w:val="7289422C"/>
    <w:rsid w:val="73BC06F4"/>
    <w:rsid w:val="74477EFB"/>
    <w:rsid w:val="748532CA"/>
    <w:rsid w:val="75114065"/>
    <w:rsid w:val="757D0B6E"/>
    <w:rsid w:val="75F61BD9"/>
    <w:rsid w:val="772938E8"/>
    <w:rsid w:val="774A385E"/>
    <w:rsid w:val="775841CD"/>
    <w:rsid w:val="779416A9"/>
    <w:rsid w:val="7808174F"/>
    <w:rsid w:val="784D3606"/>
    <w:rsid w:val="7866291A"/>
    <w:rsid w:val="78715547"/>
    <w:rsid w:val="78C95383"/>
    <w:rsid w:val="7B705F89"/>
    <w:rsid w:val="7BD833CC"/>
    <w:rsid w:val="7CB9570E"/>
    <w:rsid w:val="7CE16A13"/>
    <w:rsid w:val="7CE7227B"/>
    <w:rsid w:val="7CEC1640"/>
    <w:rsid w:val="7D823D52"/>
    <w:rsid w:val="7D913F95"/>
    <w:rsid w:val="7F4C4618"/>
    <w:rsid w:val="7FAF4BA7"/>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2"/>
      <w:lang w:val="en-US" w:eastAsia="zh-CN" w:bidi="ar-SA"/>
      <w14:ligatures w14:val="none"/>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4"/>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6"/>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40"/>
    <w:unhideWhenUsed/>
    <w:qFormat/>
    <w:uiPriority w:val="99"/>
    <w:pPr>
      <w:tabs>
        <w:tab w:val="center" w:pos="4153"/>
        <w:tab w:val="right" w:pos="8306"/>
      </w:tabs>
      <w:snapToGrid w:val="0"/>
    </w:pPr>
    <w:rPr>
      <w:sz w:val="18"/>
      <w:szCs w:val="18"/>
    </w:rPr>
  </w:style>
  <w:style w:type="paragraph" w:styleId="12">
    <w:name w:val="header"/>
    <w:basedOn w:val="1"/>
    <w:link w:val="39"/>
    <w:unhideWhenUsed/>
    <w:qFormat/>
    <w:uiPriority w:val="99"/>
    <w:pPr>
      <w:tabs>
        <w:tab w:val="center" w:pos="4153"/>
        <w:tab w:val="right" w:pos="8306"/>
      </w:tabs>
      <w:snapToGrid w:val="0"/>
      <w:jc w:val="center"/>
    </w:pPr>
    <w:rPr>
      <w:sz w:val="18"/>
      <w:szCs w:val="18"/>
    </w:rPr>
  </w:style>
  <w:style w:type="paragraph" w:styleId="13">
    <w:name w:val="Subtitle"/>
    <w:basedOn w:val="1"/>
    <w:next w:val="1"/>
    <w:link w:val="31"/>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5">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Strong"/>
    <w:basedOn w:val="17"/>
    <w:qFormat/>
    <w:uiPriority w:val="22"/>
    <w:rPr>
      <w:b/>
    </w:rPr>
  </w:style>
  <w:style w:type="character" w:styleId="19">
    <w:name w:val="Emphasis"/>
    <w:basedOn w:val="17"/>
    <w:qFormat/>
    <w:uiPriority w:val="20"/>
    <w:rPr>
      <w:i/>
    </w:rPr>
  </w:style>
  <w:style w:type="character" w:styleId="20">
    <w:name w:val="Hyperlink"/>
    <w:basedOn w:val="17"/>
    <w:unhideWhenUsed/>
    <w:qFormat/>
    <w:uiPriority w:val="99"/>
    <w:rPr>
      <w:color w:val="0000FF"/>
      <w:u w:val="single"/>
    </w:rPr>
  </w:style>
  <w:style w:type="character" w:customStyle="1" w:styleId="21">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2">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3">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4">
    <w:name w:val="标题 4 字符"/>
    <w:basedOn w:val="17"/>
    <w:link w:val="5"/>
    <w:semiHidden/>
    <w:qFormat/>
    <w:uiPriority w:val="9"/>
    <w:rPr>
      <w:rFonts w:cstheme="majorBidi"/>
      <w:color w:val="104862" w:themeColor="accent1" w:themeShade="BF"/>
      <w:sz w:val="28"/>
      <w:szCs w:val="28"/>
    </w:rPr>
  </w:style>
  <w:style w:type="character" w:customStyle="1" w:styleId="25">
    <w:name w:val="标题 5 字符"/>
    <w:basedOn w:val="17"/>
    <w:link w:val="6"/>
    <w:semiHidden/>
    <w:qFormat/>
    <w:uiPriority w:val="9"/>
    <w:rPr>
      <w:rFonts w:cstheme="majorBidi"/>
      <w:color w:val="104862" w:themeColor="accent1" w:themeShade="BF"/>
      <w:sz w:val="24"/>
    </w:rPr>
  </w:style>
  <w:style w:type="character" w:customStyle="1" w:styleId="26">
    <w:name w:val="标题 6 字符"/>
    <w:basedOn w:val="17"/>
    <w:link w:val="7"/>
    <w:semiHidden/>
    <w:qFormat/>
    <w:uiPriority w:val="9"/>
    <w:rPr>
      <w:rFonts w:cstheme="majorBidi"/>
      <w:b/>
      <w:bCs/>
      <w:color w:val="104862" w:themeColor="accent1" w:themeShade="BF"/>
    </w:rPr>
  </w:style>
  <w:style w:type="character" w:customStyle="1" w:styleId="27">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17"/>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
    <w:basedOn w:val="17"/>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明显引用 字符"/>
    <w:basedOn w:val="17"/>
    <w:link w:val="36"/>
    <w:qFormat/>
    <w:uiPriority w:val="30"/>
    <w:rPr>
      <w:i/>
      <w:iCs/>
      <w:color w:val="104862" w:themeColor="accent1" w:themeShade="BF"/>
    </w:rPr>
  </w:style>
  <w:style w:type="character" w:customStyle="1" w:styleId="38">
    <w:name w:val="Intense Reference"/>
    <w:basedOn w:val="17"/>
    <w:qFormat/>
    <w:uiPriority w:val="32"/>
    <w:rPr>
      <w:b/>
      <w:bCs/>
      <w:smallCaps/>
      <w:color w:val="104862" w:themeColor="accent1" w:themeShade="BF"/>
      <w:spacing w:val="5"/>
    </w:rPr>
  </w:style>
  <w:style w:type="character" w:customStyle="1" w:styleId="39">
    <w:name w:val="页眉 字符"/>
    <w:basedOn w:val="17"/>
    <w:link w:val="12"/>
    <w:qFormat/>
    <w:uiPriority w:val="99"/>
    <w:rPr>
      <w:sz w:val="18"/>
      <w:szCs w:val="18"/>
    </w:rPr>
  </w:style>
  <w:style w:type="character" w:customStyle="1" w:styleId="40">
    <w:name w:val="页脚 字符"/>
    <w:basedOn w:val="17"/>
    <w:link w:val="11"/>
    <w:qFormat/>
    <w:uiPriority w:val="99"/>
    <w:rPr>
      <w:sz w:val="18"/>
      <w:szCs w:val="18"/>
    </w:rPr>
  </w:style>
  <w:style w:type="paragraph" w:customStyle="1" w:styleId="41">
    <w:name w:val="msolistparagraph"/>
    <w:basedOn w:val="1"/>
    <w:qFormat/>
    <w:uiPriority w:val="0"/>
    <w:pPr>
      <w:widowControl/>
      <w:ind w:firstLine="420" w:firstLineChars="200"/>
    </w:pPr>
    <w:rPr>
      <w:rFonts w:ascii="Calibri" w:hAnsi="Calibri" w:eastAsia="宋体" w:cs="Times New Roman"/>
      <w:b/>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1083</Words>
  <Characters>6980</Characters>
  <Lines>42</Lines>
  <Paragraphs>12</Paragraphs>
  <TotalTime>9</TotalTime>
  <ScaleCrop>false</ScaleCrop>
  <LinksUpToDate>false</LinksUpToDate>
  <CharactersWithSpaces>8057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2025-09-17T12:10:00Z</dcterms:created>
  <dc:creator>Qihang Yuan</dc:creator>
  <cp:lastModifiedBy>Dell</cp:lastModifiedBy>
  <dcterms:modified xsi:type="dcterms:W3CDTF">2026-03-25T02:24:11Z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eyJoZGlkIjoiM2I5YjBhODU0ZGI5NmI5YzExYmYwM2FjZTE3YjhiNmEiLCJ1c2VySWQiOiIyNzk5NTk0MDgifQ==</vt:lpwstr>
  </property>
  <property fmtid="{D5CDD505-2E9C-101B-9397-08002B2CF9AE}" pid="3" name="KSOProductBuildVer">
    <vt:lpwstr>2052-12.1.0.25225</vt:lpwstr>
  </property>
  <property fmtid="{D5CDD505-2E9C-101B-9397-08002B2CF9AE}" pid="4" name="ICV">
    <vt:lpwstr>9A22A7F349EF47B4876CD4685B331D4B_12</vt:lpwstr>
  </property>
</Properties>
</file>