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0EA99B" w14:textId="77777777" w:rsidR="002B7A59" w:rsidRPr="00E50472" w:rsidRDefault="002B7A59" w:rsidP="00E50472">
      <w:pPr>
        <w:pStyle w:val="Ttulo2"/>
        <w:spacing w:after="240" w:line="480" w:lineRule="auto"/>
        <w:rPr>
          <w:rFonts w:ascii="Times New Roman" w:hAnsi="Times New Roman" w:cs="Times New Roman"/>
          <w:b/>
          <w:bCs/>
          <w:lang w:val="en-GB"/>
        </w:rPr>
      </w:pPr>
      <w:r w:rsidRPr="00E50472">
        <w:rPr>
          <w:rFonts w:ascii="Times New Roman" w:hAnsi="Times New Roman" w:cs="Times New Roman"/>
          <w:b/>
          <w:bCs/>
          <w:lang w:val="en-GB"/>
        </w:rPr>
        <w:t>Cell Culture Conditions</w:t>
      </w:r>
    </w:p>
    <w:p w14:paraId="15065F3B" w14:textId="1573166F" w:rsidR="00205511" w:rsidRPr="00130DCB" w:rsidRDefault="00FF6DFA" w:rsidP="00205511">
      <w:pPr>
        <w:spacing w:line="480" w:lineRule="auto"/>
        <w:jc w:val="both"/>
        <w:rPr>
          <w:rFonts w:ascii="Times New Roman" w:hAnsi="Times New Roman"/>
          <w:color w:val="000000"/>
          <w:sz w:val="24"/>
          <w:szCs w:val="24"/>
          <w:lang w:val="en-US"/>
        </w:rPr>
      </w:pPr>
      <w:r>
        <w:rPr>
          <w:rFonts w:ascii="Times New Roman" w:hAnsi="Times New Roman"/>
          <w:bCs/>
          <w:color w:val="000000"/>
          <w:sz w:val="24"/>
          <w:szCs w:val="24"/>
          <w:lang w:val="en-US"/>
        </w:rPr>
        <w:t xml:space="preserve">All human and </w:t>
      </w:r>
      <w:r w:rsidR="00796754">
        <w:rPr>
          <w:rFonts w:ascii="Times New Roman" w:hAnsi="Times New Roman"/>
          <w:bCs/>
          <w:color w:val="000000"/>
          <w:sz w:val="24"/>
          <w:szCs w:val="24"/>
          <w:lang w:val="en-US"/>
        </w:rPr>
        <w:t>murine</w:t>
      </w:r>
      <w:r w:rsidR="00796754" w:rsidRPr="00143FF9">
        <w:rPr>
          <w:rFonts w:ascii="Times New Roman" w:hAnsi="Times New Roman"/>
          <w:bCs/>
          <w:color w:val="000000"/>
          <w:sz w:val="24"/>
          <w:szCs w:val="24"/>
          <w:lang w:val="en-US"/>
        </w:rPr>
        <w:t xml:space="preserve"> </w:t>
      </w:r>
      <w:r w:rsidR="002B7A59" w:rsidRPr="00143FF9">
        <w:rPr>
          <w:rFonts w:ascii="Times New Roman" w:hAnsi="Times New Roman"/>
          <w:i/>
          <w:color w:val="000000"/>
          <w:sz w:val="24"/>
          <w:szCs w:val="24"/>
          <w:lang w:val="en-US"/>
        </w:rPr>
        <w:t>BRAF</w:t>
      </w:r>
      <w:r w:rsidR="002B7A59" w:rsidRPr="00143FF9">
        <w:rPr>
          <w:rFonts w:ascii="Times New Roman" w:hAnsi="Times New Roman"/>
          <w:i/>
          <w:color w:val="000000"/>
          <w:sz w:val="24"/>
          <w:szCs w:val="24"/>
          <w:vertAlign w:val="superscript"/>
          <w:lang w:val="en-US"/>
        </w:rPr>
        <w:t>V600E</w:t>
      </w:r>
      <w:r w:rsidR="002B7A59" w:rsidRPr="00143FF9">
        <w:rPr>
          <w:rFonts w:ascii="Times New Roman" w:hAnsi="Times New Roman"/>
          <w:color w:val="000000"/>
          <w:sz w:val="24"/>
          <w:szCs w:val="24"/>
          <w:lang w:val="en-US"/>
        </w:rPr>
        <w:t xml:space="preserve">-mutant </w:t>
      </w:r>
      <w:r w:rsidR="002B7A59" w:rsidRPr="00143FF9">
        <w:rPr>
          <w:rFonts w:ascii="Times New Roman" w:hAnsi="Times New Roman"/>
          <w:bCs/>
          <w:color w:val="000000"/>
          <w:sz w:val="24"/>
          <w:szCs w:val="24"/>
          <w:lang w:val="en-US"/>
        </w:rPr>
        <w:t xml:space="preserve">malignant melanoma cells </w:t>
      </w:r>
      <w:r w:rsidR="002B7A59" w:rsidRPr="00143FF9">
        <w:rPr>
          <w:rFonts w:ascii="Times New Roman" w:hAnsi="Times New Roman"/>
          <w:color w:val="000000"/>
          <w:sz w:val="24"/>
          <w:szCs w:val="24"/>
          <w:lang w:val="en-US"/>
        </w:rPr>
        <w:t xml:space="preserve">were cultured in DMEM (4,5g/L of glucose), 10% Fetal </w:t>
      </w:r>
      <w:r w:rsidR="005F7A83">
        <w:rPr>
          <w:rFonts w:ascii="Times New Roman" w:hAnsi="Times New Roman"/>
          <w:color w:val="000000"/>
          <w:sz w:val="24"/>
          <w:szCs w:val="24"/>
          <w:lang w:val="en-US"/>
        </w:rPr>
        <w:t>b</w:t>
      </w:r>
      <w:r w:rsidR="002B7A59" w:rsidRPr="00143FF9">
        <w:rPr>
          <w:rFonts w:ascii="Times New Roman" w:hAnsi="Times New Roman"/>
          <w:color w:val="000000"/>
          <w:sz w:val="24"/>
          <w:szCs w:val="24"/>
          <w:lang w:val="en-US"/>
        </w:rPr>
        <w:t xml:space="preserve">ovine </w:t>
      </w:r>
      <w:r w:rsidR="005F7A83">
        <w:rPr>
          <w:rFonts w:ascii="Times New Roman" w:hAnsi="Times New Roman"/>
          <w:color w:val="000000"/>
          <w:sz w:val="24"/>
          <w:szCs w:val="24"/>
          <w:lang w:val="en-US"/>
        </w:rPr>
        <w:t>s</w:t>
      </w:r>
      <w:r w:rsidR="002B7A59" w:rsidRPr="00143FF9">
        <w:rPr>
          <w:rFonts w:ascii="Times New Roman" w:hAnsi="Times New Roman"/>
          <w:color w:val="000000"/>
          <w:sz w:val="24"/>
          <w:szCs w:val="24"/>
          <w:lang w:val="en-US"/>
        </w:rPr>
        <w:t>erum</w:t>
      </w:r>
      <w:r w:rsidR="005F7A83">
        <w:rPr>
          <w:rFonts w:ascii="Times New Roman" w:hAnsi="Times New Roman"/>
          <w:color w:val="000000"/>
          <w:sz w:val="24"/>
          <w:szCs w:val="24"/>
          <w:lang w:val="en-US"/>
        </w:rPr>
        <w:t xml:space="preserve"> (FBS)</w:t>
      </w:r>
      <w:r w:rsidR="002B7A59" w:rsidRPr="00143FF9">
        <w:rPr>
          <w:rFonts w:ascii="Times New Roman" w:hAnsi="Times New Roman"/>
          <w:color w:val="000000"/>
          <w:sz w:val="24"/>
          <w:szCs w:val="24"/>
          <w:lang w:val="en-US"/>
        </w:rPr>
        <w:t>, penicillin-streptomycin and fungizone amphotericin B at 37 °C and 5% CO</w:t>
      </w:r>
      <w:r w:rsidR="002B7A59" w:rsidRPr="00143FF9">
        <w:rPr>
          <w:rFonts w:ascii="Times New Roman" w:hAnsi="Times New Roman"/>
          <w:color w:val="000000"/>
          <w:sz w:val="24"/>
          <w:szCs w:val="24"/>
          <w:vertAlign w:val="subscript"/>
          <w:lang w:val="en-US"/>
        </w:rPr>
        <w:t>2</w:t>
      </w:r>
      <w:r>
        <w:rPr>
          <w:rFonts w:ascii="Times New Roman" w:hAnsi="Times New Roman"/>
          <w:color w:val="000000"/>
          <w:sz w:val="24"/>
          <w:szCs w:val="24"/>
          <w:vertAlign w:val="subscript"/>
          <w:lang w:val="en-US"/>
        </w:rPr>
        <w:t xml:space="preserve"> </w:t>
      </w:r>
      <w:r w:rsidRPr="00143FF9">
        <w:rPr>
          <w:rFonts w:ascii="Times New Roman" w:hAnsi="Times New Roman"/>
          <w:bCs/>
          <w:color w:val="000000"/>
          <w:sz w:val="24"/>
          <w:szCs w:val="24"/>
          <w:lang w:val="en-US"/>
        </w:rPr>
        <w:fldChar w:fldCharType="begin" w:fldLock="1"/>
      </w:r>
      <w:r>
        <w:rPr>
          <w:rFonts w:ascii="Times New Roman" w:hAnsi="Times New Roman"/>
          <w:bCs/>
          <w:color w:val="000000"/>
          <w:sz w:val="24"/>
          <w:szCs w:val="24"/>
          <w:lang w:val="en-US"/>
        </w:rPr>
        <w:instrText>ADDIN CSL_CITATION {"citationItems":[{"id":"ITEM-1","itemData":{"DOI":"10.1016/j.jid.2019.11.014","ISSN":"15231747","PMID":"31877318","abstract":"Melanoma is a malignant neoplasia that is highly resistant to chemotherapy and radiotherapy and is associated with poor prognosis in advanced stage. Targeting melanoma that harbors the common BRAFV600E mutation with kinase inhibitors, such as vemurafenib, reduces tumor burden, but these tumors frequently acquire resistance to these drugs. We previously proposed that T-type calcium channel (TTCC) expression may serve as a biomarker for melanoma progression and prognosis, and we showed that TTCC blockers reduce migration and invasion rates because of autophagy blockade only in BRAFV600E-mutant melanoma cells. Here, we demonstrated that high expression of the TTCC Cav3.1 isoform is related to autophagic status in vemurafenib-resistant BRAFV600E-mutant melanoma cells and human biopsies, and in silico analysis revealed an enrichment of Cav3.1 expression in post-treatment melanomas. We also demonstrated that the TTCC blocker mibefradil induces apoptosis and impairs migration and invasion via inhibition of autophagy in resistant melanoma cells and mouse xenograft models. Moreover, we identified an association between PTEN status and Cav3.1 expression in these cells as a marker of sensitivity to combination therapy in resistant cells. Together, our results suggest that TTCC blockers offer a potential targeted therapy in resistant BRAFV600E-mutant melanoma and a therapeutic strategy to reduce progression toward BRAF inhibitor resistance.","author":[{"dropping-particle":"","family":"Barceló","given":"Carla","non-dropping-particle":"","parse-names":false,"suffix":""},{"dropping-particle":"","family":"Sisó","given":"Pol","non-dropping-particle":"","parse-names":false,"suffix":""},{"dropping-particle":"","family":"Maiques","given":"Oscar","non-dropping-particle":"","parse-names":false,"suffix":""},{"dropping-particle":"","family":"García-Mulero","given":"Sandra","non-dropping-particle":"","parse-names":false,"suffix":""},{"dropping-particle":"","family":"Sanz-Pamplona","given":"Rebeca","non-dropping-particle":"","parse-names":false,"suffix":""},{"dropping-particle":"","family":"Navaridas","given":"Raúl","non-dropping-particle":"","parse-names":false,"suffix":""},{"dropping-particle":"","family":"Megino","given":"Cristina","non-dropping-particle":"","parse-names":false,"suffix":""},{"dropping-particle":"","family":"Felip","given":"Isidre","non-dropping-particle":"","parse-names":false,"suffix":""},{"dropping-particle":"","family":"Urdanibia","given":"Izaskun","non-dropping-particle":"","parse-names":false,"suffix":""},{"dropping-particle":"","family":"Eritja","given":"Núria","non-dropping-particle":"","parse-names":false,"suffix":""},{"dropping-particle":"","family":"Soria","given":"Xavier","non-dropping-particle":"","parse-names":false,"suffix":""},{"dropping-particle":"","family":"Piulats","given":"Josep M.","non-dropping-particle":"","parse-names":false,"suffix":""},{"dropping-particle":"","family":"Penin","given":"Rosa M.","non-dropping-particle":"","parse-names":false,"suffix":""},{"dropping-particle":"","family":"Dolcet","given":"Xavier","non-dropping-particle":"","parse-names":false,"suffix":""},{"dropping-particle":"","family":"Matías-Guiu","given":"Xavier","non-dropping-particle":"","parse-names":false,"suffix":""},{"dropping-particle":"","family":"Martí","given":"Rosa M.","non-dropping-particle":"","parse-names":false,"suffix":""},{"dropping-particle":"","family":"Macià","given":"Anna","non-dropping-particle":"","parse-names":false,"suffix":""}],"container-title":"Journal of Investigative Dermatology","id":"ITEM-1","issue":"6","issued":{"date-parts":[["2020","6","1"]]},"page":"1253-1265","publisher":"Elsevier B.V.","title":"T-Type Calcium Channels as Potential Therapeutic Targets in Vemurafenib-Resistant BRAFV600E Melanoma","type":"article-journal","volume":"140"},"uris":["http://www.mendeley.com/documents/?uuid=f0b4eb24-7462-3c67-a284-388d2fa6b763"]}],"mendeley":{"formattedCitation":"(Barceló et al. 2020)","plainTextFormattedCitation":"(Barceló et al. 2020)","previouslyFormattedCitation":"(Barceló et al. 2020a)"},"properties":{"noteIndex":0},"schema":"https://github.com/citation-style-language/schema/raw/master/csl-citation.json"}</w:instrText>
      </w:r>
      <w:r w:rsidRPr="00143FF9">
        <w:rPr>
          <w:rFonts w:ascii="Times New Roman" w:hAnsi="Times New Roman"/>
          <w:bCs/>
          <w:color w:val="000000"/>
          <w:sz w:val="24"/>
          <w:szCs w:val="24"/>
          <w:lang w:val="en-US"/>
        </w:rPr>
        <w:fldChar w:fldCharType="separate"/>
      </w:r>
      <w:r w:rsidRPr="00B56A87">
        <w:rPr>
          <w:rFonts w:ascii="Times New Roman" w:hAnsi="Times New Roman"/>
          <w:bCs/>
          <w:noProof/>
          <w:color w:val="000000"/>
          <w:sz w:val="24"/>
          <w:szCs w:val="24"/>
          <w:lang w:val="en-US"/>
        </w:rPr>
        <w:t>(Barceló et al. 2020)</w:t>
      </w:r>
      <w:r w:rsidRPr="00143FF9">
        <w:rPr>
          <w:rFonts w:ascii="Times New Roman" w:hAnsi="Times New Roman"/>
          <w:bCs/>
          <w:color w:val="000000"/>
          <w:sz w:val="24"/>
          <w:szCs w:val="24"/>
          <w:lang w:val="en-US"/>
        </w:rPr>
        <w:fldChar w:fldCharType="end"/>
      </w:r>
      <w:r w:rsidR="002B7A59" w:rsidRPr="00143FF9">
        <w:rPr>
          <w:rFonts w:ascii="Times New Roman" w:hAnsi="Times New Roman"/>
          <w:color w:val="000000"/>
          <w:sz w:val="24"/>
          <w:szCs w:val="24"/>
          <w:lang w:val="en-US"/>
        </w:rPr>
        <w:t>.</w:t>
      </w:r>
      <w:r w:rsidR="002B7A59">
        <w:rPr>
          <w:rFonts w:ascii="Times New Roman" w:hAnsi="Times New Roman"/>
          <w:color w:val="000000"/>
          <w:sz w:val="24"/>
          <w:szCs w:val="24"/>
          <w:lang w:val="en-US"/>
        </w:rPr>
        <w:t xml:space="preserve"> </w:t>
      </w:r>
      <w:r w:rsidR="00205511" w:rsidRPr="00130DCB">
        <w:rPr>
          <w:rFonts w:ascii="Times New Roman" w:hAnsi="Times New Roman"/>
          <w:color w:val="000000"/>
          <w:sz w:val="24"/>
          <w:szCs w:val="24"/>
          <w:lang w:val="en-US"/>
        </w:rPr>
        <w:t xml:space="preserve">Generation of </w:t>
      </w:r>
      <w:r w:rsidR="00C73761">
        <w:rPr>
          <w:rFonts w:ascii="Times New Roman" w:hAnsi="Times New Roman"/>
          <w:color w:val="000000"/>
          <w:sz w:val="24"/>
          <w:szCs w:val="24"/>
          <w:lang w:val="en-US"/>
        </w:rPr>
        <w:t>V</w:t>
      </w:r>
      <w:r w:rsidR="00205511" w:rsidRPr="00130DCB">
        <w:rPr>
          <w:rFonts w:ascii="Times New Roman" w:hAnsi="Times New Roman"/>
          <w:color w:val="000000"/>
          <w:sz w:val="24"/>
          <w:szCs w:val="24"/>
          <w:lang w:val="en-US"/>
        </w:rPr>
        <w:t xml:space="preserve">emurafenib-resistant cell lines was performed as previously described (Barceló et al., 2020). Briefly, </w:t>
      </w:r>
      <w:r w:rsidR="00C73761">
        <w:rPr>
          <w:rFonts w:ascii="Times New Roman" w:hAnsi="Times New Roman"/>
          <w:color w:val="000000"/>
          <w:sz w:val="24"/>
          <w:szCs w:val="24"/>
          <w:lang w:val="en-US"/>
        </w:rPr>
        <w:t>V</w:t>
      </w:r>
      <w:r w:rsidR="00205511" w:rsidRPr="00130DCB">
        <w:rPr>
          <w:rFonts w:ascii="Times New Roman" w:hAnsi="Times New Roman"/>
          <w:color w:val="000000"/>
          <w:sz w:val="24"/>
          <w:szCs w:val="24"/>
          <w:lang w:val="en-US"/>
        </w:rPr>
        <w:t xml:space="preserve">emurafenib-sensitive melanoma cells were exposed to BRAFi </w:t>
      </w:r>
      <w:r w:rsidR="00C73761">
        <w:rPr>
          <w:rFonts w:ascii="Times New Roman" w:hAnsi="Times New Roman"/>
          <w:color w:val="000000"/>
          <w:sz w:val="24"/>
          <w:szCs w:val="24"/>
          <w:lang w:val="en-US"/>
        </w:rPr>
        <w:t>V</w:t>
      </w:r>
      <w:r w:rsidR="00205511">
        <w:rPr>
          <w:rFonts w:ascii="Times New Roman" w:hAnsi="Times New Roman"/>
          <w:color w:val="000000"/>
          <w:sz w:val="24"/>
          <w:szCs w:val="24"/>
          <w:lang w:val="en-US"/>
        </w:rPr>
        <w:t xml:space="preserve">emurafenib (PLX4032) for up to approximately 3 months until stable resistant populations were obtained. During the selection period, cells were cultured in the presence of </w:t>
      </w:r>
      <w:r w:rsidR="005369B2">
        <w:rPr>
          <w:rFonts w:ascii="Times New Roman" w:hAnsi="Times New Roman"/>
          <w:color w:val="000000"/>
          <w:sz w:val="24"/>
          <w:szCs w:val="24"/>
          <w:lang w:val="en-US"/>
        </w:rPr>
        <w:t>Vemurafenib 5</w:t>
      </w:r>
      <w:r w:rsidR="005369B2" w:rsidRPr="005369B2">
        <w:rPr>
          <w:rFonts w:ascii="Times New Roman" w:hAnsi="Times New Roman"/>
          <w:color w:val="000000"/>
          <w:sz w:val="24"/>
          <w:szCs w:val="24"/>
          <w:lang w:val="en-US"/>
        </w:rPr>
        <w:t xml:space="preserve"> µM</w:t>
      </w:r>
      <w:r w:rsidR="00205511" w:rsidRPr="00130DCB">
        <w:rPr>
          <w:rFonts w:ascii="Times New Roman" w:hAnsi="Times New Roman"/>
          <w:color w:val="000000"/>
          <w:sz w:val="24"/>
          <w:szCs w:val="24"/>
          <w:lang w:val="en-US"/>
        </w:rPr>
        <w:t>, with fresh drug-containing medium replaced every 3 days.</w:t>
      </w:r>
    </w:p>
    <w:p w14:paraId="21EE1F90" w14:textId="7B306BB3" w:rsidR="00205511" w:rsidRPr="00205511" w:rsidRDefault="00205511" w:rsidP="00454E71">
      <w:pPr>
        <w:spacing w:line="480" w:lineRule="auto"/>
        <w:jc w:val="both"/>
        <w:rPr>
          <w:rFonts w:ascii="Times New Roman" w:hAnsi="Times New Roman"/>
          <w:color w:val="000000"/>
          <w:sz w:val="24"/>
          <w:szCs w:val="24"/>
          <w:lang w:val="en-US"/>
        </w:rPr>
      </w:pPr>
      <w:r w:rsidRPr="00130DCB">
        <w:rPr>
          <w:rFonts w:ascii="Times New Roman" w:hAnsi="Times New Roman"/>
          <w:color w:val="000000"/>
          <w:sz w:val="24"/>
          <w:szCs w:val="24"/>
          <w:lang w:val="en-US"/>
        </w:rPr>
        <w:t>Following acquisition of stable resistance, resistant cell lines were continuously maintained in the presence of vemurafenib to preserve the resistant phenotype. Human resistant melanoma cells were maintained in 1 µM vemurafenib, whereas murine resistant melanoma cells were maintained in 2 µM vemurafenib.</w:t>
      </w:r>
      <w:r w:rsidR="007D0C63">
        <w:rPr>
          <w:rFonts w:ascii="Times New Roman" w:hAnsi="Times New Roman"/>
          <w:color w:val="000000"/>
          <w:sz w:val="24"/>
          <w:szCs w:val="24"/>
          <w:lang w:val="en-US"/>
        </w:rPr>
        <w:t xml:space="preserve"> T</w:t>
      </w:r>
      <w:r w:rsidR="007D0C63" w:rsidRPr="00130DCB">
        <w:rPr>
          <w:rFonts w:ascii="Times New Roman" w:hAnsi="Times New Roman"/>
          <w:color w:val="000000"/>
          <w:sz w:val="24"/>
          <w:szCs w:val="24"/>
          <w:lang w:val="en-US"/>
        </w:rPr>
        <w:t>hese maintenance concentrations were established internally and validated by periodic IC</w:t>
      </w:r>
      <w:r w:rsidR="007D0C63" w:rsidRPr="00276F74">
        <w:rPr>
          <w:rFonts w:ascii="Times New Roman" w:hAnsi="Times New Roman"/>
          <w:color w:val="000000"/>
          <w:sz w:val="24"/>
          <w:szCs w:val="24"/>
          <w:vertAlign w:val="subscript"/>
          <w:lang w:val="en-US"/>
        </w:rPr>
        <w:t>50</w:t>
      </w:r>
      <w:r w:rsidR="007D0C63" w:rsidRPr="00130DCB">
        <w:rPr>
          <w:rFonts w:ascii="Times New Roman" w:hAnsi="Times New Roman"/>
          <w:color w:val="000000"/>
          <w:sz w:val="24"/>
          <w:szCs w:val="24"/>
          <w:lang w:val="en-US"/>
        </w:rPr>
        <w:t xml:space="preserve"> determination</w:t>
      </w:r>
      <w:r w:rsidR="007D0C63">
        <w:rPr>
          <w:rFonts w:ascii="Times New Roman" w:hAnsi="Times New Roman"/>
          <w:color w:val="000000"/>
          <w:sz w:val="24"/>
          <w:szCs w:val="24"/>
          <w:lang w:val="en-US"/>
        </w:rPr>
        <w:t xml:space="preserve"> of each resistant model</w:t>
      </w:r>
      <w:r w:rsidRPr="00130DCB">
        <w:rPr>
          <w:rFonts w:ascii="Times New Roman" w:hAnsi="Times New Roman"/>
          <w:color w:val="000000"/>
          <w:sz w:val="24"/>
          <w:szCs w:val="24"/>
          <w:lang w:val="en-US"/>
        </w:rPr>
        <w:t>.</w:t>
      </w:r>
    </w:p>
    <w:p w14:paraId="16CD5BCA" w14:textId="77777777" w:rsidR="00454E71" w:rsidRPr="00E50472" w:rsidRDefault="00454E71" w:rsidP="00E50472">
      <w:pPr>
        <w:pStyle w:val="Ttulo2"/>
        <w:spacing w:after="240" w:line="480" w:lineRule="auto"/>
        <w:rPr>
          <w:rFonts w:ascii="Times New Roman" w:hAnsi="Times New Roman" w:cs="Times New Roman"/>
          <w:b/>
          <w:bCs/>
          <w:lang w:val="en-GB"/>
        </w:rPr>
      </w:pPr>
      <w:r w:rsidRPr="00E50472">
        <w:rPr>
          <w:rFonts w:ascii="Times New Roman" w:hAnsi="Times New Roman" w:cs="Times New Roman"/>
          <w:b/>
          <w:bCs/>
          <w:lang w:val="en-GB"/>
        </w:rPr>
        <w:t>Human cytokine array</w:t>
      </w:r>
    </w:p>
    <w:p w14:paraId="5F4712B9" w14:textId="7C75EE5E" w:rsidR="00712E9B" w:rsidRDefault="00454E71" w:rsidP="008946FA">
      <w:pPr>
        <w:spacing w:line="480" w:lineRule="auto"/>
        <w:ind w:hanging="2"/>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Conditioned media (</w:t>
      </w:r>
      <w:r w:rsidRPr="00143FF9">
        <w:rPr>
          <w:rFonts w:ascii="Times New Roman" w:eastAsia="Times New Roman" w:hAnsi="Times New Roman"/>
          <w:color w:val="000000"/>
          <w:sz w:val="24"/>
          <w:szCs w:val="24"/>
          <w:lang w:val="en-US"/>
        </w:rPr>
        <w:t>CM</w:t>
      </w:r>
      <w:r>
        <w:rPr>
          <w:rFonts w:ascii="Times New Roman" w:eastAsia="Times New Roman" w:hAnsi="Times New Roman"/>
          <w:color w:val="000000"/>
          <w:sz w:val="24"/>
          <w:szCs w:val="24"/>
          <w:lang w:val="en-US"/>
        </w:rPr>
        <w:t>)</w:t>
      </w:r>
      <w:r w:rsidRPr="00143FF9">
        <w:rPr>
          <w:rFonts w:ascii="Times New Roman" w:eastAsia="Times New Roman" w:hAnsi="Times New Roman"/>
          <w:color w:val="000000"/>
          <w:sz w:val="24"/>
          <w:szCs w:val="24"/>
          <w:lang w:val="en-US"/>
        </w:rPr>
        <w:t xml:space="preserve"> from </w:t>
      </w:r>
      <w:r w:rsidR="00593657">
        <w:rPr>
          <w:rFonts w:ascii="Times New Roman" w:eastAsia="Times New Roman" w:hAnsi="Times New Roman"/>
          <w:color w:val="000000"/>
          <w:sz w:val="24"/>
          <w:szCs w:val="24"/>
          <w:lang w:val="en-US"/>
        </w:rPr>
        <w:t>M3 and M3R cells</w:t>
      </w:r>
      <w:r w:rsidRPr="00143FF9">
        <w:rPr>
          <w:rFonts w:ascii="Times New Roman" w:eastAsia="Times New Roman" w:hAnsi="Times New Roman"/>
          <w:color w:val="000000"/>
          <w:sz w:val="24"/>
          <w:szCs w:val="24"/>
          <w:lang w:val="en-US"/>
        </w:rPr>
        <w:t xml:space="preserve"> were incubated </w:t>
      </w:r>
      <w:r>
        <w:rPr>
          <w:rFonts w:ascii="Times New Roman" w:eastAsia="Times New Roman" w:hAnsi="Times New Roman"/>
          <w:color w:val="000000"/>
          <w:sz w:val="24"/>
          <w:szCs w:val="24"/>
          <w:lang w:val="en-US"/>
        </w:rPr>
        <w:t xml:space="preserve">in </w:t>
      </w:r>
      <w:r w:rsidRPr="00143FF9">
        <w:rPr>
          <w:rFonts w:ascii="Times New Roman" w:eastAsia="Times New Roman" w:hAnsi="Times New Roman"/>
          <w:color w:val="000000"/>
          <w:sz w:val="24"/>
          <w:szCs w:val="24"/>
          <w:lang w:val="en-US"/>
        </w:rPr>
        <w:t>Human Cytokine Antibody Array G-Series 3 (</w:t>
      </w:r>
      <w:proofErr w:type="spellStart"/>
      <w:r w:rsidRPr="00143FF9">
        <w:rPr>
          <w:rFonts w:ascii="Times New Roman" w:eastAsia="Times New Roman" w:hAnsi="Times New Roman"/>
          <w:color w:val="000000"/>
          <w:sz w:val="24"/>
          <w:szCs w:val="24"/>
          <w:lang w:val="en-US"/>
        </w:rPr>
        <w:t>RayBiotech</w:t>
      </w:r>
      <w:proofErr w:type="spellEnd"/>
      <w:r w:rsidRPr="00143FF9">
        <w:rPr>
          <w:rFonts w:ascii="Times New Roman" w:eastAsia="Times New Roman" w:hAnsi="Times New Roman"/>
          <w:color w:val="000000"/>
          <w:sz w:val="24"/>
          <w:szCs w:val="24"/>
          <w:lang w:val="en-US"/>
        </w:rPr>
        <w:t>) following the manufacturer’s protocol. Briefly, chips were incubated with a biotinylated detection antibody cocktail, with HRP-conjugated streptavidin and with detection buffers. Glass chip scanning was performed with a laser scanner (</w:t>
      </w:r>
      <w:proofErr w:type="spellStart"/>
      <w:r w:rsidRPr="00143FF9">
        <w:rPr>
          <w:rFonts w:ascii="Times New Roman" w:eastAsia="Times New Roman" w:hAnsi="Times New Roman"/>
          <w:color w:val="000000"/>
          <w:sz w:val="24"/>
          <w:szCs w:val="24"/>
          <w:lang w:val="en-US"/>
        </w:rPr>
        <w:t>Innopsys</w:t>
      </w:r>
      <w:proofErr w:type="spellEnd"/>
      <w:r w:rsidRPr="00143FF9">
        <w:rPr>
          <w:rFonts w:ascii="Times New Roman" w:eastAsia="Times New Roman" w:hAnsi="Times New Roman"/>
          <w:color w:val="000000"/>
          <w:sz w:val="24"/>
          <w:szCs w:val="24"/>
          <w:lang w:val="en-US"/>
        </w:rPr>
        <w:t xml:space="preserve">’ </w:t>
      </w:r>
      <w:proofErr w:type="spellStart"/>
      <w:r w:rsidRPr="00143FF9">
        <w:rPr>
          <w:rFonts w:ascii="Times New Roman" w:eastAsia="Times New Roman" w:hAnsi="Times New Roman"/>
          <w:color w:val="000000"/>
          <w:sz w:val="24"/>
          <w:szCs w:val="24"/>
          <w:lang w:val="en-US"/>
        </w:rPr>
        <w:t>InnoScan</w:t>
      </w:r>
      <w:proofErr w:type="spellEnd"/>
      <w:r w:rsidRPr="00143FF9">
        <w:rPr>
          <w:rFonts w:ascii="Times New Roman" w:eastAsia="Times New Roman" w:hAnsi="Times New Roman"/>
          <w:color w:val="000000"/>
          <w:sz w:val="24"/>
          <w:szCs w:val="24"/>
          <w:lang w:val="en-US"/>
        </w:rPr>
        <w:t xml:space="preserve">®) using cy3 or “green” channel (excitation frequency=532 nm). Results were analyzed with The </w:t>
      </w:r>
      <w:proofErr w:type="spellStart"/>
      <w:r w:rsidRPr="00143FF9">
        <w:rPr>
          <w:rFonts w:ascii="Times New Roman" w:eastAsia="Times New Roman" w:hAnsi="Times New Roman"/>
          <w:color w:val="000000"/>
          <w:sz w:val="24"/>
          <w:szCs w:val="24"/>
          <w:lang w:val="en-US"/>
        </w:rPr>
        <w:t>RayBio</w:t>
      </w:r>
      <w:proofErr w:type="spellEnd"/>
      <w:r w:rsidRPr="00143FF9">
        <w:rPr>
          <w:rFonts w:ascii="Times New Roman" w:eastAsia="Times New Roman" w:hAnsi="Times New Roman"/>
          <w:color w:val="000000"/>
          <w:sz w:val="24"/>
          <w:szCs w:val="24"/>
          <w:lang w:val="en-US"/>
        </w:rPr>
        <w:t>® Analysis Tool software.</w:t>
      </w:r>
    </w:p>
    <w:p w14:paraId="76A31C36" w14:textId="49A8D728" w:rsidR="00AF29C0" w:rsidRPr="00130DCB" w:rsidRDefault="00AF29C0" w:rsidP="00AF29C0">
      <w:pPr>
        <w:spacing w:line="480" w:lineRule="auto"/>
        <w:ind w:hanging="2"/>
        <w:jc w:val="both"/>
        <w:rPr>
          <w:rFonts w:ascii="Times New Roman" w:hAnsi="Times New Roman"/>
          <w:sz w:val="24"/>
          <w:szCs w:val="24"/>
          <w:lang w:val="en-US"/>
        </w:rPr>
      </w:pPr>
      <w:r w:rsidRPr="00130DCB">
        <w:rPr>
          <w:rFonts w:ascii="Times New Roman" w:hAnsi="Times New Roman"/>
          <w:sz w:val="24"/>
          <w:szCs w:val="24"/>
          <w:lang w:val="en-US"/>
        </w:rPr>
        <w:lastRenderedPageBreak/>
        <w:t>Cytokine array data were obtained from two independent biological replicates (n = 2), each analysed in technical duplicate; technical duplicates were averaged prior to analysis. Log2-transformed values were compared using paired one-tailed Student's t-tests for the prespecified directional hypothesis M3R &gt; M3. The hypothesis and choice of one-tailed testing were specified before inspection of the array results, reflecting the aim of prioritizing increased secreted factors for downstream functional testing. Decreases could be biologically relevant but would not support this increased-factor hypothesis. Given n = 2 and the number of cytokines examined, the displayed p-values are nominal and unadjusted, and the array is interpreted as exploratory rather than confirmatory. M-CSF was investigated further by ELISA in independent murine conditioned-media and mouse plasma samples (Figure 6a) and by functional blockade in human conditioned-media macrophage assays (Figure 6f–h).</w:t>
      </w:r>
    </w:p>
    <w:p w14:paraId="3A933EE5" w14:textId="77777777" w:rsidR="002B5007" w:rsidRPr="00F93F21" w:rsidRDefault="002B5007" w:rsidP="002B5007">
      <w:pPr>
        <w:pStyle w:val="Ttulo2"/>
        <w:spacing w:after="240" w:line="480" w:lineRule="auto"/>
        <w:rPr>
          <w:rFonts w:ascii="Times New Roman" w:hAnsi="Times New Roman" w:cs="Times New Roman"/>
          <w:b/>
          <w:bCs/>
          <w:lang w:val="en-GB"/>
        </w:rPr>
      </w:pPr>
      <w:r w:rsidRPr="007650FF">
        <w:rPr>
          <w:rFonts w:ascii="Times New Roman" w:hAnsi="Times New Roman" w:cs="Times New Roman"/>
          <w:b/>
          <w:bCs/>
          <w:lang w:val="en-GB"/>
        </w:rPr>
        <w:t>Statistical analysis of the cytokine array</w:t>
      </w:r>
    </w:p>
    <w:p w14:paraId="3DE0A5CB" w14:textId="1F1669D4" w:rsidR="002B5007" w:rsidRPr="007650FF" w:rsidRDefault="002B5007" w:rsidP="00A32CDC">
      <w:pPr>
        <w:pStyle w:val="NormalWeb"/>
        <w:spacing w:line="480" w:lineRule="auto"/>
        <w:jc w:val="both"/>
        <w:rPr>
          <w:rFonts w:eastAsiaTheme="majorEastAsia"/>
          <w:lang w:val="en-GB"/>
        </w:rPr>
      </w:pPr>
      <w:r w:rsidRPr="007650FF">
        <w:rPr>
          <w:lang w:val="en-US"/>
        </w:rPr>
        <w:t>To provide the complete quantitative data supporting Figure 1a, the normalized cytokine array measurements and corresponding statistical analyses are presented in Supplementary Table S</w:t>
      </w:r>
      <w:r w:rsidR="00276F74">
        <w:rPr>
          <w:lang w:val="en-US"/>
        </w:rPr>
        <w:t>1</w:t>
      </w:r>
      <w:r w:rsidRPr="007650FF">
        <w:rPr>
          <w:lang w:val="en-US"/>
        </w:rPr>
        <w:t>. For each cytokine, the table includes the mean normalized optical density (OD) values obtained from parental (M3) and BRAFi-resistant (M3R) melanoma cells, the calculated log2 fold change (log2FC), and the nominal, unadjusted one-tailed p-value. Cytokines are grouped according to the manufacturer's classification (Inflammatory and Immunomodulatory). Statistical comparisons used the prespecified paired one-tailed Student's t-test (M3R &gt; M3). Labels indicating P &lt; 0.05 identify nominal thresholds under this directional test and do not represent multiplicity-adjusted or confirmatory significance.</w:t>
      </w:r>
    </w:p>
    <w:p w14:paraId="6E4524F9" w14:textId="078D65E4" w:rsidR="002B5007" w:rsidRDefault="00276F74" w:rsidP="00A32CDC">
      <w:pPr>
        <w:spacing w:line="480" w:lineRule="auto"/>
        <w:ind w:hanging="2"/>
        <w:jc w:val="center"/>
        <w:rPr>
          <w:rFonts w:ascii="Times New Roman" w:eastAsia="Times New Roman" w:hAnsi="Times New Roman"/>
          <w:color w:val="000000"/>
          <w:sz w:val="24"/>
          <w:szCs w:val="24"/>
          <w:lang w:val="en-US"/>
        </w:rPr>
      </w:pPr>
      <w:bookmarkStart w:id="0" w:name="_GoBack"/>
      <w:r w:rsidRPr="00276F74">
        <w:rPr>
          <w:noProof/>
          <w:lang w:eastAsia="es-ES"/>
        </w:rPr>
        <w:lastRenderedPageBreak/>
        <w:drawing>
          <wp:inline distT="0" distB="0" distL="0" distR="0" wp14:anchorId="178927F5" wp14:editId="63DF9140">
            <wp:extent cx="6123940" cy="1808021"/>
            <wp:effectExtent l="0" t="0" r="0"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42937" cy="1813630"/>
                    </a:xfrm>
                    <a:prstGeom prst="rect">
                      <a:avLst/>
                    </a:prstGeom>
                    <a:noFill/>
                    <a:ln>
                      <a:noFill/>
                    </a:ln>
                  </pic:spPr>
                </pic:pic>
              </a:graphicData>
            </a:graphic>
          </wp:inline>
        </w:drawing>
      </w:r>
      <w:bookmarkEnd w:id="0"/>
    </w:p>
    <w:p w14:paraId="52E10CF6" w14:textId="63E64663" w:rsidR="007D0C63" w:rsidRPr="00772724" w:rsidRDefault="002B5007" w:rsidP="00C55CFD">
      <w:pPr>
        <w:spacing w:line="480" w:lineRule="auto"/>
        <w:ind w:hanging="2"/>
        <w:jc w:val="both"/>
        <w:rPr>
          <w:rFonts w:ascii="Times New Roman" w:hAnsi="Times New Roman"/>
          <w:sz w:val="24"/>
          <w:szCs w:val="24"/>
          <w:lang w:val="en-US"/>
        </w:rPr>
      </w:pPr>
      <w:r w:rsidRPr="00772724">
        <w:rPr>
          <w:rFonts w:ascii="Times New Roman" w:hAnsi="Times New Roman"/>
          <w:b/>
          <w:bCs/>
          <w:sz w:val="24"/>
          <w:szCs w:val="24"/>
          <w:lang w:val="en-US"/>
        </w:rPr>
        <w:t>Supplementary Table S</w:t>
      </w:r>
      <w:r w:rsidR="00484452" w:rsidRPr="00772724">
        <w:rPr>
          <w:rFonts w:ascii="Times New Roman" w:hAnsi="Times New Roman"/>
          <w:b/>
          <w:bCs/>
          <w:sz w:val="24"/>
          <w:szCs w:val="24"/>
          <w:lang w:val="en-US"/>
        </w:rPr>
        <w:t>1</w:t>
      </w:r>
      <w:r w:rsidRPr="00772724">
        <w:rPr>
          <w:rFonts w:ascii="Times New Roman" w:hAnsi="Times New Roman"/>
          <w:b/>
          <w:bCs/>
          <w:sz w:val="24"/>
          <w:szCs w:val="24"/>
          <w:lang w:val="en-US"/>
        </w:rPr>
        <w:t>. Quantitative analysis of the cytokine array shown in Figure 1a.</w:t>
      </w:r>
      <w:r w:rsidRPr="00772724">
        <w:rPr>
          <w:rFonts w:ascii="Times New Roman" w:hAnsi="Times New Roman"/>
          <w:sz w:val="24"/>
          <w:szCs w:val="24"/>
          <w:lang w:val="en-US"/>
        </w:rPr>
        <w:t xml:space="preserve"> Mean normalized optical density (OD) values obtained from two independent biological replicates (n=2), each </w:t>
      </w:r>
      <w:proofErr w:type="spellStart"/>
      <w:r w:rsidRPr="00772724">
        <w:rPr>
          <w:rFonts w:ascii="Times New Roman" w:hAnsi="Times New Roman"/>
          <w:sz w:val="24"/>
          <w:szCs w:val="24"/>
          <w:lang w:val="en-US"/>
        </w:rPr>
        <w:t>analysed</w:t>
      </w:r>
      <w:proofErr w:type="spellEnd"/>
      <w:r w:rsidRPr="00772724">
        <w:rPr>
          <w:rFonts w:ascii="Times New Roman" w:hAnsi="Times New Roman"/>
          <w:sz w:val="24"/>
          <w:szCs w:val="24"/>
          <w:lang w:val="en-US"/>
        </w:rPr>
        <w:t xml:space="preserve"> in technical duplicate, of parental (M3) and BRAFi-resistant (M3R) melanoma cells are presented for each cytokine. Fold changes are expressed as log2 fold change (log2FC) between M3R and M3. Nominal p-values were calculated using prespecified paired one-tailed Student's t-tests (M3R &gt; M3). The last-column annotations identify nominal P &lt; 0.05 under that test; they do not establish confirmatory significance or account for multiple testing. The array is an exploratory screen.</w:t>
      </w:r>
    </w:p>
    <w:p w14:paraId="50FB53EA" w14:textId="77777777" w:rsidR="00772724" w:rsidRPr="009F133C" w:rsidRDefault="00772724" w:rsidP="009F133C">
      <w:pPr>
        <w:pStyle w:val="Ttulo2"/>
        <w:spacing w:after="240" w:line="480" w:lineRule="auto"/>
        <w:rPr>
          <w:rFonts w:ascii="Times New Roman" w:hAnsi="Times New Roman"/>
          <w:b/>
          <w:bCs/>
          <w:lang w:val="en-GB"/>
        </w:rPr>
      </w:pPr>
      <w:r w:rsidRPr="009F133C">
        <w:rPr>
          <w:rFonts w:ascii="Times New Roman" w:hAnsi="Times New Roman" w:cs="Times New Roman"/>
          <w:b/>
          <w:bCs/>
          <w:lang w:val="en-GB"/>
        </w:rPr>
        <w:t>Source Western Blot Images</w:t>
      </w:r>
    </w:p>
    <w:p w14:paraId="54CF10F2" w14:textId="33850CBA" w:rsidR="00772724" w:rsidDel="009F133C" w:rsidRDefault="00772724" w:rsidP="009F133C">
      <w:pPr>
        <w:spacing w:line="480" w:lineRule="auto"/>
        <w:jc w:val="both"/>
        <w:rPr>
          <w:rFonts w:ascii="Times New Roman" w:hAnsi="Times New Roman"/>
          <w:bCs/>
          <w:color w:val="000000"/>
          <w:sz w:val="24"/>
          <w:szCs w:val="24"/>
          <w:lang w:val="en-US"/>
        </w:rPr>
      </w:pPr>
      <w:r w:rsidRPr="00154B2E">
        <w:rPr>
          <w:rFonts w:ascii="Times New Roman" w:hAnsi="Times New Roman"/>
          <w:bCs/>
          <w:color w:val="000000"/>
          <w:sz w:val="24"/>
          <w:szCs w:val="24"/>
          <w:lang w:val="en-US"/>
        </w:rPr>
        <w:t xml:space="preserve">Source Western blot images corresponding to the representative Western blots in Figure 2g are provided below. Expected molecular weights are annotated and the selected parental and resistant lanes are identified. The parental 5555 cells (P) and BRAFi-resistant 5555R cells (R) used for densitometry quantification </w:t>
      </w:r>
      <w:proofErr w:type="gramStart"/>
      <w:r w:rsidRPr="00154B2E">
        <w:rPr>
          <w:rFonts w:ascii="Times New Roman" w:hAnsi="Times New Roman"/>
          <w:bCs/>
          <w:color w:val="000000"/>
          <w:sz w:val="24"/>
          <w:szCs w:val="24"/>
          <w:lang w:val="en-US"/>
        </w:rPr>
        <w:t>are indicated</w:t>
      </w:r>
      <w:proofErr w:type="gramEnd"/>
      <w:r w:rsidRPr="00154B2E">
        <w:rPr>
          <w:rFonts w:ascii="Times New Roman" w:hAnsi="Times New Roman"/>
          <w:bCs/>
          <w:color w:val="000000"/>
          <w:sz w:val="24"/>
          <w:szCs w:val="24"/>
          <w:lang w:val="en-US"/>
        </w:rPr>
        <w:t>.</w:t>
      </w:r>
    </w:p>
    <w:p w14:paraId="328A99A8" w14:textId="0A359B0D" w:rsidR="009F133C" w:rsidRDefault="009F133C" w:rsidP="00772724">
      <w:pPr>
        <w:spacing w:line="480" w:lineRule="auto"/>
        <w:jc w:val="both"/>
        <w:rPr>
          <w:rFonts w:ascii="Times New Roman" w:hAnsi="Times New Roman"/>
          <w:bCs/>
          <w:color w:val="000000"/>
          <w:sz w:val="24"/>
          <w:szCs w:val="24"/>
          <w:lang w:val="en-US"/>
        </w:rPr>
      </w:pPr>
    </w:p>
    <w:p w14:paraId="4589ED1B" w14:textId="77777777" w:rsidR="009F133C" w:rsidRPr="00154B2E" w:rsidRDefault="009F133C" w:rsidP="00772724">
      <w:pPr>
        <w:spacing w:line="480" w:lineRule="auto"/>
        <w:jc w:val="both"/>
        <w:rPr>
          <w:rFonts w:ascii="Times New Roman" w:hAnsi="Times New Roman"/>
          <w:bCs/>
          <w:color w:val="000000"/>
          <w:sz w:val="24"/>
          <w:szCs w:val="24"/>
          <w:lang w:val="en-US"/>
        </w:rPr>
      </w:pPr>
    </w:p>
    <w:p w14:paraId="1065B1D8" w14:textId="74C95C8C" w:rsidR="00772724" w:rsidRDefault="009F133C" w:rsidP="009F133C">
      <w:pPr>
        <w:spacing w:line="480" w:lineRule="auto"/>
        <w:jc w:val="both"/>
        <w:rPr>
          <w:rFonts w:ascii="Times New Roman" w:hAnsi="Times New Roman"/>
          <w:sz w:val="20"/>
          <w:szCs w:val="20"/>
          <w:lang w:val="en-US"/>
        </w:rPr>
      </w:pPr>
      <w:r>
        <w:rPr>
          <w:rFonts w:ascii="Times New Roman" w:hAnsi="Times New Roman"/>
          <w:noProof/>
          <w:sz w:val="20"/>
          <w:szCs w:val="20"/>
          <w:lang w:eastAsia="es-ES"/>
        </w:rPr>
        <w:lastRenderedPageBreak/>
        <w:drawing>
          <wp:inline distT="0" distB="0" distL="0" distR="0" wp14:anchorId="7DBAE552" wp14:editId="4FBC4902">
            <wp:extent cx="5400675" cy="70199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675" cy="7019925"/>
                    </a:xfrm>
                    <a:prstGeom prst="rect">
                      <a:avLst/>
                    </a:prstGeom>
                    <a:noFill/>
                    <a:ln>
                      <a:noFill/>
                    </a:ln>
                  </pic:spPr>
                </pic:pic>
              </a:graphicData>
            </a:graphic>
          </wp:inline>
        </w:drawing>
      </w:r>
    </w:p>
    <w:p w14:paraId="6BF04B43" w14:textId="55963848" w:rsidR="009F133C" w:rsidRPr="009F133C" w:rsidRDefault="009F133C" w:rsidP="00C55CFD">
      <w:pPr>
        <w:spacing w:line="480" w:lineRule="auto"/>
        <w:ind w:hanging="2"/>
        <w:jc w:val="both"/>
        <w:rPr>
          <w:rFonts w:ascii="Times New Roman" w:hAnsi="Times New Roman"/>
          <w:sz w:val="20"/>
          <w:szCs w:val="20"/>
          <w:lang w:val="en-US"/>
        </w:rPr>
      </w:pPr>
      <w:r>
        <w:rPr>
          <w:rFonts w:ascii="Times New Roman" w:hAnsi="Times New Roman"/>
          <w:noProof/>
          <w:sz w:val="20"/>
          <w:szCs w:val="20"/>
          <w:lang w:eastAsia="es-ES"/>
        </w:rPr>
        <w:lastRenderedPageBreak/>
        <w:drawing>
          <wp:inline distT="0" distB="0" distL="0" distR="0" wp14:anchorId="07FF453A" wp14:editId="4164DD9A">
            <wp:extent cx="3133725" cy="60579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33725" cy="6057900"/>
                    </a:xfrm>
                    <a:prstGeom prst="rect">
                      <a:avLst/>
                    </a:prstGeom>
                    <a:noFill/>
                    <a:ln>
                      <a:noFill/>
                    </a:ln>
                  </pic:spPr>
                </pic:pic>
              </a:graphicData>
            </a:graphic>
          </wp:inline>
        </w:drawing>
      </w:r>
    </w:p>
    <w:p w14:paraId="526FCE3C" w14:textId="51464772" w:rsidR="00772724" w:rsidRPr="009F133C" w:rsidRDefault="00772724" w:rsidP="00C55CFD">
      <w:pPr>
        <w:spacing w:line="480" w:lineRule="auto"/>
        <w:ind w:hanging="2"/>
        <w:jc w:val="both"/>
        <w:rPr>
          <w:rFonts w:ascii="Times New Roman" w:eastAsia="Times New Roman" w:hAnsi="Times New Roman"/>
          <w:color w:val="000000"/>
          <w:sz w:val="20"/>
          <w:szCs w:val="20"/>
        </w:rPr>
      </w:pPr>
    </w:p>
    <w:p w14:paraId="20EECCC9" w14:textId="124607B3" w:rsidR="00772724" w:rsidRPr="00F026EE" w:rsidDel="009F133C" w:rsidRDefault="00772724" w:rsidP="00772724">
      <w:pPr>
        <w:spacing w:line="480" w:lineRule="auto"/>
        <w:jc w:val="both"/>
        <w:rPr>
          <w:rFonts w:ascii="Times New Roman" w:hAnsi="Times New Roman"/>
          <w:bCs/>
          <w:color w:val="000000"/>
          <w:sz w:val="24"/>
          <w:szCs w:val="24"/>
          <w:lang w:val="en-US"/>
        </w:rPr>
      </w:pPr>
      <w:r w:rsidRPr="00F026EE">
        <w:rPr>
          <w:rFonts w:ascii="Times New Roman" w:hAnsi="Times New Roman"/>
          <w:b/>
          <w:bCs/>
          <w:color w:val="000000"/>
          <w:sz w:val="24"/>
          <w:szCs w:val="24"/>
          <w:lang w:val="en-US"/>
        </w:rPr>
        <w:t>Supplementary Western blot source images corresponding to Figure 2g. Source images for β-catenin, MMP-9, Snail, p-MLC2, MLC2, PD-L1, Nanog and GAPDH are shown. Parental 5555 cells (P) and BRAFi-resistant 5555R cells (R) are indicated. Expected molecular weights are annotated. The lanes corresponding to P and R were used for densitometry quantification presented in Figure 2g and Figure S2h.</w:t>
      </w:r>
    </w:p>
    <w:sectPr w:rsidR="00772724" w:rsidRPr="00F026EE" w:rsidDel="009F133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5A3"/>
    <w:rsid w:val="00064AAA"/>
    <w:rsid w:val="000F02FD"/>
    <w:rsid w:val="0012085D"/>
    <w:rsid w:val="00130DCB"/>
    <w:rsid w:val="00161ABF"/>
    <w:rsid w:val="00205511"/>
    <w:rsid w:val="00265D37"/>
    <w:rsid w:val="0027480A"/>
    <w:rsid w:val="00276F74"/>
    <w:rsid w:val="002B4DB8"/>
    <w:rsid w:val="002B5007"/>
    <w:rsid w:val="002B7A59"/>
    <w:rsid w:val="00385526"/>
    <w:rsid w:val="003B5F24"/>
    <w:rsid w:val="003B6F73"/>
    <w:rsid w:val="003F70E0"/>
    <w:rsid w:val="0042763F"/>
    <w:rsid w:val="00454E71"/>
    <w:rsid w:val="00484452"/>
    <w:rsid w:val="005235A3"/>
    <w:rsid w:val="005369B2"/>
    <w:rsid w:val="00550756"/>
    <w:rsid w:val="00593657"/>
    <w:rsid w:val="005F7A83"/>
    <w:rsid w:val="00654935"/>
    <w:rsid w:val="00712E9B"/>
    <w:rsid w:val="00772724"/>
    <w:rsid w:val="00796754"/>
    <w:rsid w:val="007D0C63"/>
    <w:rsid w:val="008946FA"/>
    <w:rsid w:val="00964580"/>
    <w:rsid w:val="009F133C"/>
    <w:rsid w:val="00A32CDC"/>
    <w:rsid w:val="00A40361"/>
    <w:rsid w:val="00A41E35"/>
    <w:rsid w:val="00AD7831"/>
    <w:rsid w:val="00AE1CA9"/>
    <w:rsid w:val="00AF29C0"/>
    <w:rsid w:val="00BC5395"/>
    <w:rsid w:val="00C032A6"/>
    <w:rsid w:val="00C55CFD"/>
    <w:rsid w:val="00C62886"/>
    <w:rsid w:val="00C73761"/>
    <w:rsid w:val="00D56E88"/>
    <w:rsid w:val="00D87E52"/>
    <w:rsid w:val="00E50472"/>
    <w:rsid w:val="00ED0CC8"/>
    <w:rsid w:val="00EE01FA"/>
    <w:rsid w:val="00F661DA"/>
    <w:rsid w:val="00FE373F"/>
    <w:rsid w:val="00FF6D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1B04C"/>
  <w15:chartTrackingRefBased/>
  <w15:docId w15:val="{B1606D75-78A5-6D48-A3AF-C3689035A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4E71"/>
    <w:pPr>
      <w:spacing w:after="200" w:line="276" w:lineRule="auto"/>
    </w:pPr>
    <w:rPr>
      <w:rFonts w:ascii="Calibri" w:eastAsia="Calibri" w:hAnsi="Calibri" w:cs="Times New Roman"/>
      <w:kern w:val="0"/>
      <w:sz w:val="22"/>
      <w:szCs w:val="22"/>
      <w14:ligatures w14:val="none"/>
    </w:rPr>
  </w:style>
  <w:style w:type="paragraph" w:styleId="Ttulo2">
    <w:name w:val="heading 2"/>
    <w:basedOn w:val="Normal"/>
    <w:next w:val="Normal"/>
    <w:link w:val="Ttulo2Car"/>
    <w:uiPriority w:val="9"/>
    <w:unhideWhenUsed/>
    <w:qFormat/>
    <w:rsid w:val="00E50472"/>
    <w:pPr>
      <w:keepNext/>
      <w:keepLines/>
      <w:spacing w:before="40" w:after="0" w:line="240" w:lineRule="auto"/>
      <w:outlineLvl w:val="1"/>
    </w:pPr>
    <w:rPr>
      <w:rFonts w:asciiTheme="majorHAnsi" w:eastAsiaTheme="majorEastAsia" w:hAnsiTheme="majorHAnsi" w:cstheme="majorBidi"/>
      <w:color w:val="2F5496" w:themeColor="accent1" w:themeShade="BF"/>
      <w:kern w:val="2"/>
      <w:sz w:val="26"/>
      <w:szCs w:val="26"/>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Revisin">
    <w:name w:val="Revision"/>
    <w:hidden/>
    <w:uiPriority w:val="99"/>
    <w:semiHidden/>
    <w:rsid w:val="00FF6DFA"/>
    <w:rPr>
      <w:rFonts w:ascii="Calibri" w:eastAsia="Calibri" w:hAnsi="Calibri" w:cs="Times New Roman"/>
      <w:kern w:val="0"/>
      <w:sz w:val="22"/>
      <w:szCs w:val="22"/>
      <w14:ligatures w14:val="none"/>
    </w:rPr>
  </w:style>
  <w:style w:type="character" w:styleId="Refdecomentario">
    <w:name w:val="annotation reference"/>
    <w:basedOn w:val="Fuentedeprrafopredeter"/>
    <w:uiPriority w:val="99"/>
    <w:semiHidden/>
    <w:unhideWhenUsed/>
    <w:rsid w:val="00FF6DFA"/>
    <w:rPr>
      <w:sz w:val="16"/>
      <w:szCs w:val="16"/>
    </w:rPr>
  </w:style>
  <w:style w:type="paragraph" w:styleId="Textocomentario">
    <w:name w:val="annotation text"/>
    <w:basedOn w:val="Normal"/>
    <w:link w:val="TextocomentarioCar"/>
    <w:uiPriority w:val="99"/>
    <w:unhideWhenUsed/>
    <w:rsid w:val="00FF6DFA"/>
    <w:pPr>
      <w:spacing w:line="240" w:lineRule="auto"/>
    </w:pPr>
    <w:rPr>
      <w:sz w:val="20"/>
      <w:szCs w:val="20"/>
    </w:rPr>
  </w:style>
  <w:style w:type="character" w:customStyle="1" w:styleId="TextocomentarioCar">
    <w:name w:val="Texto comentario Car"/>
    <w:basedOn w:val="Fuentedeprrafopredeter"/>
    <w:link w:val="Textocomentario"/>
    <w:uiPriority w:val="99"/>
    <w:rsid w:val="00FF6DFA"/>
    <w:rPr>
      <w:rFonts w:ascii="Calibri" w:eastAsia="Calibri" w:hAnsi="Calibri" w:cs="Times New Roman"/>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FF6DFA"/>
    <w:rPr>
      <w:b/>
      <w:bCs/>
    </w:rPr>
  </w:style>
  <w:style w:type="character" w:customStyle="1" w:styleId="AsuntodelcomentarioCar">
    <w:name w:val="Asunto del comentario Car"/>
    <w:basedOn w:val="TextocomentarioCar"/>
    <w:link w:val="Asuntodelcomentario"/>
    <w:uiPriority w:val="99"/>
    <w:semiHidden/>
    <w:rsid w:val="00FF6DFA"/>
    <w:rPr>
      <w:rFonts w:ascii="Calibri" w:eastAsia="Calibri" w:hAnsi="Calibri" w:cs="Times New Roman"/>
      <w:b/>
      <w:bCs/>
      <w:kern w:val="0"/>
      <w:sz w:val="20"/>
      <w:szCs w:val="20"/>
      <w14:ligatures w14:val="none"/>
    </w:rPr>
  </w:style>
  <w:style w:type="character" w:customStyle="1" w:styleId="Ttulo2Car">
    <w:name w:val="Título 2 Car"/>
    <w:basedOn w:val="Fuentedeprrafopredeter"/>
    <w:link w:val="Ttulo2"/>
    <w:uiPriority w:val="9"/>
    <w:rsid w:val="00E50472"/>
    <w:rPr>
      <w:rFonts w:asciiTheme="majorHAnsi" w:eastAsiaTheme="majorEastAsia" w:hAnsiTheme="majorHAnsi" w:cstheme="majorBidi"/>
      <w:color w:val="2F5496" w:themeColor="accent1" w:themeShade="BF"/>
      <w:sz w:val="26"/>
      <w:szCs w:val="26"/>
    </w:rPr>
  </w:style>
  <w:style w:type="paragraph" w:styleId="Textodeglobo">
    <w:name w:val="Balloon Text"/>
    <w:basedOn w:val="Normal"/>
    <w:link w:val="TextodegloboCar"/>
    <w:uiPriority w:val="99"/>
    <w:semiHidden/>
    <w:unhideWhenUsed/>
    <w:rsid w:val="005369B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69B2"/>
    <w:rPr>
      <w:rFonts w:ascii="Segoe UI" w:eastAsia="Calibri" w:hAnsi="Segoe UI" w:cs="Segoe UI"/>
      <w:kern w:val="0"/>
      <w:sz w:val="18"/>
      <w:szCs w:val="18"/>
      <w14:ligatures w14:val="none"/>
    </w:rPr>
  </w:style>
  <w:style w:type="paragraph" w:styleId="NormalWeb">
    <w:name w:val="Normal (Web)"/>
    <w:basedOn w:val="Normal"/>
    <w:uiPriority w:val="99"/>
    <w:unhideWhenUsed/>
    <w:rsid w:val="002B5007"/>
    <w:pPr>
      <w:spacing w:before="100" w:beforeAutospacing="1" w:after="100" w:afterAutospacing="1" w:line="240" w:lineRule="auto"/>
    </w:pPr>
    <w:rPr>
      <w:rFonts w:ascii="Times New Roman" w:eastAsia="Times New Roman" w:hAnsi="Times New Roman"/>
      <w:sz w:val="24"/>
      <w:szCs w:val="24"/>
      <w:lang w:eastAsia="es-ES_tradnl"/>
    </w:rPr>
  </w:style>
  <w:style w:type="character" w:styleId="nfasis">
    <w:name w:val="Emphasis"/>
    <w:basedOn w:val="Fuentedeprrafopredeter"/>
    <w:uiPriority w:val="20"/>
    <w:qFormat/>
    <w:rsid w:val="002B500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5097">
      <w:bodyDiv w:val="1"/>
      <w:marLeft w:val="0"/>
      <w:marRight w:val="0"/>
      <w:marTop w:val="0"/>
      <w:marBottom w:val="0"/>
      <w:divBdr>
        <w:top w:val="none" w:sz="0" w:space="0" w:color="auto"/>
        <w:left w:val="none" w:sz="0" w:space="0" w:color="auto"/>
        <w:bottom w:val="none" w:sz="0" w:space="0" w:color="auto"/>
        <w:right w:val="none" w:sz="0" w:space="0" w:color="auto"/>
      </w:divBdr>
    </w:div>
    <w:div w:id="294338615">
      <w:bodyDiv w:val="1"/>
      <w:marLeft w:val="0"/>
      <w:marRight w:val="0"/>
      <w:marTop w:val="0"/>
      <w:marBottom w:val="0"/>
      <w:divBdr>
        <w:top w:val="none" w:sz="0" w:space="0" w:color="auto"/>
        <w:left w:val="none" w:sz="0" w:space="0" w:color="auto"/>
        <w:bottom w:val="none" w:sz="0" w:space="0" w:color="auto"/>
        <w:right w:val="none" w:sz="0" w:space="0" w:color="auto"/>
      </w:divBdr>
    </w:div>
    <w:div w:id="485124261">
      <w:bodyDiv w:val="1"/>
      <w:marLeft w:val="0"/>
      <w:marRight w:val="0"/>
      <w:marTop w:val="0"/>
      <w:marBottom w:val="0"/>
      <w:divBdr>
        <w:top w:val="none" w:sz="0" w:space="0" w:color="auto"/>
        <w:left w:val="none" w:sz="0" w:space="0" w:color="auto"/>
        <w:bottom w:val="none" w:sz="0" w:space="0" w:color="auto"/>
        <w:right w:val="none" w:sz="0" w:space="0" w:color="auto"/>
      </w:divBdr>
    </w:div>
    <w:div w:id="107782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81AC9-8B16-451D-A0A8-093387F76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1422</Words>
  <Characters>7825</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 Sisó Camarasa</dc:creator>
  <cp:keywords/>
  <dc:description/>
  <cp:lastModifiedBy>Universitat de Lleida</cp:lastModifiedBy>
  <cp:revision>2</cp:revision>
  <dcterms:created xsi:type="dcterms:W3CDTF">2026-09-07T15:24:00Z</dcterms:created>
  <dcterms:modified xsi:type="dcterms:W3CDTF">2026-09-07T15:24:00Z</dcterms:modified>
</cp:coreProperties>
</file>