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DBBCF">
      <w:pPr>
        <w:widowControl/>
        <w:jc w:val="center"/>
        <w:rPr>
          <w:rFonts w:ascii="Times New Roman" w:hAnsi="Times New Roman" w:cs="Times New Roman"/>
          <w:sz w:val="28"/>
          <w:szCs w:val="28"/>
          <w:u w:val="none"/>
        </w:rPr>
      </w:pPr>
      <w:bookmarkStart w:id="0" w:name="_Hlk206579527"/>
      <w:r>
        <w:rPr>
          <w:rFonts w:ascii="Times New Roman" w:hAnsi="Times New Roman" w:cs="Times New Roman"/>
          <w:sz w:val="28"/>
          <w:szCs w:val="28"/>
          <w:u w:val="none"/>
        </w:rPr>
        <w:t>Supplementary Materials for</w:t>
      </w:r>
    </w:p>
    <w:p w14:paraId="018AE708">
      <w:pPr>
        <w:widowControl/>
        <w:rPr>
          <w:rFonts w:ascii="Times New Roman" w:hAnsi="Times New Roman" w:cs="Times New Roman"/>
          <w:sz w:val="22"/>
          <w:szCs w:val="22"/>
          <w:u w:val="none"/>
        </w:rPr>
      </w:pPr>
    </w:p>
    <w:p w14:paraId="16210A35">
      <w:pPr>
        <w:widowControl/>
        <w:spacing w:line="480" w:lineRule="auto"/>
        <w:jc w:val="center"/>
        <w:rPr>
          <w:rFonts w:ascii="Times New Roman" w:hAnsi="Times New Roman" w:cs="Times New Roman"/>
          <w:b/>
          <w:bCs/>
          <w:sz w:val="22"/>
          <w:szCs w:val="22"/>
          <w:u w:val="none"/>
        </w:rPr>
      </w:pPr>
      <w:r>
        <w:rPr>
          <w:rFonts w:hint="eastAsia" w:ascii="Times New Roman" w:hAnsi="Times New Roman" w:cs="Times New Roman"/>
          <w:b/>
          <w:bCs/>
          <w:sz w:val="22"/>
          <w:szCs w:val="22"/>
          <w:u w:val="none"/>
        </w:rPr>
        <w:t>BRD4-S reprograms glutathione metabolism to</w:t>
      </w:r>
      <w:r>
        <w:rPr>
          <w:rFonts w:hint="eastAsia" w:ascii="Times New Roman" w:hAnsi="Times New Roman" w:cs="Times New Roman"/>
          <w:b/>
          <w:bCs/>
          <w:sz w:val="22"/>
          <w:szCs w:val="22"/>
          <w:u w:val="none"/>
          <w:lang w:val="en-US" w:eastAsia="zh-CN"/>
        </w:rPr>
        <w:t xml:space="preserve"> </w:t>
      </w:r>
      <w:r>
        <w:rPr>
          <w:rFonts w:hint="eastAsia" w:ascii="Times New Roman" w:hAnsi="Times New Roman" w:cs="Times New Roman"/>
          <w:b/>
          <w:bCs/>
          <w:color w:val="auto"/>
          <w:sz w:val="22"/>
          <w:szCs w:val="22"/>
          <w:lang w:val="en-US" w:eastAsia="zh-CN"/>
        </w:rPr>
        <w:t>reduce</w:t>
      </w:r>
      <w:r>
        <w:rPr>
          <w:rFonts w:hint="eastAsia" w:ascii="Times New Roman" w:hAnsi="Times New Roman" w:cs="Times New Roman"/>
          <w:b/>
          <w:bCs/>
          <w:sz w:val="22"/>
          <w:szCs w:val="22"/>
          <w:u w:val="none"/>
        </w:rPr>
        <w:t xml:space="preserve"> ferroptosis sensitivity and </w:t>
      </w:r>
      <w:r>
        <w:rPr>
          <w:rFonts w:hint="default" w:ascii="Times New Roman" w:hAnsi="Times New Roman" w:cs="Times New Roman"/>
          <w:b/>
          <w:bCs/>
          <w:i w:val="0"/>
          <w:iCs w:val="0"/>
          <w:color w:val="auto"/>
          <w:sz w:val="22"/>
          <w:szCs w:val="22"/>
          <w:u w:val="none"/>
        </w:rPr>
        <w:t>limits oxaliplatin response</w:t>
      </w:r>
      <w:r>
        <w:rPr>
          <w:rFonts w:hint="eastAsia" w:ascii="Times New Roman" w:hAnsi="Times New Roman" w:cs="Times New Roman"/>
          <w:b/>
          <w:bCs/>
          <w:sz w:val="22"/>
          <w:szCs w:val="22"/>
          <w:u w:val="none"/>
        </w:rPr>
        <w:t xml:space="preserve"> in gastric cancer</w:t>
      </w:r>
    </w:p>
    <w:p w14:paraId="34BF90B4">
      <w:pPr>
        <w:spacing w:line="480" w:lineRule="auto"/>
        <w:jc w:val="center"/>
        <w:rPr>
          <w:rFonts w:ascii="Times New Roman" w:hAnsi="Times New Roman" w:cs="Times New Roman"/>
          <w:sz w:val="22"/>
          <w:szCs w:val="22"/>
          <w:u w:val="none"/>
        </w:rPr>
      </w:pPr>
    </w:p>
    <w:p w14:paraId="54231FAB">
      <w:pPr>
        <w:widowControl/>
        <w:jc w:val="center"/>
        <w:rPr>
          <w:rFonts w:ascii="Times New Roman" w:hAnsi="Times New Roman" w:cs="Times New Roman"/>
          <w:sz w:val="22"/>
          <w:szCs w:val="22"/>
          <w:u w:val="none"/>
        </w:rPr>
      </w:pPr>
    </w:p>
    <w:p w14:paraId="738C9B66">
      <w:pPr>
        <w:widowControl/>
        <w:spacing w:line="360" w:lineRule="auto"/>
        <w:rPr>
          <w:rFonts w:ascii="Times New Roman" w:hAnsi="Times New Roman" w:cs="Times New Roman"/>
          <w:b/>
          <w:bCs/>
          <w:sz w:val="22"/>
          <w:szCs w:val="22"/>
          <w:u w:val="none"/>
        </w:rPr>
      </w:pPr>
      <w:r>
        <w:rPr>
          <w:rFonts w:ascii="Times New Roman" w:hAnsi="Times New Roman" w:cs="Times New Roman"/>
          <w:b/>
          <w:bCs/>
          <w:sz w:val="22"/>
          <w:szCs w:val="22"/>
          <w:u w:val="none"/>
        </w:rPr>
        <w:t>This WORD file includes:</w:t>
      </w:r>
    </w:p>
    <w:p w14:paraId="3DCD74FF">
      <w:pPr>
        <w:widowControl/>
        <w:spacing w:line="360" w:lineRule="auto"/>
        <w:ind w:firstLine="440" w:firstLineChars="200"/>
        <w:rPr>
          <w:rFonts w:ascii="Times New Roman" w:hAnsi="Times New Roman" w:cs="Times New Roman"/>
          <w:sz w:val="22"/>
          <w:szCs w:val="22"/>
          <w:u w:val="none"/>
        </w:rPr>
      </w:pPr>
      <w:r>
        <w:rPr>
          <w:rFonts w:ascii="Times New Roman" w:hAnsi="Times New Roman" w:cs="Times New Roman"/>
          <w:sz w:val="22"/>
          <w:szCs w:val="22"/>
          <w:u w:val="none"/>
        </w:rPr>
        <w:t xml:space="preserve">Supplementary </w:t>
      </w:r>
      <w:bookmarkEnd w:id="0"/>
      <w:r>
        <w:rPr>
          <w:rFonts w:ascii="Times New Roman" w:hAnsi="Times New Roman" w:cs="Times New Roman"/>
          <w:sz w:val="22"/>
          <w:szCs w:val="22"/>
          <w:u w:val="none"/>
        </w:rPr>
        <w:t>materials and methods</w:t>
      </w:r>
    </w:p>
    <w:p w14:paraId="47B9DC6F">
      <w:pPr>
        <w:widowControl/>
        <w:rPr>
          <w:rFonts w:ascii="Times New Roman" w:hAnsi="Times New Roman" w:cs="Times New Roman"/>
          <w:sz w:val="22"/>
          <w:szCs w:val="22"/>
          <w:u w:val="none"/>
        </w:rPr>
      </w:pPr>
      <w:r>
        <w:rPr>
          <w:rFonts w:ascii="Times New Roman" w:hAnsi="Times New Roman" w:cs="Times New Roman"/>
          <w:sz w:val="22"/>
          <w:szCs w:val="22"/>
          <w:u w:val="none"/>
        </w:rPr>
        <w:br w:type="page"/>
      </w:r>
    </w:p>
    <w:p w14:paraId="0AF6CBF0">
      <w:pPr>
        <w:autoSpaceDE w:val="0"/>
        <w:autoSpaceDN w:val="0"/>
        <w:adjustRightInd w:val="0"/>
        <w:spacing w:line="480" w:lineRule="auto"/>
        <w:rPr>
          <w:rFonts w:hint="default" w:ascii="Times New Roman" w:hAnsi="Times New Roman" w:cs="Times New Roman" w:eastAsiaTheme="minorEastAsia"/>
          <w:b/>
          <w:bCs/>
          <w:color w:val="1A1A1A"/>
          <w:sz w:val="22"/>
          <w:szCs w:val="22"/>
          <w:u w:val="none"/>
          <w:shd w:val="clear" w:color="auto" w:fill="FFFFFF"/>
          <w:lang w:val="en-US" w:eastAsia="zh-CN"/>
        </w:rPr>
      </w:pPr>
      <w:r>
        <w:rPr>
          <w:rFonts w:ascii="Times New Roman" w:hAnsi="Times New Roman" w:cs="Times New Roman"/>
          <w:b/>
          <w:bCs/>
          <w:color w:val="1A1A1A"/>
          <w:sz w:val="22"/>
          <w:szCs w:val="22"/>
          <w:u w:val="none"/>
          <w:shd w:val="clear" w:color="auto" w:fill="FFFFFF"/>
        </w:rPr>
        <w:t>Immunohistochemistry (IHC) staining</w:t>
      </w:r>
      <w:r>
        <w:rPr>
          <w:rFonts w:hint="eastAsia" w:ascii="Times New Roman" w:hAnsi="Times New Roman" w:cs="Times New Roman"/>
          <w:b/>
          <w:bCs/>
          <w:color w:val="1A1A1A"/>
          <w:sz w:val="22"/>
          <w:szCs w:val="22"/>
          <w:u w:val="none"/>
          <w:shd w:val="clear" w:color="auto" w:fill="FFFFFF"/>
          <w:lang w:val="en-US" w:eastAsia="zh-CN"/>
        </w:rPr>
        <w:t xml:space="preserve"> and </w:t>
      </w:r>
      <w:r>
        <w:rPr>
          <w:rFonts w:ascii="Times New Roman" w:hAnsi="Times New Roman" w:eastAsia="宋体" w:cs="Times New Roman"/>
          <w:b/>
          <w:bCs/>
          <w:color w:val="131413"/>
          <w:kern w:val="0"/>
          <w:sz w:val="22"/>
          <w:szCs w:val="22"/>
          <w:u w:val="none"/>
        </w:rPr>
        <w:t>Hematoxylin-eosin (H&amp;E) staining</w:t>
      </w:r>
    </w:p>
    <w:p w14:paraId="5767BD0B">
      <w:pPr>
        <w:autoSpaceDE w:val="0"/>
        <w:autoSpaceDN w:val="0"/>
        <w:adjustRightInd w:val="0"/>
        <w:spacing w:line="480" w:lineRule="auto"/>
        <w:rPr>
          <w:rFonts w:ascii="Times New Roman" w:hAnsi="Times New Roman" w:eastAsia="Warnock Pro" w:cs="Times New Roman"/>
          <w:color w:val="000000"/>
          <w:sz w:val="22"/>
          <w:szCs w:val="22"/>
          <w:u w:val="none"/>
        </w:rPr>
      </w:pPr>
      <w:r>
        <w:rPr>
          <w:rFonts w:hint="eastAsia" w:ascii="Times New Roman" w:hAnsi="Times New Roman" w:eastAsia="Warnock Pro" w:cs="Times New Roman"/>
          <w:color w:val="000000"/>
          <w:sz w:val="22"/>
          <w:szCs w:val="22"/>
          <w:u w:val="none"/>
        </w:rPr>
        <w:t>Tissue samples were fixed in 4% paraformaldehyde (P0099, Beyotime, China), embedded in paraffin, and sectioned into 5-</w:t>
      </w:r>
      <w:r>
        <w:rPr>
          <w:rFonts w:hint="default" w:ascii="Times New Roman" w:hAnsi="Times New Roman" w:eastAsia="宋体" w:cs="Times New Roman"/>
          <w:sz w:val="22"/>
          <w:szCs w:val="22"/>
          <w:u w:val="none"/>
        </w:rPr>
        <w:t>μ</w:t>
      </w:r>
      <w:r>
        <w:rPr>
          <w:rFonts w:hint="eastAsia" w:ascii="Times New Roman" w:hAnsi="Times New Roman" w:eastAsia="Warnock Pro" w:cs="Times New Roman"/>
          <w:color w:val="000000"/>
          <w:sz w:val="22"/>
          <w:szCs w:val="22"/>
          <w:u w:val="none"/>
        </w:rPr>
        <w:t>m slices. The slides were h</w:t>
      </w:r>
      <w:bookmarkStart w:id="1" w:name="_GoBack"/>
      <w:bookmarkEnd w:id="1"/>
      <w:r>
        <w:rPr>
          <w:rFonts w:hint="eastAsia" w:ascii="Times New Roman" w:hAnsi="Times New Roman" w:eastAsia="Warnock Pro" w:cs="Times New Roman"/>
          <w:color w:val="000000"/>
          <w:sz w:val="22"/>
          <w:szCs w:val="22"/>
          <w:u w:val="none"/>
        </w:rPr>
        <w:t xml:space="preserve">eated at 65 </w:t>
      </w:r>
      <w:r>
        <w:rPr>
          <w:rFonts w:ascii="Times New Roman" w:hAnsi="Times New Roman" w:eastAsia="宋体" w:cs="Times New Roman"/>
          <w:color w:val="000000"/>
          <w:sz w:val="22"/>
          <w:szCs w:val="22"/>
          <w:u w:val="none"/>
        </w:rPr>
        <w:t>℃</w:t>
      </w:r>
      <w:r>
        <w:rPr>
          <w:rFonts w:hint="eastAsia" w:ascii="Times New Roman" w:hAnsi="Times New Roman" w:eastAsia="Warnock Pro" w:cs="Times New Roman"/>
          <w:color w:val="000000"/>
          <w:sz w:val="22"/>
          <w:szCs w:val="22"/>
          <w:u w:val="none"/>
        </w:rPr>
        <w:t xml:space="preserve"> for 120 min, followed by deparaffinization, rehydration, antigen retrieval, and incubation overnight at 4 </w:t>
      </w:r>
      <w:r>
        <w:rPr>
          <w:rFonts w:ascii="Times New Roman" w:hAnsi="Times New Roman" w:eastAsia="宋体" w:cs="Times New Roman"/>
          <w:color w:val="000000"/>
          <w:sz w:val="22"/>
          <w:szCs w:val="22"/>
          <w:u w:val="none"/>
        </w:rPr>
        <w:t>℃</w:t>
      </w:r>
      <w:r>
        <w:rPr>
          <w:rFonts w:hint="eastAsia" w:ascii="Times New Roman" w:hAnsi="Times New Roman" w:eastAsia="Warnock Pro" w:cs="Times New Roman"/>
          <w:color w:val="000000"/>
          <w:sz w:val="22"/>
          <w:szCs w:val="22"/>
          <w:u w:val="none"/>
        </w:rPr>
        <w:t xml:space="preserve"> with the indicated</w:t>
      </w:r>
      <w:r>
        <w:rPr>
          <w:rFonts w:hint="eastAsia" w:ascii="Times New Roman" w:hAnsi="Times New Roman" w:eastAsia="Warnock Pro" w:cs="Times New Roman"/>
          <w:color w:val="000000"/>
          <w:sz w:val="22"/>
          <w:szCs w:val="22"/>
          <w:u w:val="none"/>
          <w:lang w:val="en-US" w:eastAsia="zh-CN"/>
        </w:rPr>
        <w:t xml:space="preserve"> </w:t>
      </w:r>
      <w:r>
        <w:rPr>
          <w:rFonts w:hint="eastAsia" w:ascii="Times New Roman" w:hAnsi="Times New Roman" w:eastAsia="Warnock Pro" w:cs="Times New Roman"/>
          <w:color w:val="000000"/>
          <w:sz w:val="22"/>
          <w:szCs w:val="22"/>
          <w:u w:val="none"/>
        </w:rPr>
        <w:t xml:space="preserve">primary antibodies. Anti-rabbit/mouse secondary antibodies (GK6005, GeneTech, Beijing, China) were applied for 60 min at 37 </w:t>
      </w:r>
      <w:r>
        <w:rPr>
          <w:rFonts w:ascii="Times New Roman" w:hAnsi="Times New Roman" w:eastAsia="宋体" w:cs="Times New Roman"/>
          <w:color w:val="000000"/>
          <w:sz w:val="22"/>
          <w:szCs w:val="22"/>
          <w:u w:val="none"/>
        </w:rPr>
        <w:t>℃</w:t>
      </w:r>
      <w:r>
        <w:rPr>
          <w:rFonts w:hint="eastAsia" w:ascii="Times New Roman" w:hAnsi="Times New Roman" w:eastAsia="Warnock Pro" w:cs="Times New Roman"/>
          <w:color w:val="000000"/>
          <w:sz w:val="22"/>
          <w:szCs w:val="22"/>
          <w:u w:val="none"/>
        </w:rPr>
        <w:t>. Signals were visualized using DAB substrate solution (GK6005, GeneTech, China). Slides were mounted with neutral resin and scanned using the VS200 imaging system (Olympus, Japan). Images were analyzed using ImageJ, and staining intensity was</w:t>
      </w:r>
      <w:r>
        <w:rPr>
          <w:rFonts w:hint="eastAsia" w:ascii="Times New Roman" w:hAnsi="Times New Roman" w:eastAsia="Warnock Pro" w:cs="Times New Roman"/>
          <w:color w:val="000000"/>
          <w:sz w:val="22"/>
          <w:szCs w:val="22"/>
          <w:u w:val="none"/>
          <w:lang w:val="en-US" w:eastAsia="zh-CN"/>
        </w:rPr>
        <w:t xml:space="preserve"> </w:t>
      </w:r>
      <w:r>
        <w:rPr>
          <w:rFonts w:hint="eastAsia" w:ascii="Times New Roman" w:hAnsi="Times New Roman" w:eastAsia="Warnock Pro" w:cs="Times New Roman"/>
          <w:color w:val="000000"/>
          <w:sz w:val="22"/>
          <w:szCs w:val="22"/>
          <w:u w:val="none"/>
        </w:rPr>
        <w:t>scored using a four-tier semi-quantitative scale as follows: 1 (negative), 2 (weakly positive), 3 (moderately positive), and 4 (strongly positive). The staining scores were used for statistical analysis.</w:t>
      </w:r>
    </w:p>
    <w:p w14:paraId="63FDA39B">
      <w:pPr>
        <w:autoSpaceDE w:val="0"/>
        <w:autoSpaceDN w:val="0"/>
        <w:adjustRightInd w:val="0"/>
        <w:spacing w:line="480" w:lineRule="auto"/>
        <w:rPr>
          <w:rFonts w:hint="eastAsia" w:ascii="Times New Roman" w:hAnsi="Times New Roman" w:eastAsia="Warnock Pro" w:cs="Times New Roman"/>
          <w:color w:val="000000"/>
          <w:sz w:val="22"/>
          <w:szCs w:val="22"/>
          <w:u w:val="none"/>
        </w:rPr>
      </w:pPr>
      <w:r>
        <w:rPr>
          <w:rFonts w:hint="eastAsia" w:ascii="Times New Roman" w:hAnsi="Times New Roman" w:eastAsia="Warnock Pro" w:cs="Times New Roman"/>
          <w:color w:val="000000"/>
          <w:sz w:val="22"/>
          <w:szCs w:val="22"/>
          <w:u w:val="none"/>
        </w:rPr>
        <w:t>For H&amp;E staining, paraffin-embedded tissue sections were deparaffinized, rehydrated, and stained using an H&amp;E staining kit (C0105S, Beyotime, China) according to the manufacturer</w:t>
      </w:r>
      <w:r>
        <w:rPr>
          <w:rFonts w:hint="default" w:ascii="Times New Roman" w:hAnsi="Times New Roman" w:eastAsia="Warnock Pro" w:cs="Times New Roman"/>
          <w:color w:val="000000"/>
          <w:sz w:val="22"/>
          <w:szCs w:val="22"/>
          <w:u w:val="none"/>
          <w:lang w:val="en-US" w:eastAsia="zh-CN"/>
        </w:rPr>
        <w:t>’</w:t>
      </w:r>
      <w:r>
        <w:rPr>
          <w:rFonts w:hint="eastAsia" w:ascii="Times New Roman" w:hAnsi="Times New Roman" w:eastAsia="Warnock Pro" w:cs="Times New Roman"/>
          <w:color w:val="000000"/>
          <w:sz w:val="22"/>
          <w:szCs w:val="22"/>
          <w:u w:val="none"/>
        </w:rPr>
        <w:t>s instructions.</w:t>
      </w:r>
    </w:p>
    <w:p w14:paraId="00C78527">
      <w:pPr>
        <w:autoSpaceDE w:val="0"/>
        <w:autoSpaceDN w:val="0"/>
        <w:adjustRightInd w:val="0"/>
        <w:spacing w:line="480" w:lineRule="auto"/>
        <w:rPr>
          <w:rFonts w:hint="eastAsia" w:ascii="Times New Roman" w:hAnsi="Times New Roman" w:eastAsia="Warnock Pro" w:cs="Times New Roman"/>
          <w:color w:val="000000"/>
          <w:sz w:val="22"/>
          <w:szCs w:val="22"/>
          <w:u w:val="none"/>
        </w:rPr>
      </w:pPr>
    </w:p>
    <w:p w14:paraId="2FE2EABD">
      <w:pPr>
        <w:autoSpaceDE w:val="0"/>
        <w:autoSpaceDN w:val="0"/>
        <w:adjustRightInd w:val="0"/>
        <w:spacing w:line="480" w:lineRule="auto"/>
        <w:rPr>
          <w:rFonts w:hint="eastAsia" w:ascii="Times New Roman" w:hAnsi="Times New Roman" w:eastAsia="Warnock Pro" w:cs="Times New Roman"/>
          <w:b/>
          <w:bCs/>
          <w:color w:val="000000"/>
          <w:sz w:val="22"/>
          <w:szCs w:val="22"/>
          <w:u w:val="none"/>
        </w:rPr>
      </w:pPr>
      <w:r>
        <w:rPr>
          <w:rFonts w:hint="eastAsia" w:ascii="Times New Roman" w:hAnsi="Times New Roman" w:eastAsia="Warnock Pro" w:cs="Times New Roman"/>
          <w:b/>
          <w:bCs/>
          <w:color w:val="000000"/>
          <w:sz w:val="22"/>
          <w:szCs w:val="22"/>
          <w:u w:val="none"/>
          <w:lang w:val="en-US" w:eastAsia="zh-CN"/>
        </w:rPr>
        <w:t>D</w:t>
      </w:r>
      <w:r>
        <w:rPr>
          <w:rFonts w:hint="eastAsia" w:ascii="Times New Roman" w:hAnsi="Times New Roman" w:eastAsia="Warnock Pro" w:cs="Times New Roman"/>
          <w:b/>
          <w:bCs/>
          <w:color w:val="000000"/>
          <w:sz w:val="22"/>
          <w:szCs w:val="22"/>
          <w:u w:val="none"/>
        </w:rPr>
        <w:t>rug treatment</w:t>
      </w:r>
    </w:p>
    <w:p w14:paraId="579265EC">
      <w:pPr>
        <w:autoSpaceDE w:val="0"/>
        <w:autoSpaceDN w:val="0"/>
        <w:adjustRightInd w:val="0"/>
        <w:spacing w:line="480" w:lineRule="auto"/>
        <w:rPr>
          <w:rFonts w:hint="eastAsia" w:ascii="Times New Roman" w:hAnsi="Times New Roman" w:eastAsia="Warnock Pro" w:cs="Times New Roman"/>
          <w:color w:val="000000"/>
          <w:sz w:val="22"/>
          <w:szCs w:val="22"/>
          <w:u w:val="none"/>
        </w:rPr>
      </w:pPr>
      <w:r>
        <w:rPr>
          <w:rFonts w:hint="eastAsia" w:ascii="Times New Roman" w:hAnsi="Times New Roman" w:eastAsia="Warnock Pro" w:cs="Times New Roman"/>
          <w:color w:val="000000"/>
          <w:sz w:val="22"/>
          <w:szCs w:val="22"/>
          <w:u w:val="none"/>
        </w:rPr>
        <w:t>Erastin was purchased from SparkJade (SJ-MX0039; Jinan, China). Ferrostatin-1 (Fer-1; IF04309), Z-VAD(OMe)-FMK (IZ00501), and necrosulfonamide (NSA; IN03701) were purchased from Solarbio (Beijing, China). Necrostatin 2 racemate (Nec-1</w:t>
      </w:r>
      <w:r>
        <w:rPr>
          <w:rFonts w:hint="eastAsia" w:ascii="Times New Roman" w:hAnsi="Times New Roman" w:eastAsia="Warnock Pro" w:cs="Times New Roman"/>
          <w:color w:val="000000"/>
          <w:sz w:val="22"/>
          <w:szCs w:val="22"/>
          <w:u w:val="none"/>
          <w:lang w:val="en-US" w:eastAsia="zh-CN"/>
        </w:rPr>
        <w:t>s</w:t>
      </w:r>
      <w:r>
        <w:rPr>
          <w:rFonts w:hint="eastAsia" w:ascii="Times New Roman" w:hAnsi="Times New Roman" w:eastAsia="Warnock Pro" w:cs="Times New Roman"/>
          <w:color w:val="000000"/>
          <w:sz w:val="22"/>
          <w:szCs w:val="22"/>
          <w:u w:val="none"/>
        </w:rPr>
        <w:t xml:space="preserve">; SH3792), deferoxamine mesylate (DFO; SH5266), and oxaliplatin (SH0860) were purchased from Beyotime (Shanghai, China). </w:t>
      </w:r>
      <w:r>
        <w:rPr>
          <w:rFonts w:hint="eastAsia" w:ascii="Times New Roman" w:hAnsi="Times New Roman" w:eastAsia="Warnock Pro" w:cs="Times New Roman"/>
          <w:color w:val="000000"/>
          <w:sz w:val="22"/>
          <w:szCs w:val="22"/>
          <w:u w:val="none"/>
          <w:lang w:val="en-US" w:eastAsia="zh-CN"/>
        </w:rPr>
        <w:t>O</w:t>
      </w:r>
      <w:r>
        <w:rPr>
          <w:rFonts w:hint="eastAsia" w:ascii="Times New Roman" w:hAnsi="Times New Roman" w:eastAsia="Warnock Pro" w:cs="Times New Roman"/>
          <w:color w:val="000000"/>
          <w:sz w:val="22"/>
          <w:szCs w:val="22"/>
          <w:u w:val="none"/>
        </w:rPr>
        <w:t>xaliplatin was dissolved in sterile ddH</w:t>
      </w:r>
      <w:r>
        <w:rPr>
          <w:rFonts w:hint="eastAsia" w:ascii="Times New Roman" w:hAnsi="Times New Roman" w:eastAsia="Warnock Pro" w:cs="Times New Roman"/>
          <w:color w:val="000000"/>
          <w:sz w:val="22"/>
          <w:szCs w:val="22"/>
          <w:u w:val="none"/>
          <w:vertAlign w:val="subscript"/>
          <w:lang w:val="en-US" w:eastAsia="zh-CN"/>
        </w:rPr>
        <w:t>2</w:t>
      </w:r>
      <w:r>
        <w:rPr>
          <w:rFonts w:hint="eastAsia" w:ascii="Times New Roman" w:hAnsi="Times New Roman" w:eastAsia="Warnock Pro" w:cs="Times New Roman"/>
          <w:color w:val="000000"/>
          <w:sz w:val="22"/>
          <w:szCs w:val="22"/>
          <w:u w:val="none"/>
        </w:rPr>
        <w:t>O</w:t>
      </w:r>
      <w:r>
        <w:rPr>
          <w:rFonts w:hint="eastAsia" w:ascii="Times New Roman" w:hAnsi="Times New Roman" w:eastAsia="Warnock Pro" w:cs="Times New Roman"/>
          <w:color w:val="000000"/>
          <w:sz w:val="22"/>
          <w:szCs w:val="22"/>
          <w:u w:val="none"/>
          <w:lang w:val="en-US" w:eastAsia="zh-CN"/>
        </w:rPr>
        <w:t xml:space="preserve"> and other</w:t>
      </w:r>
      <w:r>
        <w:rPr>
          <w:rFonts w:hint="eastAsia" w:ascii="Times New Roman" w:hAnsi="Times New Roman" w:eastAsia="Warnock Pro" w:cs="Times New Roman"/>
          <w:color w:val="000000"/>
          <w:sz w:val="22"/>
          <w:szCs w:val="22"/>
          <w:u w:val="none"/>
        </w:rPr>
        <w:t xml:space="preserve"> reagents were dissolved in dimethyl sulfoxide (DMSO). The final concentration of DMSO in the culture medium did not exceed 0.1% (v/v) in all treatments.</w:t>
      </w:r>
    </w:p>
    <w:p w14:paraId="48F3BF37">
      <w:pPr>
        <w:autoSpaceDE w:val="0"/>
        <w:autoSpaceDN w:val="0"/>
        <w:adjustRightInd w:val="0"/>
        <w:spacing w:line="480" w:lineRule="auto"/>
        <w:rPr>
          <w:rFonts w:hint="eastAsia" w:ascii="Times New Roman" w:hAnsi="Times New Roman" w:eastAsia="Warnock Pro" w:cs="Times New Roman"/>
          <w:color w:val="000000"/>
          <w:sz w:val="22"/>
          <w:szCs w:val="22"/>
          <w:u w:val="none"/>
        </w:rPr>
      </w:pPr>
      <w:r>
        <w:rPr>
          <w:rFonts w:hint="eastAsia" w:ascii="Times New Roman" w:hAnsi="Times New Roman" w:eastAsia="Warnock Pro" w:cs="Times New Roman"/>
          <w:color w:val="000000"/>
          <w:sz w:val="22"/>
          <w:szCs w:val="22"/>
          <w:u w:val="none"/>
        </w:rPr>
        <w:t xml:space="preserve">For ferroptosis induction, AGS, MKN45, MKN74, and HGC-27 cells were treated with erastin (10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 xml:space="preserve">M) for 24 h. For chemotherapy treatment, cells were exposed to oxaliplatin at 15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 xml:space="preserve">M (AGS, MKN45, and MKN74) or 60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 xml:space="preserve">M (HGC-27) for 24 h. To determine the mode of cell death, cells were pre-treated for 1 h with the following inhibitors prior to erastin or oxaliplatin exposure, and the inhibitors were maintained in the medium throughout the treatment period: Fer-1 (1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 xml:space="preserve">M) and DFO (100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 xml:space="preserve">M) for ferroptosis inhibition; Z-VAD(OMe)-FMK (20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M) for apoptosis inhibition; Nec-1</w:t>
      </w:r>
      <w:r>
        <w:rPr>
          <w:rFonts w:hint="eastAsia" w:ascii="Times New Roman" w:hAnsi="Times New Roman" w:eastAsia="Warnock Pro" w:cs="Times New Roman"/>
          <w:color w:val="000000"/>
          <w:sz w:val="22"/>
          <w:szCs w:val="22"/>
          <w:u w:val="none"/>
          <w:lang w:val="en-US" w:eastAsia="zh-CN"/>
        </w:rPr>
        <w:t>s</w:t>
      </w:r>
      <w:r>
        <w:rPr>
          <w:rFonts w:hint="eastAsia" w:ascii="Times New Roman" w:hAnsi="Times New Roman" w:eastAsia="Warnock Pro" w:cs="Times New Roman"/>
          <w:color w:val="000000"/>
          <w:sz w:val="22"/>
          <w:szCs w:val="22"/>
          <w:u w:val="none"/>
        </w:rPr>
        <w:t xml:space="preserve"> (10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 xml:space="preserve">M) and NSA (5 </w:t>
      </w:r>
      <w:r>
        <w:rPr>
          <w:rFonts w:hint="default" w:ascii="Times New Roman" w:hAnsi="Times New Roman" w:eastAsia="宋体" w:cs="Times New Roman"/>
          <w:i w:val="0"/>
          <w:iCs w:val="0"/>
          <w:color w:val="auto"/>
          <w:kern w:val="0"/>
          <w:sz w:val="21"/>
          <w:szCs w:val="21"/>
          <w:highlight w:val="none"/>
          <w:lang w:val="en-US" w:eastAsia="zh-CN"/>
        </w:rPr>
        <w:t>μ</w:t>
      </w:r>
      <w:r>
        <w:rPr>
          <w:rFonts w:hint="eastAsia" w:ascii="Times New Roman" w:hAnsi="Times New Roman" w:eastAsia="Warnock Pro" w:cs="Times New Roman"/>
          <w:color w:val="000000"/>
          <w:sz w:val="22"/>
          <w:szCs w:val="22"/>
          <w:u w:val="none"/>
        </w:rPr>
        <w:t>M) for necroptosis inhibition.</w:t>
      </w:r>
    </w:p>
    <w:p w14:paraId="65177A38">
      <w:pPr>
        <w:autoSpaceDE w:val="0"/>
        <w:autoSpaceDN w:val="0"/>
        <w:adjustRightInd w:val="0"/>
        <w:spacing w:line="480" w:lineRule="auto"/>
        <w:rPr>
          <w:rFonts w:ascii="Times New Roman" w:hAnsi="Times New Roman" w:eastAsia="MyriadPro-Semibold" w:cs="Times New Roman"/>
          <w:b/>
          <w:bCs/>
          <w:kern w:val="0"/>
          <w:sz w:val="22"/>
          <w:szCs w:val="22"/>
          <w:u w:val="none"/>
        </w:rPr>
      </w:pPr>
    </w:p>
    <w:p w14:paraId="13CC764C">
      <w:pPr>
        <w:autoSpaceDE w:val="0"/>
        <w:autoSpaceDN w:val="0"/>
        <w:adjustRightInd w:val="0"/>
        <w:spacing w:line="480" w:lineRule="auto"/>
        <w:rPr>
          <w:rFonts w:ascii="Times New Roman" w:hAnsi="Times New Roman" w:eastAsia="MyriadPro-Semibold" w:cs="Times New Roman"/>
          <w:b/>
          <w:bCs/>
          <w:kern w:val="0"/>
          <w:sz w:val="22"/>
          <w:szCs w:val="22"/>
          <w:u w:val="none"/>
        </w:rPr>
      </w:pPr>
      <w:r>
        <w:rPr>
          <w:rFonts w:ascii="Times New Roman" w:hAnsi="Times New Roman" w:eastAsia="MyriadPro-Semibold" w:cs="Times New Roman"/>
          <w:b/>
          <w:bCs/>
          <w:kern w:val="0"/>
          <w:sz w:val="22"/>
          <w:szCs w:val="22"/>
          <w:u w:val="none"/>
        </w:rPr>
        <w:t>CCK</w:t>
      </w:r>
      <w:r>
        <w:rPr>
          <w:rFonts w:ascii="Times New Roman" w:hAnsi="Times New Roman" w:cs="Times New Roman"/>
          <w:b/>
          <w:bCs/>
          <w:kern w:val="0"/>
          <w:sz w:val="22"/>
          <w:szCs w:val="22"/>
          <w:u w:val="none"/>
        </w:rPr>
        <w:t>-</w:t>
      </w:r>
      <w:r>
        <w:rPr>
          <w:rFonts w:ascii="Times New Roman" w:hAnsi="Times New Roman" w:eastAsia="MyriadPro-Semibold" w:cs="Times New Roman"/>
          <w:b/>
          <w:bCs/>
          <w:kern w:val="0"/>
          <w:sz w:val="22"/>
          <w:szCs w:val="22"/>
          <w:u w:val="none"/>
        </w:rPr>
        <w:t>8, EdU, and colony formation assays</w:t>
      </w:r>
    </w:p>
    <w:p w14:paraId="35B04092">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 xml:space="preserve">Cell viability was assessed using a Cell Counting Kit-8 (CK04, Dojindo, Kumamoto, Japan). The CCK-8 reagent was diluted at a ratio of 1:10 in culture medium to prepare a working solution. For 96-well plates, 100 </w:t>
      </w:r>
      <w:r>
        <w:rPr>
          <w:rFonts w:ascii="Times New Roman" w:hAnsi="Times New Roman" w:cs="Times New Roman"/>
          <w:sz w:val="22"/>
          <w:szCs w:val="22"/>
          <w:u w:val="none"/>
          <w:shd w:val="clear" w:color="auto" w:fill="FFFFFF"/>
        </w:rPr>
        <w:t>μL</w:t>
      </w:r>
      <w:r>
        <w:rPr>
          <w:rFonts w:hint="eastAsia" w:ascii="Times New Roman" w:hAnsi="Times New Roman" w:eastAsia="MyriadPro-Semibold" w:cs="Times New Roman"/>
          <w:kern w:val="0"/>
          <w:sz w:val="22"/>
          <w:szCs w:val="22"/>
          <w:u w:val="none"/>
        </w:rPr>
        <w:t xml:space="preserve"> of working solution was added to each well and incubated at 37 </w:t>
      </w:r>
      <w:r>
        <w:rPr>
          <w:rFonts w:ascii="Times New Roman" w:hAnsi="Times New Roman" w:cs="Times New Roman"/>
          <w:color w:val="404040"/>
          <w:sz w:val="22"/>
          <w:szCs w:val="22"/>
          <w:u w:val="none"/>
          <w:shd w:val="clear" w:color="auto" w:fill="FFFFFF"/>
        </w:rPr>
        <w:t>°C</w:t>
      </w:r>
      <w:r>
        <w:rPr>
          <w:rFonts w:hint="eastAsia" w:ascii="Times New Roman" w:hAnsi="Times New Roman" w:eastAsia="MyriadPro-Semibold" w:cs="Times New Roman"/>
          <w:kern w:val="0"/>
          <w:sz w:val="22"/>
          <w:szCs w:val="22"/>
          <w:u w:val="none"/>
        </w:rPr>
        <w:t xml:space="preserve"> for 2 h. Optical density (OD) values at 450 nm were measured using a microplate reader (ELx800, BioTek, Vermont, USA). For rescue experiments, cells were treated with the indicated inhibitors prior to viability measurement using the same protocol.</w:t>
      </w:r>
    </w:p>
    <w:p w14:paraId="5AA4F8E1">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Cell proliferation was evaluated using an EdU assay kit (C0075L, Beyotime, China) according to the manufacturer</w:t>
      </w:r>
      <w:r>
        <w:rPr>
          <w:rFonts w:hint="default" w:ascii="Times New Roman" w:hAnsi="Times New Roman" w:eastAsia="MyriadPro-Semibold" w:cs="Times New Roman"/>
          <w:kern w:val="0"/>
          <w:sz w:val="22"/>
          <w:szCs w:val="22"/>
          <w:u w:val="none"/>
          <w:lang w:val="en-US" w:eastAsia="zh-CN"/>
        </w:rPr>
        <w:t>’</w:t>
      </w:r>
      <w:r>
        <w:rPr>
          <w:rFonts w:hint="eastAsia" w:ascii="Times New Roman" w:hAnsi="Times New Roman" w:eastAsia="MyriadPro-Semibold" w:cs="Times New Roman"/>
          <w:kern w:val="0"/>
          <w:sz w:val="22"/>
          <w:szCs w:val="22"/>
          <w:u w:val="none"/>
        </w:rPr>
        <w:t>s instructions, followed by fluorescence detection under an immunofluorescence microscope.</w:t>
      </w:r>
    </w:p>
    <w:p w14:paraId="3D81D05C">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 xml:space="preserve">For colony formation assays, MKN-45 and </w:t>
      </w:r>
      <w:r>
        <w:rPr>
          <w:rFonts w:hint="eastAsia" w:ascii="Times New Roman" w:hAnsi="Times New Roman" w:eastAsia="MyriadPro-Semibold" w:cs="Times New Roman"/>
          <w:kern w:val="0"/>
          <w:sz w:val="22"/>
          <w:szCs w:val="22"/>
          <w:u w:val="none"/>
          <w:lang w:val="en-US" w:eastAsia="zh-CN"/>
        </w:rPr>
        <w:t>MKN-74</w:t>
      </w:r>
      <w:r>
        <w:rPr>
          <w:rFonts w:hint="eastAsia" w:ascii="Times New Roman" w:hAnsi="Times New Roman" w:eastAsia="MyriadPro-Semibold" w:cs="Times New Roman"/>
          <w:kern w:val="0"/>
          <w:sz w:val="22"/>
          <w:szCs w:val="22"/>
          <w:u w:val="none"/>
        </w:rPr>
        <w:t xml:space="preserve"> cells (600 cells/well) were seeded into 6-well plates. After 14 days of culture, cells were fixed with 4% paraformaldehyde and stained with 0.1% crystal violet (C0121, Beyotime, China). Colonies were counted under a microscope.</w:t>
      </w:r>
    </w:p>
    <w:p w14:paraId="2D904592">
      <w:pPr>
        <w:autoSpaceDE w:val="0"/>
        <w:autoSpaceDN w:val="0"/>
        <w:adjustRightInd w:val="0"/>
        <w:spacing w:line="480" w:lineRule="auto"/>
        <w:rPr>
          <w:rFonts w:ascii="Times New Roman" w:hAnsi="Times New Roman" w:eastAsia="MyriadPro-Semibold" w:cs="Times New Roman"/>
          <w:b/>
          <w:bCs/>
          <w:kern w:val="0"/>
          <w:sz w:val="22"/>
          <w:szCs w:val="22"/>
          <w:u w:val="none"/>
        </w:rPr>
      </w:pPr>
    </w:p>
    <w:p w14:paraId="3DB8B5F0">
      <w:pPr>
        <w:autoSpaceDE w:val="0"/>
        <w:autoSpaceDN w:val="0"/>
        <w:adjustRightInd w:val="0"/>
        <w:spacing w:line="480" w:lineRule="auto"/>
        <w:rPr>
          <w:rFonts w:hint="default" w:ascii="Times New Roman" w:hAnsi="Times New Roman" w:eastAsia="MyriadPro-Semibold" w:cs="Times New Roman"/>
          <w:kern w:val="0"/>
          <w:sz w:val="22"/>
          <w:szCs w:val="22"/>
          <w:u w:val="none"/>
          <w:lang w:val="en-US" w:eastAsia="zh-CN"/>
        </w:rPr>
      </w:pPr>
      <w:r>
        <w:rPr>
          <w:rFonts w:ascii="Times New Roman" w:hAnsi="Times New Roman" w:eastAsia="MyriadPro-Semibold" w:cs="Times New Roman"/>
          <w:b/>
          <w:bCs/>
          <w:kern w:val="0"/>
          <w:sz w:val="22"/>
          <w:szCs w:val="22"/>
          <w:u w:val="none"/>
        </w:rPr>
        <w:t>Wound healing assay</w:t>
      </w:r>
      <w:r>
        <w:rPr>
          <w:rFonts w:hint="eastAsia" w:ascii="Times New Roman" w:hAnsi="Times New Roman" w:eastAsia="MyriadPro-Semibold" w:cs="Times New Roman"/>
          <w:b/>
          <w:bCs/>
          <w:kern w:val="0"/>
          <w:sz w:val="22"/>
          <w:szCs w:val="22"/>
          <w:u w:val="none"/>
          <w:lang w:val="en-US" w:eastAsia="zh-CN"/>
        </w:rPr>
        <w:t xml:space="preserve"> and </w:t>
      </w:r>
      <w:r>
        <w:rPr>
          <w:rFonts w:ascii="Times New Roman" w:hAnsi="Times New Roman" w:eastAsia="MyriadPro-Semibold" w:cs="Times New Roman"/>
          <w:b/>
          <w:bCs/>
          <w:kern w:val="0"/>
          <w:sz w:val="22"/>
          <w:szCs w:val="22"/>
          <w:u w:val="none"/>
        </w:rPr>
        <w:t>Transwell assay</w:t>
      </w:r>
    </w:p>
    <w:p w14:paraId="552B93F5">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For wound healing assay</w:t>
      </w:r>
      <w:r>
        <w:rPr>
          <w:rFonts w:hint="eastAsia" w:ascii="Times New Roman" w:hAnsi="Times New Roman" w:eastAsia="MyriadPro-Semibold" w:cs="Times New Roman"/>
          <w:kern w:val="0"/>
          <w:sz w:val="22"/>
          <w:szCs w:val="22"/>
          <w:u w:val="none"/>
          <w:lang w:val="en-US" w:eastAsia="zh-CN"/>
        </w:rPr>
        <w:t>s</w:t>
      </w:r>
      <w:r>
        <w:rPr>
          <w:rFonts w:hint="eastAsia" w:ascii="Times New Roman" w:hAnsi="Times New Roman" w:eastAsia="MyriadPro-Semibold" w:cs="Times New Roman"/>
          <w:kern w:val="0"/>
          <w:sz w:val="22"/>
          <w:szCs w:val="22"/>
          <w:u w:val="none"/>
        </w:rPr>
        <w:t xml:space="preserve">, cells were seeded at </w:t>
      </w:r>
      <w:r>
        <w:rPr>
          <w:rFonts w:ascii="Times New Roman" w:hAnsi="Times New Roman" w:eastAsia="MyriadPro-Semibold" w:cs="Times New Roman"/>
          <w:kern w:val="0"/>
          <w:sz w:val="22"/>
          <w:szCs w:val="22"/>
          <w:u w:val="none"/>
        </w:rPr>
        <w:t>8 × 10</w:t>
      </w:r>
      <w:r>
        <w:rPr>
          <w:rFonts w:ascii="Times New Roman" w:hAnsi="Times New Roman" w:eastAsia="MyriadPro-Semibold" w:cs="Times New Roman"/>
          <w:kern w:val="0"/>
          <w:sz w:val="22"/>
          <w:szCs w:val="22"/>
          <w:u w:val="none"/>
          <w:vertAlign w:val="superscript"/>
        </w:rPr>
        <w:t>5</w:t>
      </w:r>
      <w:r>
        <w:rPr>
          <w:rFonts w:hint="eastAsia" w:ascii="Times New Roman" w:hAnsi="Times New Roman" w:eastAsia="MyriadPro-Semibold" w:cs="Times New Roman"/>
          <w:kern w:val="0"/>
          <w:sz w:val="22"/>
          <w:szCs w:val="22"/>
          <w:u w:val="none"/>
        </w:rPr>
        <w:t xml:space="preserve"> cells/well in 6-well plates. After cell attachment, a wound was created using a sterile 200 </w:t>
      </w:r>
      <w:r>
        <w:rPr>
          <w:rFonts w:ascii="Times New Roman" w:hAnsi="Times New Roman" w:eastAsia="MyriadPro-Semibold" w:cs="Times New Roman"/>
          <w:kern w:val="0"/>
          <w:sz w:val="22"/>
          <w:szCs w:val="22"/>
          <w:u w:val="none"/>
        </w:rPr>
        <w:t>μL</w:t>
      </w:r>
      <w:r>
        <w:rPr>
          <w:rFonts w:hint="eastAsia" w:ascii="Times New Roman" w:hAnsi="Times New Roman" w:eastAsia="MyriadPro-Semibold" w:cs="Times New Roman"/>
          <w:kern w:val="0"/>
          <w:sz w:val="22"/>
          <w:szCs w:val="22"/>
          <w:u w:val="none"/>
        </w:rPr>
        <w:t xml:space="preserve"> pipette tip, and cells were subsequently cultured in serum-free medium. Images were captured at 0, 12, and 24 h under a microscope, and wound width was quantified using ImageJ.</w:t>
      </w:r>
    </w:p>
    <w:p w14:paraId="71CA94A1">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For Transwell assays, GC cells (5000 cells/well) were seeded into the upper chamber of 24-well Transwell inserts with 8</w:t>
      </w:r>
      <w:r>
        <w:rPr>
          <w:rFonts w:hint="eastAsia" w:ascii="Times New Roman" w:hAnsi="Times New Roman" w:eastAsia="MyriadPro-Semibold" w:cs="Times New Roman"/>
          <w:kern w:val="0"/>
          <w:sz w:val="22"/>
          <w:szCs w:val="22"/>
          <w:u w:val="none"/>
          <w:lang w:val="en-US" w:eastAsia="zh-CN"/>
        </w:rPr>
        <w:t>-</w:t>
      </w:r>
      <w:r>
        <w:rPr>
          <w:rFonts w:ascii="Times New Roman" w:hAnsi="Times New Roman" w:eastAsia="MyriadPro-Semibold" w:cs="Times New Roman"/>
          <w:kern w:val="0"/>
          <w:sz w:val="22"/>
          <w:szCs w:val="22"/>
          <w:u w:val="none"/>
        </w:rPr>
        <w:t>μm</w:t>
      </w:r>
      <w:r>
        <w:rPr>
          <w:rFonts w:hint="eastAsia" w:ascii="Times New Roman" w:hAnsi="Times New Roman" w:eastAsia="MyriadPro-Semibold" w:cs="Times New Roman"/>
          <w:kern w:val="0"/>
          <w:sz w:val="22"/>
          <w:szCs w:val="22"/>
          <w:u w:val="none"/>
        </w:rPr>
        <w:t xml:space="preserve"> pores (3374, Corning, New York, USA). For invasion assays, inserts were pre-coated with Matrigel (356237, BD Biosciences, New Jersey, USA), whereas inserts without Matrigel were used for migration assays.</w:t>
      </w:r>
      <w:r>
        <w:rPr>
          <w:rFonts w:hint="eastAsia" w:ascii="Times New Roman" w:hAnsi="Times New Roman" w:eastAsia="MyriadPro-Semibold" w:cs="Times New Roman"/>
          <w:kern w:val="0"/>
          <w:sz w:val="22"/>
          <w:szCs w:val="22"/>
          <w:u w:val="none"/>
          <w:lang w:val="en-US" w:eastAsia="zh-CN"/>
        </w:rPr>
        <w:t xml:space="preserve"> </w:t>
      </w:r>
      <w:r>
        <w:rPr>
          <w:rFonts w:hint="eastAsia" w:ascii="Times New Roman" w:hAnsi="Times New Roman" w:eastAsia="MyriadPro-Semibold" w:cs="Times New Roman"/>
          <w:kern w:val="0"/>
          <w:sz w:val="22"/>
          <w:szCs w:val="22"/>
          <w:u w:val="none"/>
        </w:rPr>
        <w:t xml:space="preserve">A total of 100 </w:t>
      </w:r>
      <w:r>
        <w:rPr>
          <w:rFonts w:ascii="Times New Roman" w:hAnsi="Times New Roman" w:eastAsia="MyriadPro-Semibold" w:cs="Times New Roman"/>
          <w:kern w:val="0"/>
          <w:sz w:val="22"/>
          <w:szCs w:val="22"/>
          <w:u w:val="none"/>
        </w:rPr>
        <w:t>μL</w:t>
      </w:r>
      <w:r>
        <w:rPr>
          <w:rFonts w:hint="eastAsia" w:ascii="Times New Roman" w:hAnsi="Times New Roman" w:eastAsia="MyriadPro-Semibold" w:cs="Times New Roman"/>
          <w:kern w:val="0"/>
          <w:sz w:val="22"/>
          <w:szCs w:val="22"/>
          <w:u w:val="none"/>
        </w:rPr>
        <w:t xml:space="preserve"> serum-free RPMI-1640 medium was added to the upper chamber, while 600 </w:t>
      </w:r>
      <w:r>
        <w:rPr>
          <w:rFonts w:ascii="Times New Roman" w:hAnsi="Times New Roman" w:eastAsia="MyriadPro-Semibold" w:cs="Times New Roman"/>
          <w:kern w:val="0"/>
          <w:sz w:val="22"/>
          <w:szCs w:val="22"/>
          <w:u w:val="none"/>
        </w:rPr>
        <w:t>μL</w:t>
      </w:r>
      <w:r>
        <w:rPr>
          <w:rFonts w:hint="eastAsia" w:ascii="Times New Roman" w:hAnsi="Times New Roman" w:eastAsia="MyriadPro-Semibold" w:cs="Times New Roman"/>
          <w:kern w:val="0"/>
          <w:sz w:val="22"/>
          <w:szCs w:val="22"/>
          <w:u w:val="none"/>
        </w:rPr>
        <w:t xml:space="preserve"> medium containing 10% FBS was added to the lower chamber. After incubation for 24 h (migration assay) or 3</w:t>
      </w:r>
      <w:r>
        <w:rPr>
          <w:rFonts w:hint="eastAsia" w:ascii="Times New Roman" w:hAnsi="Times New Roman" w:eastAsia="MyriadPro-Semibold" w:cs="Times New Roman"/>
          <w:kern w:val="0"/>
          <w:sz w:val="22"/>
          <w:szCs w:val="22"/>
          <w:u w:val="none"/>
          <w:lang w:val="en-US" w:eastAsia="zh-CN"/>
        </w:rPr>
        <w:t>6</w:t>
      </w:r>
      <w:r>
        <w:rPr>
          <w:rFonts w:hint="eastAsia" w:ascii="Times New Roman" w:hAnsi="Times New Roman" w:eastAsia="MyriadPro-Semibold" w:cs="Times New Roman"/>
          <w:kern w:val="0"/>
          <w:sz w:val="22"/>
          <w:szCs w:val="22"/>
          <w:u w:val="none"/>
        </w:rPr>
        <w:t xml:space="preserve"> h (invasion assay), cells remaining in the upper chamber were removed, whereas cells on the lower surface were fixed and stained with crystal violet. Migrated or invaded cells were counted in six randomly selected microscopic fields.</w:t>
      </w:r>
    </w:p>
    <w:p w14:paraId="7409B425">
      <w:pPr>
        <w:autoSpaceDE w:val="0"/>
        <w:autoSpaceDN w:val="0"/>
        <w:adjustRightInd w:val="0"/>
        <w:spacing w:line="480" w:lineRule="auto"/>
        <w:rPr>
          <w:rFonts w:hint="eastAsia" w:ascii="Times New Roman" w:hAnsi="Times New Roman" w:eastAsia="MyriadPro-Semibold" w:cs="Times New Roman"/>
          <w:b/>
          <w:bCs/>
          <w:kern w:val="0"/>
          <w:sz w:val="22"/>
          <w:szCs w:val="22"/>
          <w:u w:val="none"/>
        </w:rPr>
      </w:pPr>
    </w:p>
    <w:p w14:paraId="1789F5AB">
      <w:pPr>
        <w:autoSpaceDE w:val="0"/>
        <w:autoSpaceDN w:val="0"/>
        <w:adjustRightInd w:val="0"/>
        <w:spacing w:line="480" w:lineRule="auto"/>
        <w:rPr>
          <w:rFonts w:ascii="Times New Roman" w:hAnsi="Times New Roman" w:cs="Times New Roman"/>
          <w:sz w:val="22"/>
          <w:szCs w:val="22"/>
          <w:u w:val="none"/>
          <w:shd w:val="clear" w:color="auto" w:fill="FFFFFF"/>
        </w:rPr>
      </w:pPr>
      <w:r>
        <w:rPr>
          <w:rFonts w:hint="eastAsia" w:ascii="Times New Roman" w:hAnsi="Times New Roman" w:eastAsia="MyriadPro-Semibold" w:cs="Times New Roman"/>
          <w:b/>
          <w:bCs/>
          <w:kern w:val="0"/>
          <w:sz w:val="22"/>
          <w:szCs w:val="22"/>
          <w:u w:val="none"/>
        </w:rPr>
        <w:t>Ferroptosis-associated assays</w:t>
      </w:r>
    </w:p>
    <w:p w14:paraId="70FE0AB8">
      <w:pPr>
        <w:autoSpaceDE w:val="0"/>
        <w:autoSpaceDN w:val="0"/>
        <w:adjustRightInd w:val="0"/>
        <w:spacing w:line="480" w:lineRule="auto"/>
        <w:rPr>
          <w:rFonts w:hint="eastAsia" w:ascii="Times New Roman" w:hAnsi="Times New Roman" w:eastAsia="MyriadPro-Semibold" w:cs="Times New Roman"/>
          <w:kern w:val="0"/>
          <w:sz w:val="22"/>
          <w:szCs w:val="22"/>
          <w:u w:val="none"/>
          <w:lang w:val="en-US" w:eastAsia="zh-CN"/>
        </w:rPr>
      </w:pPr>
      <w:r>
        <w:rPr>
          <w:rFonts w:hint="eastAsia" w:ascii="Times New Roman" w:hAnsi="Times New Roman" w:eastAsia="MyriadPro-Semibold" w:cs="Times New Roman"/>
          <w:kern w:val="0"/>
          <w:sz w:val="22"/>
          <w:szCs w:val="22"/>
          <w:u w:val="none"/>
        </w:rPr>
        <w:t xml:space="preserve">Following experimental treatments, lipid </w:t>
      </w:r>
      <w:r>
        <w:rPr>
          <w:rFonts w:hint="eastAsia" w:ascii="Times New Roman" w:hAnsi="Times New Roman" w:eastAsia="MyriadPro-Semibold" w:cs="Times New Roman"/>
          <w:kern w:val="0"/>
          <w:sz w:val="22"/>
          <w:szCs w:val="22"/>
          <w:u w:val="none"/>
          <w:lang w:val="en-US" w:eastAsia="zh-CN"/>
        </w:rPr>
        <w:t>ROS</w:t>
      </w:r>
      <w:r>
        <w:rPr>
          <w:rFonts w:hint="eastAsia" w:ascii="Times New Roman" w:hAnsi="Times New Roman" w:eastAsia="MyriadPro-Semibold" w:cs="Times New Roman"/>
          <w:kern w:val="0"/>
          <w:sz w:val="22"/>
          <w:szCs w:val="22"/>
          <w:u w:val="none"/>
        </w:rPr>
        <w:t xml:space="preserve"> levels in GC cells were measured using an Lipid Peroxide Detection kit (L248, Dojindo, Japan). Briefly, cells were washed once with Hank’s Balanced Salt Solution (HBSS</w:t>
      </w:r>
      <w:r>
        <w:rPr>
          <w:rFonts w:hint="eastAsia" w:ascii="Times New Roman" w:hAnsi="Times New Roman" w:eastAsia="MyriadPro-Semibold" w:cs="Times New Roman"/>
          <w:kern w:val="0"/>
          <w:sz w:val="22"/>
          <w:szCs w:val="22"/>
          <w:u w:val="none"/>
          <w:lang w:val="en-US" w:eastAsia="zh-CN"/>
        </w:rPr>
        <w:t xml:space="preserve">, C0218, </w:t>
      </w:r>
      <w:r>
        <w:rPr>
          <w:rFonts w:hint="eastAsia" w:ascii="Times New Roman" w:hAnsi="Times New Roman" w:eastAsia="MyriadPro-Semibold" w:cs="Times New Roman"/>
          <w:kern w:val="0"/>
          <w:sz w:val="22"/>
          <w:szCs w:val="22"/>
          <w:u w:val="none"/>
        </w:rPr>
        <w:t>Beyotime, China) and incubated with 10 μ</w:t>
      </w:r>
      <w:r>
        <w:rPr>
          <w:rFonts w:hint="eastAsia" w:ascii="Times New Roman" w:hAnsi="Times New Roman" w:eastAsia="MyriadPro-Semibold" w:cs="Times New Roman"/>
          <w:kern w:val="0"/>
          <w:sz w:val="22"/>
          <w:szCs w:val="22"/>
          <w:u w:val="none"/>
          <w:lang w:val="en-US" w:eastAsia="zh-CN"/>
        </w:rPr>
        <w:t>M</w:t>
      </w:r>
      <w:r>
        <w:rPr>
          <w:rFonts w:hint="eastAsia" w:ascii="Times New Roman" w:hAnsi="Times New Roman" w:eastAsia="MyriadPro-Semibold" w:cs="Times New Roman"/>
          <w:kern w:val="0"/>
          <w:sz w:val="22"/>
          <w:szCs w:val="22"/>
          <w:u w:val="none"/>
        </w:rPr>
        <w:t xml:space="preserve"> Liperfluo working solution for 30 min at 37 °C. After two additional washes with HBSS, cells were collected and resuspended in PBS. Fluorescence intensity was analyzed by flow cytometry</w:t>
      </w:r>
      <w:r>
        <w:rPr>
          <w:rFonts w:hint="eastAsia" w:ascii="Times New Roman" w:hAnsi="Times New Roman" w:eastAsia="MyriadPro-Semibold" w:cs="Times New Roman"/>
          <w:kern w:val="0"/>
          <w:sz w:val="22"/>
          <w:szCs w:val="22"/>
          <w:u w:val="none"/>
          <w:lang w:val="en-US" w:eastAsia="zh-CN"/>
        </w:rPr>
        <w:t xml:space="preserve"> using the appropriate fluorescence channel.</w:t>
      </w:r>
    </w:p>
    <w:p w14:paraId="21C362B5">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Intracellular reactive oxygen species (ROS) levels were measured using a ROS assay kit (S0033S, Beyotime, China). After treatment, cells were incubated with 10 μM DCFH-DA (diluted 1:1000 from stock solution) in serum-free medium at 37 °C for 30 min in the dark. Following three washes with HBSS, fluorescence intensity was immediately quantified using a BD FACS Celesta flow cytometer (BD Biosciences, USA).</w:t>
      </w:r>
    </w:p>
    <w:p w14:paraId="2BDAEEB3">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Malondialdehyde (MDA) levels were measured using a lipid peroxidation MDA assay kit (S0131M, Beyotime, China) according to the manufacturer's instructions. Glutathione</w:t>
      </w:r>
      <w:r>
        <w:rPr>
          <w:rFonts w:hint="eastAsia" w:ascii="Times New Roman" w:hAnsi="Times New Roman" w:eastAsia="MyriadPro-Semibold" w:cs="Times New Roman"/>
          <w:kern w:val="0"/>
          <w:sz w:val="22"/>
          <w:szCs w:val="22"/>
          <w:u w:val="none"/>
          <w:lang w:val="en-US" w:eastAsia="zh-CN"/>
        </w:rPr>
        <w:t xml:space="preserve"> (</w:t>
      </w:r>
      <w:r>
        <w:rPr>
          <w:rFonts w:hint="eastAsia" w:ascii="Times New Roman" w:hAnsi="Times New Roman" w:eastAsia="MyriadPro-Semibold" w:cs="Times New Roman"/>
          <w:kern w:val="0"/>
          <w:sz w:val="22"/>
          <w:szCs w:val="22"/>
          <w:u w:val="none"/>
        </w:rPr>
        <w:t>GSH</w:t>
      </w:r>
      <w:r>
        <w:rPr>
          <w:rFonts w:hint="eastAsia" w:ascii="Times New Roman" w:hAnsi="Times New Roman" w:eastAsia="MyriadPro-Semibold" w:cs="Times New Roman"/>
          <w:kern w:val="0"/>
          <w:sz w:val="22"/>
          <w:szCs w:val="22"/>
          <w:u w:val="none"/>
          <w:lang w:val="en-US" w:eastAsia="zh-CN"/>
        </w:rPr>
        <w:t>)</w:t>
      </w:r>
      <w:r>
        <w:rPr>
          <w:rFonts w:hint="eastAsia" w:ascii="Times New Roman" w:hAnsi="Times New Roman" w:eastAsia="MyriadPro-Semibold" w:cs="Times New Roman"/>
          <w:kern w:val="0"/>
          <w:sz w:val="22"/>
          <w:szCs w:val="22"/>
          <w:u w:val="none"/>
        </w:rPr>
        <w:t xml:space="preserve"> levels were measured using a GSH</w:t>
      </w:r>
      <w:r>
        <w:rPr>
          <w:rFonts w:hint="eastAsia" w:ascii="Times New Roman" w:hAnsi="Times New Roman" w:eastAsia="MyriadPro-Semibold" w:cs="Times New Roman"/>
          <w:kern w:val="0"/>
          <w:sz w:val="22"/>
          <w:szCs w:val="22"/>
          <w:u w:val="none"/>
          <w:lang w:val="en-US" w:eastAsia="zh-CN"/>
        </w:rPr>
        <w:t xml:space="preserve"> / Glutathione disulfide (</w:t>
      </w:r>
      <w:r>
        <w:rPr>
          <w:rFonts w:hint="eastAsia" w:ascii="Times New Roman" w:hAnsi="Times New Roman" w:eastAsia="MyriadPro-Semibold" w:cs="Times New Roman"/>
          <w:kern w:val="0"/>
          <w:sz w:val="22"/>
          <w:szCs w:val="22"/>
          <w:u w:val="none"/>
        </w:rPr>
        <w:t>GSSG</w:t>
      </w:r>
      <w:r>
        <w:rPr>
          <w:rFonts w:hint="eastAsia" w:ascii="Times New Roman" w:hAnsi="Times New Roman" w:eastAsia="MyriadPro-Semibold" w:cs="Times New Roman"/>
          <w:kern w:val="0"/>
          <w:sz w:val="22"/>
          <w:szCs w:val="22"/>
          <w:u w:val="none"/>
          <w:lang w:val="en-US" w:eastAsia="zh-CN"/>
        </w:rPr>
        <w:t>)</w:t>
      </w:r>
      <w:r>
        <w:rPr>
          <w:rFonts w:hint="eastAsia" w:ascii="Times New Roman" w:hAnsi="Times New Roman" w:eastAsia="MyriadPro-Semibold" w:cs="Times New Roman"/>
          <w:kern w:val="0"/>
          <w:sz w:val="22"/>
          <w:szCs w:val="22"/>
          <w:u w:val="none"/>
        </w:rPr>
        <w:t xml:space="preserve"> assay kit (S0053, Beyotime, China) according to the manufacturer's instructions.</w:t>
      </w:r>
    </w:p>
    <w:p w14:paraId="5508C2CD">
      <w:pPr>
        <w:autoSpaceDE w:val="0"/>
        <w:autoSpaceDN w:val="0"/>
        <w:adjustRightInd w:val="0"/>
        <w:spacing w:line="480" w:lineRule="auto"/>
        <w:rPr>
          <w:rFonts w:hint="eastAsia" w:ascii="Times New Roman" w:hAnsi="Times New Roman" w:eastAsia="MyriadPro-Semibold" w:cs="Times New Roman"/>
          <w:kern w:val="0"/>
          <w:sz w:val="22"/>
          <w:szCs w:val="22"/>
          <w:u w:val="none"/>
        </w:rPr>
      </w:pPr>
      <w:r>
        <w:rPr>
          <w:rFonts w:hint="eastAsia" w:ascii="Times New Roman" w:hAnsi="Times New Roman" w:eastAsia="MyriadPro-Semibold" w:cs="Times New Roman"/>
          <w:kern w:val="0"/>
          <w:sz w:val="22"/>
          <w:szCs w:val="22"/>
          <w:u w:val="none"/>
        </w:rPr>
        <w:t xml:space="preserve">Pretreated GC cells were fixed with electron microscopy fixative at room temperature for 5 min, gently scraped from the culture plates and collected by centrifugation (1000 rpm, 5 min). After resuspension in fresh fixative for 30 min at room temperature in the dark, samples were further processed by Servicebio (Wuhan, China) for standard </w:t>
      </w:r>
      <w:r>
        <w:rPr>
          <w:rFonts w:hint="eastAsia" w:ascii="Times New Roman" w:hAnsi="Times New Roman" w:eastAsia="MyriadPro-Semibold" w:cs="Times New Roman"/>
          <w:kern w:val="0"/>
          <w:sz w:val="22"/>
          <w:szCs w:val="22"/>
          <w:u w:val="none"/>
          <w:lang w:val="en-US" w:eastAsia="zh-CN"/>
        </w:rPr>
        <w:t>t</w:t>
      </w:r>
      <w:r>
        <w:rPr>
          <w:rFonts w:hint="eastAsia" w:ascii="Times New Roman" w:hAnsi="Times New Roman" w:eastAsia="MyriadPro-Semibold" w:cs="Times New Roman"/>
          <w:kern w:val="0"/>
          <w:sz w:val="22"/>
          <w:szCs w:val="22"/>
          <w:u w:val="none"/>
        </w:rPr>
        <w:t>ransmission electron microscopy (TEM) preparation, including osmium tetroxide post-fixation, dehydration, resin embedding, ultrathin sectioning, and imaging.</w:t>
      </w:r>
    </w:p>
    <w:p w14:paraId="55880BC7">
      <w:pPr>
        <w:autoSpaceDE w:val="0"/>
        <w:autoSpaceDN w:val="0"/>
        <w:adjustRightInd w:val="0"/>
        <w:spacing w:line="480" w:lineRule="auto"/>
        <w:rPr>
          <w:rFonts w:ascii="Times New Roman" w:hAnsi="Times New Roman" w:eastAsia="MyriadPro-Semibold" w:cs="Times New Roman"/>
          <w:kern w:val="0"/>
          <w:sz w:val="22"/>
          <w:szCs w:val="22"/>
          <w:u w:val="none"/>
        </w:rPr>
      </w:pPr>
    </w:p>
    <w:p w14:paraId="639BDF68">
      <w:pPr>
        <w:autoSpaceDE w:val="0"/>
        <w:autoSpaceDN w:val="0"/>
        <w:adjustRightInd w:val="0"/>
        <w:spacing w:line="480" w:lineRule="auto"/>
        <w:rPr>
          <w:rFonts w:ascii="Times New Roman" w:hAnsi="Times New Roman" w:eastAsia="MyriadPro-Semibold" w:cs="Times New Roman"/>
          <w:b/>
          <w:bCs/>
          <w:kern w:val="0"/>
          <w:sz w:val="22"/>
          <w:szCs w:val="22"/>
          <w:u w:val="none"/>
        </w:rPr>
      </w:pPr>
      <w:r>
        <w:rPr>
          <w:rFonts w:ascii="Times New Roman" w:hAnsi="Times New Roman" w:eastAsia="MyriadPro-Semibold" w:cs="Times New Roman"/>
          <w:b/>
          <w:bCs/>
          <w:kern w:val="0"/>
          <w:sz w:val="22"/>
          <w:szCs w:val="22"/>
          <w:u w:val="none"/>
        </w:rPr>
        <w:t xml:space="preserve">Co-immunoprecipitation (Co-IP) </w:t>
      </w:r>
    </w:p>
    <w:p w14:paraId="1004ECE5">
      <w:pPr>
        <w:autoSpaceDE w:val="0"/>
        <w:autoSpaceDN w:val="0"/>
        <w:adjustRightInd w:val="0"/>
        <w:spacing w:line="480" w:lineRule="auto"/>
        <w:rPr>
          <w:rFonts w:ascii="Times New Roman" w:hAnsi="Times New Roman" w:cs="Times New Roman"/>
          <w:sz w:val="22"/>
          <w:szCs w:val="22"/>
          <w:u w:val="none"/>
          <w:shd w:val="clear" w:color="auto" w:fill="FFFFFF"/>
        </w:rPr>
      </w:pPr>
      <w:r>
        <w:rPr>
          <w:rFonts w:hint="eastAsia" w:ascii="Times New Roman" w:hAnsi="Times New Roman" w:cs="Times New Roman"/>
          <w:sz w:val="22"/>
          <w:szCs w:val="22"/>
          <w:u w:val="none"/>
          <w:shd w:val="clear" w:color="auto" w:fill="FFFFFF"/>
        </w:rPr>
        <w:t xml:space="preserve">For endogenous Co-IP, GC cells were lysed using an Immunoprecipitation Kit (P2179, Beyotime, China). For exogenous Co-IP, HEK293T cells were transfected with the indicated plasmids for 48 h prior to lysis. Following centrifugation (14,000 × g, 15 min, 4 </w:t>
      </w:r>
      <w:r>
        <w:rPr>
          <w:rFonts w:ascii="Times New Roman" w:hAnsi="Times New Roman" w:cs="Times New Roman"/>
          <w:sz w:val="22"/>
          <w:szCs w:val="22"/>
          <w:u w:val="none"/>
          <w:shd w:val="clear" w:color="auto" w:fill="FFFFFF"/>
        </w:rPr>
        <w:t>°C</w:t>
      </w:r>
      <w:r>
        <w:rPr>
          <w:rFonts w:hint="eastAsia" w:ascii="Times New Roman" w:hAnsi="Times New Roman" w:cs="Times New Roman"/>
          <w:sz w:val="22"/>
          <w:szCs w:val="22"/>
          <w:u w:val="none"/>
          <w:shd w:val="clear" w:color="auto" w:fill="FFFFFF"/>
        </w:rPr>
        <w:t xml:space="preserve">), the supernatants were pre-cleared with Protein A/G beads for 1 h. An aliquot of each lysate was reserved as the input control, while the remaining lysates were divided into IP and IgG groups. </w:t>
      </w:r>
      <w:r>
        <w:rPr>
          <w:rFonts w:hint="eastAsia" w:ascii="Times New Roman" w:hAnsi="Times New Roman" w:cs="Times New Roman"/>
          <w:sz w:val="22"/>
          <w:szCs w:val="22"/>
          <w:u w:val="none"/>
          <w:shd w:val="clear" w:color="auto" w:fill="FFFFFF"/>
          <w:lang w:val="en-US" w:eastAsia="zh-CN"/>
        </w:rPr>
        <w:t>T</w:t>
      </w:r>
      <w:r>
        <w:rPr>
          <w:rFonts w:hint="eastAsia" w:ascii="Times New Roman" w:hAnsi="Times New Roman" w:cs="Times New Roman"/>
          <w:sz w:val="22"/>
          <w:szCs w:val="22"/>
          <w:u w:val="none"/>
          <w:shd w:val="clear" w:color="auto" w:fill="FFFFFF"/>
        </w:rPr>
        <w:t xml:space="preserve">he IP </w:t>
      </w:r>
      <w:r>
        <w:rPr>
          <w:rFonts w:hint="eastAsia" w:ascii="Times New Roman" w:hAnsi="Times New Roman" w:cs="Times New Roman"/>
          <w:sz w:val="22"/>
          <w:szCs w:val="22"/>
          <w:u w:val="none"/>
          <w:shd w:val="clear" w:color="auto" w:fill="FFFFFF"/>
          <w:lang w:val="en-US" w:eastAsia="zh-CN"/>
        </w:rPr>
        <w:t>samples</w:t>
      </w:r>
      <w:r>
        <w:rPr>
          <w:rFonts w:hint="eastAsia" w:ascii="Times New Roman" w:hAnsi="Times New Roman" w:cs="Times New Roman"/>
          <w:sz w:val="22"/>
          <w:szCs w:val="22"/>
          <w:u w:val="none"/>
          <w:shd w:val="clear" w:color="auto" w:fill="FFFFFF"/>
        </w:rPr>
        <w:t xml:space="preserve"> were incubated overnight at 4 </w:t>
      </w:r>
      <w:r>
        <w:rPr>
          <w:rFonts w:ascii="Times New Roman" w:hAnsi="Times New Roman" w:cs="Times New Roman"/>
          <w:sz w:val="22"/>
          <w:szCs w:val="22"/>
          <w:u w:val="none"/>
          <w:shd w:val="clear" w:color="auto" w:fill="FFFFFF"/>
        </w:rPr>
        <w:t>°C</w:t>
      </w:r>
      <w:r>
        <w:rPr>
          <w:rFonts w:hint="eastAsia" w:ascii="Times New Roman" w:hAnsi="Times New Roman" w:cs="Times New Roman"/>
          <w:sz w:val="22"/>
          <w:szCs w:val="22"/>
          <w:u w:val="none"/>
          <w:shd w:val="clear" w:color="auto" w:fill="FFFFFF"/>
        </w:rPr>
        <w:t xml:space="preserve"> with the indicated antibodies, whereas the IgG samples were incubated with control IgG. Protein A/G beads were subsequently added and incubated for 2 h. Beads were washed with lysis buffer, and bound proteins were eluted in SDS-PAGE loading buffer for western blot analysis. Input lysates were mixed with SDS-PAGE loading buffer, boiled at 95 </w:t>
      </w:r>
      <w:r>
        <w:rPr>
          <w:rFonts w:ascii="Times New Roman" w:hAnsi="Times New Roman" w:cs="Times New Roman"/>
          <w:sz w:val="22"/>
          <w:szCs w:val="22"/>
          <w:u w:val="none"/>
          <w:shd w:val="clear" w:color="auto" w:fill="FFFFFF"/>
        </w:rPr>
        <w:t>°C</w:t>
      </w:r>
      <w:r>
        <w:rPr>
          <w:rFonts w:hint="eastAsia" w:ascii="Times New Roman" w:hAnsi="Times New Roman" w:cs="Times New Roman"/>
          <w:sz w:val="22"/>
          <w:szCs w:val="22"/>
          <w:u w:val="none"/>
          <w:shd w:val="clear" w:color="auto" w:fill="FFFFFF"/>
        </w:rPr>
        <w:t xml:space="preserve"> for 5 min, and stored at </w:t>
      </w:r>
      <w:r>
        <w:rPr>
          <w:rFonts w:hint="eastAsia" w:ascii="Times New Roman" w:hAnsi="Times New Roman" w:cs="Times New Roman"/>
          <w:sz w:val="22"/>
          <w:szCs w:val="22"/>
          <w:u w:val="none"/>
          <w:shd w:val="clear" w:color="auto" w:fill="FFFFFF"/>
          <w:lang w:val="en-US" w:eastAsia="zh-CN"/>
        </w:rPr>
        <w:t>-</w:t>
      </w:r>
      <w:r>
        <w:rPr>
          <w:rFonts w:hint="eastAsia" w:ascii="Times New Roman" w:hAnsi="Times New Roman" w:cs="Times New Roman"/>
          <w:sz w:val="22"/>
          <w:szCs w:val="22"/>
          <w:u w:val="none"/>
          <w:shd w:val="clear" w:color="auto" w:fill="FFFFFF"/>
        </w:rPr>
        <w:t xml:space="preserve">80 </w:t>
      </w:r>
      <w:r>
        <w:rPr>
          <w:rFonts w:ascii="Times New Roman" w:hAnsi="Times New Roman" w:cs="Times New Roman"/>
          <w:sz w:val="22"/>
          <w:szCs w:val="22"/>
          <w:u w:val="none"/>
          <w:shd w:val="clear" w:color="auto" w:fill="FFFFFF"/>
        </w:rPr>
        <w:t>°C</w:t>
      </w:r>
      <w:r>
        <w:rPr>
          <w:rFonts w:hint="eastAsia" w:ascii="Times New Roman" w:hAnsi="Times New Roman" w:cs="Times New Roman"/>
          <w:sz w:val="22"/>
          <w:szCs w:val="22"/>
          <w:u w:val="none"/>
          <w:shd w:val="clear" w:color="auto" w:fill="FFFFFF"/>
        </w:rPr>
        <w:t xml:space="preserve"> until analysis.</w:t>
      </w:r>
    </w:p>
    <w:p w14:paraId="46448F3C">
      <w:pPr>
        <w:autoSpaceDE w:val="0"/>
        <w:autoSpaceDN w:val="0"/>
        <w:adjustRightInd w:val="0"/>
        <w:spacing w:line="480" w:lineRule="auto"/>
        <w:rPr>
          <w:rFonts w:ascii="Times New Roman" w:hAnsi="Times New Roman" w:cs="Times New Roman"/>
          <w:sz w:val="22"/>
          <w:szCs w:val="22"/>
          <w:u w:val="none"/>
          <w:shd w:val="clear" w:color="auto" w:fill="FFFFFF"/>
        </w:rPr>
      </w:pPr>
    </w:p>
    <w:p w14:paraId="4CA7E071">
      <w:pPr>
        <w:autoSpaceDE w:val="0"/>
        <w:autoSpaceDN w:val="0"/>
        <w:adjustRightInd w:val="0"/>
        <w:spacing w:line="480" w:lineRule="auto"/>
        <w:rPr>
          <w:rFonts w:ascii="Times New Roman" w:hAnsi="Times New Roman" w:eastAsia="MyriadPro-Semibold" w:cs="Times New Roman"/>
          <w:b/>
          <w:bCs/>
          <w:kern w:val="0"/>
          <w:sz w:val="22"/>
          <w:szCs w:val="22"/>
          <w:u w:val="none"/>
        </w:rPr>
      </w:pPr>
      <w:r>
        <w:rPr>
          <w:rFonts w:ascii="Times New Roman" w:hAnsi="Times New Roman" w:eastAsia="MyriadPro-Semibold" w:cs="Times New Roman"/>
          <w:b/>
          <w:bCs/>
          <w:kern w:val="0"/>
          <w:sz w:val="22"/>
          <w:szCs w:val="22"/>
          <w:u w:val="none"/>
        </w:rPr>
        <w:t>Dual</w:t>
      </w:r>
      <w:r>
        <w:rPr>
          <w:rFonts w:ascii="Times New Roman" w:hAnsi="Times New Roman" w:eastAsia="MS Mincho" w:cs="Times New Roman"/>
          <w:b/>
          <w:bCs/>
          <w:kern w:val="0"/>
          <w:sz w:val="22"/>
          <w:szCs w:val="22"/>
          <w:u w:val="none"/>
        </w:rPr>
        <w:t>‑</w:t>
      </w:r>
      <w:r>
        <w:rPr>
          <w:rFonts w:ascii="Times New Roman" w:hAnsi="Times New Roman" w:eastAsia="MyriadPro-Semibold" w:cs="Times New Roman"/>
          <w:b/>
          <w:bCs/>
          <w:kern w:val="0"/>
          <w:sz w:val="22"/>
          <w:szCs w:val="22"/>
          <w:u w:val="none"/>
        </w:rPr>
        <w:t>luciferase reporter assay</w:t>
      </w:r>
    </w:p>
    <w:p w14:paraId="35EA7EDC">
      <w:pPr>
        <w:autoSpaceDE w:val="0"/>
        <w:autoSpaceDN w:val="0"/>
        <w:adjustRightInd w:val="0"/>
        <w:spacing w:line="480" w:lineRule="auto"/>
        <w:rPr>
          <w:rFonts w:ascii="Times New Roman" w:hAnsi="Times New Roman" w:eastAsia="MyriadPro-Semibold" w:cs="Times New Roman"/>
          <w:color w:val="auto"/>
          <w:kern w:val="0"/>
          <w:sz w:val="22"/>
          <w:szCs w:val="22"/>
          <w:u w:val="none"/>
        </w:rPr>
      </w:pPr>
      <w:r>
        <w:rPr>
          <w:rFonts w:hint="eastAsia" w:ascii="Times New Roman" w:hAnsi="Times New Roman" w:eastAsia="MyriadPro-Semibold" w:cs="Times New Roman"/>
          <w:color w:val="auto"/>
          <w:kern w:val="0"/>
          <w:sz w:val="22"/>
          <w:szCs w:val="22"/>
          <w:u w:val="none"/>
        </w:rPr>
        <w:t>Dual-luciferase reporter assays were performed to evaluate the transcriptional regulation of PCK2 and SLC7A11 by YY1. Luciferase reporter constructs containing the wild-type promoters of PCK2 or SLC7A11 were generated by cloning the corresponding promoter fragments into the pGL3-Basic vector. Site-directed mutagenesis was performed to generate the indicated mutant reporter constructs by disrupting the predicted YY1-binding sites. HEK293T cells were seeded into 24-well plates and co-transfected with the indicated luciferase reporter plasmids, YY1 overexpression plasmids, and a Renilla luciferase plasmid using Lipofectamine 3000. After 48 h, firefly and Renilla luciferase activities were measured using the Dual-Luciferase Reporter Gene Assay Kit (11402ES60, Yeasen, Shanghai, China) according to the manufacturer</w:t>
      </w:r>
      <w:r>
        <w:rPr>
          <w:rFonts w:hint="default" w:ascii="Times New Roman" w:hAnsi="Times New Roman" w:eastAsia="MyriadPro-Semibold" w:cs="Times New Roman"/>
          <w:color w:val="auto"/>
          <w:kern w:val="0"/>
          <w:sz w:val="22"/>
          <w:szCs w:val="22"/>
          <w:u w:val="none"/>
          <w:lang w:val="en-US" w:eastAsia="zh-CN"/>
        </w:rPr>
        <w:t>’</w:t>
      </w:r>
      <w:r>
        <w:rPr>
          <w:rFonts w:hint="eastAsia" w:ascii="Times New Roman" w:hAnsi="Times New Roman" w:eastAsia="MyriadPro-Semibold" w:cs="Times New Roman"/>
          <w:color w:val="auto"/>
          <w:kern w:val="0"/>
          <w:sz w:val="22"/>
          <w:szCs w:val="22"/>
          <w:u w:val="none"/>
        </w:rPr>
        <w:t>s instructions. Relative luciferase activity was normalized to Renilla luciferase activity.</w:t>
      </w:r>
    </w:p>
    <w:p w14:paraId="01F1654B">
      <w:pPr>
        <w:autoSpaceDE w:val="0"/>
        <w:autoSpaceDN w:val="0"/>
        <w:adjustRightInd w:val="0"/>
        <w:spacing w:line="480" w:lineRule="auto"/>
        <w:rPr>
          <w:rFonts w:ascii="Times New Roman" w:hAnsi="Times New Roman" w:eastAsia="MyriadPro-Semibold" w:cs="Times New Roman"/>
          <w:kern w:val="0"/>
          <w:sz w:val="22"/>
          <w:szCs w:val="22"/>
          <w:u w:val="none"/>
        </w:rPr>
      </w:pPr>
    </w:p>
    <w:p w14:paraId="7EC92731">
      <w:pPr>
        <w:autoSpaceDE w:val="0"/>
        <w:autoSpaceDN w:val="0"/>
        <w:adjustRightInd w:val="0"/>
        <w:spacing w:line="480" w:lineRule="auto"/>
        <w:rPr>
          <w:rFonts w:hint="eastAsia" w:ascii="Times New Roman" w:hAnsi="Times New Roman" w:eastAsia="MyriadPro-Semibold" w:cs="Times New Roman"/>
          <w:b/>
          <w:bCs/>
          <w:kern w:val="0"/>
          <w:sz w:val="22"/>
          <w:szCs w:val="22"/>
          <w:u w:val="none"/>
          <w:lang w:val="en-US" w:eastAsia="zh-CN"/>
        </w:rPr>
      </w:pPr>
      <w:r>
        <w:rPr>
          <w:rFonts w:hint="eastAsia" w:ascii="Times New Roman" w:hAnsi="Times New Roman" w:eastAsia="MyriadPro-Semibold" w:cs="Times New Roman"/>
          <w:b/>
          <w:bCs/>
          <w:kern w:val="0"/>
          <w:sz w:val="22"/>
          <w:szCs w:val="22"/>
          <w:u w:val="none"/>
        </w:rPr>
        <w:t xml:space="preserve">Chromatin </w:t>
      </w:r>
      <w:r>
        <w:rPr>
          <w:rFonts w:hint="eastAsia" w:ascii="Times New Roman" w:hAnsi="Times New Roman" w:eastAsia="MyriadPro-Semibold" w:cs="Times New Roman"/>
          <w:b/>
          <w:bCs/>
          <w:kern w:val="0"/>
          <w:sz w:val="22"/>
          <w:szCs w:val="22"/>
          <w:u w:val="none"/>
          <w:lang w:val="en-US" w:eastAsia="zh-CN"/>
        </w:rPr>
        <w:t>i</w:t>
      </w:r>
      <w:r>
        <w:rPr>
          <w:rFonts w:hint="eastAsia" w:ascii="Times New Roman" w:hAnsi="Times New Roman" w:eastAsia="MyriadPro-Semibold" w:cs="Times New Roman"/>
          <w:b/>
          <w:bCs/>
          <w:kern w:val="0"/>
          <w:sz w:val="22"/>
          <w:szCs w:val="22"/>
          <w:u w:val="none"/>
        </w:rPr>
        <w:t>mmunoprecipitation</w:t>
      </w:r>
      <w:r>
        <w:rPr>
          <w:rFonts w:hint="eastAsia" w:ascii="Times New Roman" w:hAnsi="Times New Roman" w:eastAsia="MyriadPro-Semibold" w:cs="Times New Roman"/>
          <w:b/>
          <w:bCs/>
          <w:kern w:val="0"/>
          <w:sz w:val="22"/>
          <w:szCs w:val="22"/>
          <w:u w:val="none"/>
          <w:lang w:val="en-US" w:eastAsia="zh-CN"/>
        </w:rPr>
        <w:t xml:space="preserve"> (ChIP) a</w:t>
      </w:r>
      <w:r>
        <w:rPr>
          <w:rFonts w:hint="eastAsia" w:ascii="Times New Roman" w:hAnsi="Times New Roman" w:eastAsia="MyriadPro-Semibold" w:cs="Times New Roman"/>
          <w:b/>
          <w:bCs/>
          <w:kern w:val="0"/>
          <w:sz w:val="22"/>
          <w:szCs w:val="22"/>
          <w:u w:val="none"/>
        </w:rPr>
        <w:t>ssay</w:t>
      </w:r>
      <w:r>
        <w:rPr>
          <w:rFonts w:hint="eastAsia" w:ascii="Times New Roman" w:hAnsi="Times New Roman" w:eastAsia="MyriadPro-Semibold" w:cs="Times New Roman"/>
          <w:b/>
          <w:bCs/>
          <w:kern w:val="0"/>
          <w:sz w:val="22"/>
          <w:szCs w:val="22"/>
          <w:u w:val="none"/>
          <w:lang w:val="en-US" w:eastAsia="zh-CN"/>
        </w:rPr>
        <w:t xml:space="preserve"> </w:t>
      </w:r>
    </w:p>
    <w:p w14:paraId="366B87D7">
      <w:pPr>
        <w:autoSpaceDE w:val="0"/>
        <w:autoSpaceDN w:val="0"/>
        <w:adjustRightInd w:val="0"/>
        <w:spacing w:line="480" w:lineRule="auto"/>
        <w:rPr>
          <w:rFonts w:hint="eastAsia" w:ascii="Times New Roman" w:hAnsi="Times New Roman" w:eastAsia="MyriadPro-Semibold" w:cs="Times New Roman"/>
          <w:kern w:val="0"/>
          <w:sz w:val="22"/>
          <w:szCs w:val="22"/>
          <w:highlight w:val="none"/>
          <w:u w:val="none"/>
        </w:rPr>
      </w:pPr>
      <w:r>
        <w:rPr>
          <w:rFonts w:hint="eastAsia" w:ascii="Times New Roman" w:hAnsi="Times New Roman" w:eastAsia="MyriadPro-Semibold" w:cs="Times New Roman"/>
          <w:kern w:val="0"/>
          <w:sz w:val="22"/>
          <w:szCs w:val="22"/>
          <w:highlight w:val="none"/>
          <w:u w:val="none"/>
        </w:rPr>
        <w:t>Chromatin immunoprecipitation (ChIP) assays were performed using the Pierce™ Magnetic ChIP Kit (Thermo Fisher Scientific, USA) according to the manufacturer's instructions. Briefly, cells were cross-linked with 1% formaldehyde, and the reaction was quenched with glycine. Cells were harvested and lysed, and chromatin was sheared into 200</w:t>
      </w:r>
      <w:r>
        <w:rPr>
          <w:rFonts w:hint="eastAsia" w:ascii="Times New Roman" w:hAnsi="Times New Roman" w:eastAsia="MyriadPro-Semibold" w:cs="Times New Roman"/>
          <w:kern w:val="0"/>
          <w:sz w:val="22"/>
          <w:szCs w:val="22"/>
          <w:highlight w:val="none"/>
          <w:u w:val="none"/>
          <w:lang w:val="en-US" w:eastAsia="zh-CN"/>
        </w:rPr>
        <w:t>-</w:t>
      </w:r>
      <w:r>
        <w:rPr>
          <w:rFonts w:hint="eastAsia" w:ascii="Times New Roman" w:hAnsi="Times New Roman" w:eastAsia="MyriadPro-Semibold" w:cs="Times New Roman"/>
          <w:kern w:val="0"/>
          <w:sz w:val="22"/>
          <w:szCs w:val="22"/>
          <w:highlight w:val="none"/>
          <w:u w:val="none"/>
        </w:rPr>
        <w:t>500 bp fragments by sonication. A portion of the sheared chromatin was reserved as the input control, while the remaining chromatin was incubated overnight at 4 °C with the indicated antibodies or normal rabbit IgG as a negative control. Immune complexes were captured using magnetic Protein A/G beads, washed sequentially according to the manufacturer's protocol, and eluted. Cross-links were reversed, followed by Proteinase K digestion and DNA purification. Purified DNA was subjected to quantitative PCR using primers specific for the promoter regions of PCK2 and SLC7A11. ChIP enrichment was normalized to the input control and presented relative to the IgG control.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arnock Pro">
    <w:altName w:val="宋体"/>
    <w:panose1 w:val="00000000000000000000"/>
    <w:charset w:val="86"/>
    <w:family w:val="roman"/>
    <w:pitch w:val="default"/>
    <w:sig w:usb0="00000000" w:usb1="00000000" w:usb2="00000010" w:usb3="00000000" w:csb0="00040000" w:csb1="00000000"/>
  </w:font>
  <w:font w:name="MyriadPro-Semibold">
    <w:altName w:val="微软雅黑"/>
    <w:panose1 w:val="00000000000000000000"/>
    <w:charset w:val="86"/>
    <w:family w:val="swiss"/>
    <w:pitch w:val="default"/>
    <w:sig w:usb0="00000000" w:usb1="00000000" w:usb2="00000010" w:usb3="00000000" w:csb0="00040008" w:csb1="00000000"/>
  </w:font>
  <w:font w:name="微软雅黑">
    <w:panose1 w:val="020B0503020204020204"/>
    <w:charset w:val="86"/>
    <w:family w:val="auto"/>
    <w:pitch w:val="default"/>
    <w:sig w:usb0="80000287" w:usb1="2ACF3C50" w:usb2="00000016" w:usb3="00000000" w:csb0="0004001F" w:csb1="00000000"/>
  </w:font>
  <w:font w:name="MS Mincho">
    <w:panose1 w:val="02020609040205080304"/>
    <w:charset w:val="80"/>
    <w:family w:val="modern"/>
    <w:pitch w:val="default"/>
    <w:sig w:usb0="A00002BF" w:usb1="68C7FCFB" w:usb2="00000010"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1D9"/>
    <w:rsid w:val="000405FD"/>
    <w:rsid w:val="000E51D9"/>
    <w:rsid w:val="001E3127"/>
    <w:rsid w:val="002764EA"/>
    <w:rsid w:val="002B0321"/>
    <w:rsid w:val="004D21F9"/>
    <w:rsid w:val="00662123"/>
    <w:rsid w:val="007B03BC"/>
    <w:rsid w:val="008948A8"/>
    <w:rsid w:val="009A70ED"/>
    <w:rsid w:val="00A93D29"/>
    <w:rsid w:val="00AC2BFC"/>
    <w:rsid w:val="00AE76F2"/>
    <w:rsid w:val="00B87BE4"/>
    <w:rsid w:val="00C25C0D"/>
    <w:rsid w:val="00D37D8D"/>
    <w:rsid w:val="07E63D5C"/>
    <w:rsid w:val="16373465"/>
    <w:rsid w:val="25DE0FDF"/>
    <w:rsid w:val="27BE70E9"/>
    <w:rsid w:val="34E975D2"/>
    <w:rsid w:val="42F33DC8"/>
    <w:rsid w:val="4875741A"/>
    <w:rsid w:val="4B79767F"/>
    <w:rsid w:val="4C80121B"/>
    <w:rsid w:val="4E7B1893"/>
    <w:rsid w:val="5518666D"/>
    <w:rsid w:val="6626263A"/>
    <w:rsid w:val="693B62A9"/>
    <w:rsid w:val="6E4C45A4"/>
    <w:rsid w:val="6F69344A"/>
    <w:rsid w:val="710E37BE"/>
    <w:rsid w:val="747204EF"/>
    <w:rsid w:val="76852EE1"/>
    <w:rsid w:val="76E85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5"/>
    <w:qFormat/>
    <w:uiPriority w:val="0"/>
    <w:pPr>
      <w:jc w:val="left"/>
    </w:pPr>
    <w:rPr>
      <w:szCs w:val="24"/>
      <w14:ligatures w14:val="none"/>
    </w:rPr>
  </w:style>
  <w:style w:type="paragraph" w:styleId="5">
    <w:name w:val="footer"/>
    <w:basedOn w:val="1"/>
    <w:link w:val="14"/>
    <w:unhideWhenUsed/>
    <w:qFormat/>
    <w:uiPriority w:val="99"/>
    <w:pPr>
      <w:tabs>
        <w:tab w:val="center" w:pos="4153"/>
        <w:tab w:val="right" w:pos="8306"/>
      </w:tabs>
      <w:snapToGrid w:val="0"/>
      <w:jc w:val="left"/>
    </w:pPr>
    <w:rPr>
      <w:sz w:val="18"/>
      <w:szCs w:val="18"/>
      <w14:ligatures w14:val="none"/>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14:ligatures w14:val="none"/>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Emphasis"/>
    <w:basedOn w:val="9"/>
    <w:qFormat/>
    <w:uiPriority w:val="20"/>
    <w:rPr>
      <w:i/>
    </w:rPr>
  </w:style>
  <w:style w:type="character" w:styleId="12">
    <w:name w:val="Hyperlink"/>
    <w:basedOn w:val="9"/>
    <w:semiHidden/>
    <w:unhideWhenUsed/>
    <w:qFormat/>
    <w:uiPriority w:val="99"/>
    <w:rPr>
      <w:color w:val="0000FF"/>
      <w:u w:val="single"/>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customStyle="1" w:styleId="15">
    <w:name w:val="批注文字 字符"/>
    <w:basedOn w:val="9"/>
    <w:link w:val="4"/>
    <w:qFormat/>
    <w:uiPriority w:val="0"/>
    <w:rPr>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774</Words>
  <Characters>4465</Characters>
  <Lines>83</Lines>
  <Paragraphs>23</Paragraphs>
  <TotalTime>0</TotalTime>
  <ScaleCrop>false</ScaleCrop>
  <LinksUpToDate>false</LinksUpToDate>
  <CharactersWithSpaces>5217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2025-08-20T02:44:00Z</dcterms:created>
  <dc:creator>梁 贻泽</dc:creator>
  <cp:lastModifiedBy>梁贻泽</cp:lastModifiedBy>
  <dcterms:modified xsi:type="dcterms:W3CDTF">2026-09-16T10:54:22Z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eyJoZGlkIjoiZjFmOTQ0ODRkMDVlOTRlMDI3NzZiOWRkNzgwMjZhMjQiLCJ1c2VySWQiOiIxNTk2MzM4MTQzIn0=</vt:lpwstr>
  </property>
  <property fmtid="{D5CDD505-2E9C-101B-9397-08002B2CF9AE}" pid="3" name="KSOProductBuildVer">
    <vt:lpwstr>2052-12.1.0.28043</vt:lpwstr>
  </property>
  <property fmtid="{D5CDD505-2E9C-101B-9397-08002B2CF9AE}" pid="4" name="ICV">
    <vt:lpwstr>3CF21D14BF3A428D84CCF3BC1C9592F5_12</vt:lpwstr>
  </property>
</Properties>
</file>