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466" w:rsidRPr="0029578A" w:rsidRDefault="00400466" w:rsidP="00400466">
      <w:pPr>
        <w:rPr>
          <w:rFonts w:ascii="Times New Roman" w:hAnsi="Times New Roman" w:cs="Times New Roman"/>
          <w:b/>
        </w:rPr>
      </w:pPr>
      <w:bookmarkStart w:id="0" w:name="_Toc942803"/>
      <w:bookmarkStart w:id="1" w:name="Table1a"/>
      <w:r w:rsidRPr="0029578A">
        <w:rPr>
          <w:rFonts w:ascii="Times New Roman" w:hAnsi="Times New Roman" w:cs="Times New Roman"/>
          <w:b/>
        </w:rPr>
        <w:t>Supplemental Table 1: Codes used to define ovarian cancer</w:t>
      </w:r>
      <w:r w:rsidRPr="0029578A">
        <w:rPr>
          <w:rFonts w:ascii="Times New Roman" w:hAnsi="Times New Roman" w:cs="Times New Roman"/>
          <w:b/>
          <w:vertAlign w:val="superscript"/>
        </w:rPr>
        <w:t>1</w:t>
      </w:r>
    </w:p>
    <w:tbl>
      <w:tblPr>
        <w:tblW w:w="8450" w:type="dxa"/>
        <w:tblLook w:val="04A0" w:firstRow="1" w:lastRow="0" w:firstColumn="1" w:lastColumn="0" w:noHBand="0" w:noVBand="1"/>
      </w:tblPr>
      <w:tblGrid>
        <w:gridCol w:w="2103"/>
        <w:gridCol w:w="2103"/>
        <w:gridCol w:w="4244"/>
      </w:tblGrid>
      <w:tr w:rsidR="00400466" w:rsidRPr="008C19D8" w:rsidTr="006B5079">
        <w:trPr>
          <w:trHeight w:val="398"/>
        </w:trPr>
        <w:tc>
          <w:tcPr>
            <w:tcW w:w="2103" w:type="dxa"/>
            <w:tcBorders>
              <w:top w:val="single" w:sz="8" w:space="0" w:color="auto"/>
              <w:left w:val="single" w:sz="8" w:space="0" w:color="auto"/>
              <w:bottom w:val="single" w:sz="8" w:space="0" w:color="auto"/>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Code</w:t>
            </w:r>
          </w:p>
        </w:tc>
        <w:tc>
          <w:tcPr>
            <w:tcW w:w="2103" w:type="dxa"/>
            <w:tcBorders>
              <w:top w:val="single" w:sz="8" w:space="0" w:color="auto"/>
              <w:left w:val="nil"/>
              <w:bottom w:val="single" w:sz="8" w:space="0" w:color="auto"/>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Type</w:t>
            </w:r>
          </w:p>
        </w:tc>
        <w:tc>
          <w:tcPr>
            <w:tcW w:w="4244" w:type="dxa"/>
            <w:tcBorders>
              <w:top w:val="single" w:sz="8" w:space="0" w:color="auto"/>
              <w:left w:val="nil"/>
              <w:bottom w:val="single" w:sz="8" w:space="0" w:color="auto"/>
              <w:right w:val="single" w:sz="8" w:space="0" w:color="auto"/>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Description</w:t>
            </w:r>
          </w:p>
        </w:tc>
      </w:tr>
      <w:tr w:rsidR="00400466" w:rsidRPr="008C19D8" w:rsidTr="006B5079">
        <w:trPr>
          <w:trHeight w:val="379"/>
        </w:trPr>
        <w:tc>
          <w:tcPr>
            <w:tcW w:w="2103" w:type="dxa"/>
            <w:tcBorders>
              <w:top w:val="nil"/>
              <w:left w:val="single" w:sz="8" w:space="0" w:color="auto"/>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183.0</w:t>
            </w:r>
          </w:p>
        </w:tc>
        <w:tc>
          <w:tcPr>
            <w:tcW w:w="2103" w:type="dxa"/>
            <w:tcBorders>
              <w:top w:val="nil"/>
              <w:left w:val="nil"/>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ICD-9</w:t>
            </w:r>
          </w:p>
        </w:tc>
        <w:tc>
          <w:tcPr>
            <w:tcW w:w="4244" w:type="dxa"/>
            <w:tcBorders>
              <w:top w:val="nil"/>
              <w:left w:val="nil"/>
              <w:bottom w:val="nil"/>
              <w:right w:val="single" w:sz="8" w:space="0" w:color="auto"/>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Malignant neoplasm of ovary</w:t>
            </w:r>
          </w:p>
        </w:tc>
      </w:tr>
      <w:tr w:rsidR="00400466" w:rsidRPr="008C19D8" w:rsidTr="006B5079">
        <w:trPr>
          <w:trHeight w:val="379"/>
        </w:trPr>
        <w:tc>
          <w:tcPr>
            <w:tcW w:w="2103" w:type="dxa"/>
            <w:tcBorders>
              <w:top w:val="nil"/>
              <w:left w:val="single" w:sz="8" w:space="0" w:color="auto"/>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C56</w:t>
            </w:r>
          </w:p>
        </w:tc>
        <w:tc>
          <w:tcPr>
            <w:tcW w:w="2103" w:type="dxa"/>
            <w:tcBorders>
              <w:top w:val="nil"/>
              <w:left w:val="nil"/>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ICD-10</w:t>
            </w:r>
          </w:p>
        </w:tc>
        <w:tc>
          <w:tcPr>
            <w:tcW w:w="4244" w:type="dxa"/>
            <w:tcBorders>
              <w:top w:val="nil"/>
              <w:left w:val="nil"/>
              <w:bottom w:val="nil"/>
              <w:right w:val="single" w:sz="8" w:space="0" w:color="auto"/>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Malignant neoplasm of ovary</w:t>
            </w:r>
          </w:p>
        </w:tc>
      </w:tr>
      <w:tr w:rsidR="00400466" w:rsidRPr="008C19D8" w:rsidTr="006B5079">
        <w:trPr>
          <w:trHeight w:val="379"/>
        </w:trPr>
        <w:tc>
          <w:tcPr>
            <w:tcW w:w="2103" w:type="dxa"/>
            <w:tcBorders>
              <w:top w:val="nil"/>
              <w:left w:val="single" w:sz="8" w:space="0" w:color="auto"/>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C56.1</w:t>
            </w:r>
          </w:p>
        </w:tc>
        <w:tc>
          <w:tcPr>
            <w:tcW w:w="2103" w:type="dxa"/>
            <w:tcBorders>
              <w:top w:val="nil"/>
              <w:left w:val="nil"/>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ICD-10</w:t>
            </w:r>
          </w:p>
        </w:tc>
        <w:tc>
          <w:tcPr>
            <w:tcW w:w="4244" w:type="dxa"/>
            <w:tcBorders>
              <w:top w:val="nil"/>
              <w:left w:val="nil"/>
              <w:bottom w:val="nil"/>
              <w:right w:val="single" w:sz="8" w:space="0" w:color="auto"/>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Malignant neoplasm of right ovary</w:t>
            </w:r>
          </w:p>
        </w:tc>
      </w:tr>
      <w:tr w:rsidR="00400466" w:rsidRPr="008C19D8" w:rsidTr="006B5079">
        <w:trPr>
          <w:trHeight w:val="379"/>
        </w:trPr>
        <w:tc>
          <w:tcPr>
            <w:tcW w:w="2103" w:type="dxa"/>
            <w:tcBorders>
              <w:top w:val="nil"/>
              <w:left w:val="single" w:sz="8" w:space="0" w:color="auto"/>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C56.2</w:t>
            </w:r>
          </w:p>
        </w:tc>
        <w:tc>
          <w:tcPr>
            <w:tcW w:w="2103" w:type="dxa"/>
            <w:tcBorders>
              <w:top w:val="nil"/>
              <w:left w:val="nil"/>
              <w:bottom w:val="nil"/>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ICD-10</w:t>
            </w:r>
          </w:p>
        </w:tc>
        <w:tc>
          <w:tcPr>
            <w:tcW w:w="4244" w:type="dxa"/>
            <w:tcBorders>
              <w:top w:val="nil"/>
              <w:left w:val="nil"/>
              <w:bottom w:val="nil"/>
              <w:right w:val="single" w:sz="8" w:space="0" w:color="auto"/>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Malignant neoplasm of left ovary</w:t>
            </w:r>
          </w:p>
        </w:tc>
      </w:tr>
      <w:tr w:rsidR="00400466" w:rsidRPr="008C19D8" w:rsidTr="006B5079">
        <w:trPr>
          <w:trHeight w:val="398"/>
        </w:trPr>
        <w:tc>
          <w:tcPr>
            <w:tcW w:w="2103" w:type="dxa"/>
            <w:tcBorders>
              <w:top w:val="nil"/>
              <w:left w:val="single" w:sz="8" w:space="0" w:color="auto"/>
              <w:bottom w:val="single" w:sz="8" w:space="0" w:color="auto"/>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C56.9</w:t>
            </w:r>
          </w:p>
        </w:tc>
        <w:tc>
          <w:tcPr>
            <w:tcW w:w="2103" w:type="dxa"/>
            <w:tcBorders>
              <w:top w:val="nil"/>
              <w:left w:val="nil"/>
              <w:bottom w:val="single" w:sz="8" w:space="0" w:color="auto"/>
              <w:right w:val="nil"/>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ICD-10</w:t>
            </w:r>
          </w:p>
        </w:tc>
        <w:tc>
          <w:tcPr>
            <w:tcW w:w="4244" w:type="dxa"/>
            <w:tcBorders>
              <w:top w:val="nil"/>
              <w:left w:val="nil"/>
              <w:bottom w:val="single" w:sz="8" w:space="0" w:color="auto"/>
              <w:right w:val="single" w:sz="8" w:space="0" w:color="auto"/>
            </w:tcBorders>
            <w:shd w:val="clear" w:color="auto" w:fill="auto"/>
            <w:noWrap/>
            <w:vAlign w:val="bottom"/>
            <w:hideMark/>
          </w:tcPr>
          <w:p w:rsidR="00400466" w:rsidRPr="0029578A" w:rsidRDefault="00400466" w:rsidP="006B5079">
            <w:pPr>
              <w:spacing w:after="0" w:line="240" w:lineRule="auto"/>
              <w:rPr>
                <w:rFonts w:ascii="Times New Roman" w:eastAsia="Times New Roman" w:hAnsi="Times New Roman" w:cs="Times New Roman"/>
                <w:color w:val="000000"/>
              </w:rPr>
            </w:pPr>
            <w:r w:rsidRPr="0029578A">
              <w:rPr>
                <w:rFonts w:ascii="Times New Roman" w:eastAsia="Times New Roman" w:hAnsi="Times New Roman" w:cs="Times New Roman"/>
                <w:color w:val="000000"/>
              </w:rPr>
              <w:t>Malignant neoplasm of unspecified ovary</w:t>
            </w:r>
          </w:p>
        </w:tc>
      </w:tr>
    </w:tbl>
    <w:p w:rsidR="00400466" w:rsidRPr="0029578A" w:rsidRDefault="00400466" w:rsidP="00400466">
      <w:pPr>
        <w:jc w:val="both"/>
        <w:rPr>
          <w:rFonts w:ascii="Times New Roman" w:eastAsia="Times New Roman" w:hAnsi="Times New Roman" w:cs="Times New Roman"/>
          <w:sz w:val="20"/>
          <w:szCs w:val="20"/>
        </w:rPr>
      </w:pPr>
      <w:r>
        <w:rPr>
          <w:noProof/>
          <w:lang w:val="en-PH" w:eastAsia="en-PH"/>
        </w:rPr>
        <mc:AlternateContent>
          <mc:Choice Requires="wps">
            <w:drawing>
              <wp:anchor distT="0" distB="0" distL="114300" distR="114300" simplePos="0" relativeHeight="251663360" behindDoc="0" locked="0" layoutInCell="1" allowOverlap="1" wp14:anchorId="44E117E5" wp14:editId="0A5E7CD1">
                <wp:simplePos x="0" y="0"/>
                <wp:positionH relativeFrom="margin">
                  <wp:align>left</wp:align>
                </wp:positionH>
                <wp:positionV relativeFrom="paragraph">
                  <wp:posOffset>5080</wp:posOffset>
                </wp:positionV>
                <wp:extent cx="5362575" cy="771525"/>
                <wp:effectExtent l="0" t="0" r="28575" b="28575"/>
                <wp:wrapNone/>
                <wp:docPr id="3"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B00-000002000000}"/>
                    </a:ext>
                  </a:extLst>
                </wp:docPr>
                <wp:cNvGraphicFramePr/>
                <a:graphic xmlns:a="http://schemas.openxmlformats.org/drawingml/2006/main">
                  <a:graphicData uri="http://schemas.microsoft.com/office/word/2010/wordprocessingShape">
                    <wps:wsp>
                      <wps:cNvSpPr txBox="1"/>
                      <wps:spPr>
                        <a:xfrm>
                          <a:off x="0" y="0"/>
                          <a:ext cx="5362575" cy="771525"/>
                        </a:xfrm>
                        <a:prstGeom prst="rect">
                          <a:avLst/>
                        </a:prstGeom>
                        <a:solidFill>
                          <a:sysClr val="window" lastClr="FFFFFF"/>
                        </a:solidFill>
                        <a:ln w="9525" cmpd="sng">
                          <a:solidFill>
                            <a:sysClr val="window" lastClr="FFFFFF">
                              <a:shade val="50000"/>
                            </a:sysClr>
                          </a:solidFill>
                        </a:ln>
                        <a:effectLst/>
                      </wps:spPr>
                      <wps:txbx>
                        <w:txbxContent>
                          <w:p w:rsidR="00400466" w:rsidRDefault="00400466" w:rsidP="00400466">
                            <w:pPr>
                              <w:pStyle w:val="NormalWeb"/>
                              <w:spacing w:before="0" w:beforeAutospacing="0" w:after="0" w:afterAutospacing="0"/>
                            </w:pPr>
                            <w:proofErr w:type="gramStart"/>
                            <w:r w:rsidRPr="00A00D15">
                              <w:rPr>
                                <w:sz w:val="22"/>
                                <w:szCs w:val="22"/>
                              </w:rPr>
                              <w:t>1</w:t>
                            </w:r>
                            <w:proofErr w:type="gramEnd"/>
                            <w:r w:rsidRPr="00A00D15">
                              <w:rPr>
                                <w:sz w:val="22"/>
                                <w:szCs w:val="22"/>
                              </w:rPr>
                              <w:t xml:space="preserve">: Participants included in this study had advanced stage ovarian cancer, the advanced stage classification was defined through information available in a cancer registry, HIRE oncology, or met the criteria for the predictive model algorithm for advanced ovarian cancer. Further described in Esposito et al. </w:t>
                            </w:r>
                            <w:r w:rsidRPr="00A00D15">
                              <w:fldChar w:fldCharType="begin"/>
                            </w:r>
                            <w:r>
                              <w:rPr>
                                <w:sz w:val="22"/>
                                <w:szCs w:val="22"/>
                              </w:rPr>
                              <w:instrText xml:space="preserve"> ADDIN EN.CITE &lt;EndNote&gt;&lt;Cite&gt;&lt;Author&gt;Esposito&lt;/Author&gt;&lt;Year&gt;2019&lt;/Year&gt;&lt;RecNum&gt;63&lt;/RecNum&gt;&lt;DisplayText&gt;(1)&lt;/DisplayText&gt;&lt;record&gt;&lt;rec-number&gt;63&lt;/rec-number&gt;&lt;foreign-keys&gt;&lt;key app="EN" db-id="2xz2vzdzy5zrxoeprdtxapedxa2x9zpearv5" timestamp="1559655855"&gt;63&lt;/key&gt;&lt;/foreign-keys&gt;&lt;ref-type name="Journal Article"&gt;17&lt;/ref-type&gt;&lt;contributors&gt;&lt;authors&gt;&lt;author&gt;Esposito, D. B.&lt;/author&gt;&lt;author&gt;Russo, L.&lt;/author&gt;&lt;author&gt;Oksen, D.&lt;/author&gt;&lt;author&gt;Yin, R.&lt;/author&gt;&lt;author&gt;Desai, V. C. A.&lt;/author&gt;&lt;author&gt;Lyons, J. G.&lt;/author&gt;&lt;author&gt;Verpillat, P.&lt;/author&gt;&lt;author&gt;Penalvo, J. L.&lt;/author&gt;&lt;author&gt;Lamy, F. X.&lt;/author&gt;&lt;author&gt;Lanes, S.&lt;/author&gt;&lt;/authors&gt;&lt;/contributors&gt;&lt;auth-address&gt;HealthCore, Inc., Wilmington, DE, United States; Boston University, Boston, MA, United States.&amp;#xD;Pfizer, Inc., Collegeville, PA, United States.&amp;#xD;Merck KGaA, Darmstadt, Germany.&amp;#xD;HealthCore, Inc., Wilmington, DE, United States.&amp;#xD;HealthCore, Inc., Wilmington, DE, United States. Electronic address: slanes@healthcore.com.&lt;/auth-address&gt;&lt;titles&gt;&lt;title&gt;Development of predictive models to identify advanced-stage cancer patients in a US healthcare claims database&lt;/title&gt;&lt;secondary-title&gt;Cancer Epidemiol&lt;/secondary-title&gt;&lt;/titles&gt;&lt;periodical&gt;&lt;full-title&gt;Cancer Epidemiol&lt;/full-title&gt;&lt;/periodical&gt;&lt;pages&gt;30-37&lt;/pages&gt;&lt;volume&gt;61&lt;/volume&gt;&lt;edition&gt;2019/05/28&lt;/edition&gt;&lt;keywords&gt;&lt;keyword&gt;Gastric adenocarcinoma&lt;/keyword&gt;&lt;keyword&gt;LASSO regression&lt;/keyword&gt;&lt;keyword&gt;Machine learning&lt;/keyword&gt;&lt;keyword&gt;Merkel cell carcinoma&lt;/keyword&gt;&lt;keyword&gt;Non-small cell lung cancer&lt;/keyword&gt;&lt;keyword&gt;Ovarian cancer&lt;/keyword&gt;&lt;keyword&gt;Predictive modeling&lt;/keyword&gt;&lt;keyword&gt;Urothelial carcinoma&lt;/keyword&gt;&lt;/keywords&gt;&lt;dates&gt;&lt;year&gt;2019&lt;/year&gt;&lt;pub-dates&gt;&lt;date&gt;May 22&lt;/date&gt;&lt;/pub-dates&gt;&lt;/dates&gt;&lt;isbn&gt;1877-783X (Electronic)&amp;#xD;1877-7821 (Linking)&lt;/isbn&gt;&lt;accession-num&gt;31128428&lt;/accession-num&gt;&lt;urls&gt;&lt;related-urls&gt;&lt;url&gt;https://www.ncbi.nlm.nih.gov/pubmed/31128428&lt;/url&gt;&lt;/related-urls&gt;&lt;/urls&gt;&lt;electronic-resource-num&gt;10.1016/j.canep.2019.05.006&lt;/electronic-resource-num&gt;&lt;/record&gt;&lt;/Cite&gt;&lt;/EndNote&gt;</w:instrText>
                            </w:r>
                            <w:r w:rsidRPr="00A00D15">
                              <w:fldChar w:fldCharType="separate"/>
                            </w:r>
                            <w:r w:rsidRPr="00F3191F">
                              <w:rPr>
                                <w:noProof/>
                                <w:sz w:val="22"/>
                                <w:szCs w:val="22"/>
                              </w:rPr>
                              <w:t>(1)</w:t>
                            </w:r>
                            <w:r w:rsidRPr="00A00D15">
                              <w:fldChar w:fldCharType="end"/>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E117E5" id="_x0000_t202" coordsize="21600,21600" o:spt="202" path="m,l,21600r21600,l21600,xe">
                <v:stroke joinstyle="miter"/>
                <v:path gradientshapeok="t" o:connecttype="rect"/>
              </v:shapetype>
              <v:shape id="TextBox 1" o:spid="_x0000_s1026" type="#_x0000_t202" style="position:absolute;left:0;text-align:left;margin-left:0;margin-top:.4pt;width:422.25pt;height:60.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" fillcolor="window" strokecolor="#bcbcbc">
                <v:textbox>
                  <w:txbxContent>
                    <w:p w:rsidR="00400466" w:rsidRDefault="00400466" w:rsidP="00400466">
                      <w:pPr>
                        <w:pStyle w:val="NormalWeb"/>
                        <w:spacing w:before="0" w:beforeAutospacing="0" w:after="0" w:afterAutospacing="0"/>
                      </w:pPr>
                      <w:r w:rsidRPr="00A00D15">
                        <w:rPr>
                          <w:sz w:val="22"/>
                          <w:szCs w:val="22"/>
                        </w:rPr>
                        <w:t xml:space="preserve">1: Participants included in this study had advanced stage ovarian cancer, the advanced stage classification was defined through information available in a cancer registry, HIRE oncology, or met the criteria for the predictive model algorithm for advanced ovarian cancer. Further described in Esposito et al. </w:t>
                      </w:r>
                      <w:r w:rsidRPr="00A00D15">
                        <w:fldChar w:fldCharType="begin"/>
                      </w:r>
                      <w:r>
                        <w:rPr>
                          <w:sz w:val="22"/>
                          <w:szCs w:val="22"/>
                        </w:rPr>
                        <w:instrText xml:space="preserve"> ADDIN EN.CITE &lt;EndNote&gt;&lt;Cite&gt;&lt;Author&gt;Esposito&lt;/Author&gt;&lt;Year&gt;2019&lt;/Year&gt;&lt;RecNum&gt;63&lt;/RecNum&gt;&lt;DisplayText&gt;(1)&lt;/DisplayText&gt;&lt;record&gt;&lt;rec-number&gt;63&lt;/rec-number&gt;&lt;foreign-keys&gt;&lt;key app="EN" db-id="2xz2vzdzy5zrxoeprdtxapedxa2x9zpearv5" timestamp="1559655855"&gt;63&lt;/key&gt;&lt;/foreign-keys&gt;&lt;ref-type name="Journal Article"&gt;17&lt;/ref-type&gt;&lt;contributors&gt;&lt;authors&gt;&lt;author&gt;Esposito, D. B.&lt;/author&gt;&lt;author&gt;Russo, L.&lt;/author&gt;&lt;author&gt;Oksen, D.&lt;/author&gt;&lt;author&gt;Yin, R.&lt;/author&gt;&lt;author&gt;Desai, V. C. A.&lt;/author&gt;&lt;author&gt;Lyons, J. G.&lt;/author&gt;&lt;author&gt;Verpillat, P.&lt;/author&gt;&lt;author&gt;Penalvo, J. L.&lt;/author&gt;&lt;author&gt;Lamy, F. X.&lt;/author&gt;&lt;author&gt;Lanes, S.&lt;/author&gt;&lt;/authors&gt;&lt;/contributors&gt;&lt;auth-address&gt;HealthCore, Inc., Wilmington, DE, United States; Boston University, Boston, MA, United States.&amp;#xD;Pfizer, Inc., Collegeville, PA, United States.&amp;#xD;Merck KGaA, Darmstadt, Germany.&amp;#xD;HealthCore, Inc., Wilmington, DE, United States.&amp;#xD;HealthCore, Inc., Wilmington, DE, United States. Electronic address: slanes@healthcore.com.&lt;/auth-address&gt;&lt;titles&gt;&lt;title&gt;Development of predictive models to identify advanced-stage cancer patients in a US healthcare claims database&lt;/title&gt;&lt;secondary-title&gt;Cancer Epidemiol&lt;/secondary-title&gt;&lt;/titles&gt;&lt;periodical&gt;&lt;full-title&gt;Cancer Epidemiol&lt;/full-title&gt;&lt;/periodical&gt;&lt;pages&gt;30-37&lt;/pages&gt;&lt;volume&gt;61&lt;/volume&gt;&lt;edition&gt;2019/05/28&lt;/edition&gt;&lt;keywords&gt;&lt;keyword&gt;Gastric adenocarcinoma&lt;/keyword&gt;&lt;keyword&gt;LASSO regression&lt;/keyword&gt;&lt;keyword&gt;Machine learning&lt;/keyword&gt;&lt;keyword&gt;Merkel cell carcinoma&lt;/keyword&gt;&lt;keyword&gt;Non-small cell lung cancer&lt;/keyword&gt;&lt;keyword&gt;Ovarian cancer&lt;/keyword&gt;&lt;keyword&gt;Predictive modeling&lt;/keyword&gt;&lt;keyword&gt;Urothelial carcinoma&lt;/keyword&gt;&lt;/keywords&gt;&lt;dates&gt;&lt;year&gt;2019&lt;/year&gt;&lt;pub-dates&gt;&lt;date&gt;May 22&lt;/date&gt;&lt;/pub-dates&gt;&lt;/dates&gt;&lt;isbn&gt;1877-783X (Electronic)&amp;#xD;1877-7821 (Linking)&lt;/isbn&gt;&lt;accession-num&gt;31128428&lt;/accession-num&gt;&lt;urls&gt;&lt;related-urls&gt;&lt;url&gt;https://www.ncbi.nlm.nih.gov/pubmed/31128428&lt;/url&gt;&lt;/related-urls&gt;&lt;/urls&gt;&lt;electronic-resource-num&gt;10.1016/j.canep.2019.05.006&lt;/electronic-resource-num&gt;&lt;/record&gt;&lt;/Cite&gt;&lt;/EndNote&gt;</w:instrText>
                      </w:r>
                      <w:r w:rsidRPr="00A00D15">
                        <w:fldChar w:fldCharType="separate"/>
                      </w:r>
                      <w:r w:rsidRPr="00F3191F">
                        <w:rPr>
                          <w:noProof/>
                          <w:sz w:val="22"/>
                          <w:szCs w:val="22"/>
                        </w:rPr>
                        <w:t>(1)</w:t>
                      </w:r>
                      <w:r w:rsidRPr="00A00D15">
                        <w:fldChar w:fldCharType="end"/>
                      </w:r>
                    </w:p>
                  </w:txbxContent>
                </v:textbox>
                <w10:wrap anchorx="margin"/>
              </v:shape>
            </w:pict>
          </mc:Fallback>
        </mc:AlternateContent>
      </w:r>
      <w:r w:rsidRPr="0029578A">
        <w:rPr>
          <w:sz w:val="20"/>
          <w:szCs w:val="20"/>
        </w:rPr>
        <w:t xml:space="preserve"> </w:t>
      </w:r>
      <w:r w:rsidRPr="0029578A">
        <w:rPr>
          <w:sz w:val="20"/>
          <w:szCs w:val="20"/>
        </w:rPr>
        <w:br w:type="page"/>
      </w:r>
      <w:bookmarkStart w:id="2" w:name="_GoBack"/>
      <w:bookmarkEnd w:id="2"/>
    </w:p>
    <w:p w:rsidR="00400466" w:rsidRPr="00031D8C" w:rsidRDefault="00400466" w:rsidP="00400466">
      <w:pPr>
        <w:pStyle w:val="BodyText"/>
        <w:rPr>
          <w:b/>
        </w:rPr>
      </w:pPr>
      <w:r>
        <w:rPr>
          <w:b/>
        </w:rPr>
        <w:lastRenderedPageBreak/>
        <w:t>Supplemental Table 2</w:t>
      </w:r>
      <w:proofErr w:type="gramStart"/>
      <w:r w:rsidRPr="00B866DC">
        <w:rPr>
          <w:b/>
        </w:rPr>
        <w:t xml:space="preserve">.  </w:t>
      </w:r>
      <w:proofErr w:type="gramEnd"/>
      <w:r w:rsidRPr="00B866DC">
        <w:rPr>
          <w:b/>
        </w:rPr>
        <w:t xml:space="preserve">Probability of advanced stage ovarian cancer for </w:t>
      </w:r>
      <w:r>
        <w:rPr>
          <w:b/>
        </w:rPr>
        <w:t xml:space="preserve">hypothetical </w:t>
      </w:r>
      <w:r w:rsidRPr="00B866DC">
        <w:rPr>
          <w:b/>
        </w:rPr>
        <w:t>patient “A” over time in the HIRD used to identify their index date</w:t>
      </w:r>
      <w:bookmarkEnd w:id="0"/>
    </w:p>
    <w:tbl>
      <w:tblPr>
        <w:tblW w:w="12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72"/>
        <w:gridCol w:w="1608"/>
        <w:gridCol w:w="4538"/>
        <w:gridCol w:w="2393"/>
        <w:gridCol w:w="1515"/>
        <w:gridCol w:w="2056"/>
      </w:tblGrid>
      <w:tr w:rsidR="00400466" w:rsidRPr="001447F7" w:rsidTr="006B5079">
        <w:trPr>
          <w:trHeight w:val="154"/>
        </w:trPr>
        <w:tc>
          <w:tcPr>
            <w:tcW w:w="7018" w:type="dxa"/>
            <w:gridSpan w:val="3"/>
            <w:shd w:val="clear" w:color="auto" w:fill="D9D9D9" w:themeFill="background1" w:themeFillShade="D9"/>
            <w:hideMark/>
          </w:tcPr>
          <w:bookmarkEnd w:id="1"/>
          <w:p w:rsidR="00400466" w:rsidRPr="001447F7" w:rsidRDefault="00400466" w:rsidP="006B5079">
            <w:pPr>
              <w:pStyle w:val="Paragraph"/>
              <w:contextualSpacing/>
              <w:rPr>
                <w:b/>
              </w:rPr>
            </w:pPr>
            <w:r w:rsidRPr="001447F7">
              <w:rPr>
                <w:b/>
              </w:rPr>
              <w:t> </w:t>
            </w:r>
          </w:p>
        </w:tc>
        <w:tc>
          <w:tcPr>
            <w:tcW w:w="3908" w:type="dxa"/>
            <w:gridSpan w:val="2"/>
            <w:shd w:val="clear" w:color="auto" w:fill="D9D9D9" w:themeFill="background1" w:themeFillShade="D9"/>
            <w:hideMark/>
          </w:tcPr>
          <w:p w:rsidR="00400466" w:rsidRPr="001447F7" w:rsidRDefault="00400466" w:rsidP="006B5079">
            <w:pPr>
              <w:pStyle w:val="Paragraph"/>
              <w:contextualSpacing/>
              <w:rPr>
                <w:b/>
              </w:rPr>
            </w:pPr>
            <w:r w:rsidRPr="001447F7">
              <w:rPr>
                <w:b/>
              </w:rPr>
              <w:t xml:space="preserve">Advanced </w:t>
            </w:r>
            <w:proofErr w:type="spellStart"/>
            <w:r w:rsidRPr="001447F7">
              <w:rPr>
                <w:b/>
              </w:rPr>
              <w:t>Subscore</w:t>
            </w:r>
            <w:proofErr w:type="spellEnd"/>
          </w:p>
        </w:tc>
        <w:tc>
          <w:tcPr>
            <w:tcW w:w="2056" w:type="dxa"/>
            <w:shd w:val="clear" w:color="auto" w:fill="D9D9D9" w:themeFill="background1" w:themeFillShade="D9"/>
            <w:hideMark/>
          </w:tcPr>
          <w:p w:rsidR="00400466" w:rsidRPr="001447F7" w:rsidRDefault="00400466" w:rsidP="006B5079">
            <w:pPr>
              <w:pStyle w:val="Paragraph"/>
              <w:contextualSpacing/>
              <w:rPr>
                <w:b/>
              </w:rPr>
            </w:pPr>
          </w:p>
        </w:tc>
      </w:tr>
      <w:tr w:rsidR="00400466" w:rsidRPr="001447F7" w:rsidTr="006B5079">
        <w:trPr>
          <w:trHeight w:val="1121"/>
        </w:trPr>
        <w:tc>
          <w:tcPr>
            <w:tcW w:w="872" w:type="dxa"/>
            <w:shd w:val="clear" w:color="auto" w:fill="D9D9D9" w:themeFill="background1" w:themeFillShade="D9"/>
            <w:hideMark/>
          </w:tcPr>
          <w:p w:rsidR="00400466" w:rsidRPr="001447F7" w:rsidRDefault="00400466" w:rsidP="006B5079">
            <w:pPr>
              <w:pStyle w:val="Paragraph"/>
              <w:contextualSpacing/>
              <w:rPr>
                <w:b/>
              </w:rPr>
            </w:pPr>
            <w:r w:rsidRPr="001447F7">
              <w:rPr>
                <w:b/>
              </w:rPr>
              <w:t>ID</w:t>
            </w:r>
          </w:p>
        </w:tc>
        <w:tc>
          <w:tcPr>
            <w:tcW w:w="1608" w:type="dxa"/>
            <w:shd w:val="clear" w:color="auto" w:fill="D9D9D9" w:themeFill="background1" w:themeFillShade="D9"/>
            <w:hideMark/>
          </w:tcPr>
          <w:p w:rsidR="00400466" w:rsidRPr="001447F7" w:rsidRDefault="00400466" w:rsidP="006B5079">
            <w:pPr>
              <w:pStyle w:val="Paragraph"/>
              <w:contextualSpacing/>
              <w:rPr>
                <w:b/>
              </w:rPr>
            </w:pPr>
            <w:r w:rsidRPr="001447F7">
              <w:rPr>
                <w:b/>
              </w:rPr>
              <w:t>Evaluation Date</w:t>
            </w:r>
          </w:p>
        </w:tc>
        <w:tc>
          <w:tcPr>
            <w:tcW w:w="4538" w:type="dxa"/>
            <w:shd w:val="clear" w:color="auto" w:fill="D9D9D9" w:themeFill="background1" w:themeFillShade="D9"/>
            <w:hideMark/>
          </w:tcPr>
          <w:p w:rsidR="00400466" w:rsidRPr="001447F7" w:rsidRDefault="00400466" w:rsidP="006B5079">
            <w:pPr>
              <w:pStyle w:val="Paragraph"/>
              <w:contextualSpacing/>
              <w:rPr>
                <w:b/>
              </w:rPr>
            </w:pPr>
            <w:r w:rsidRPr="001447F7">
              <w:rPr>
                <w:b/>
              </w:rPr>
              <w:t>Criteria Name</w:t>
            </w:r>
          </w:p>
        </w:tc>
        <w:tc>
          <w:tcPr>
            <w:tcW w:w="2393" w:type="dxa"/>
            <w:shd w:val="clear" w:color="auto" w:fill="D9D9D9" w:themeFill="background1" w:themeFillShade="D9"/>
            <w:hideMark/>
          </w:tcPr>
          <w:p w:rsidR="00400466" w:rsidRPr="001447F7" w:rsidRDefault="00400466" w:rsidP="006B5079">
            <w:pPr>
              <w:pStyle w:val="Paragraph"/>
              <w:contextualSpacing/>
              <w:rPr>
                <w:b/>
              </w:rPr>
            </w:pPr>
            <w:r w:rsidRPr="001447F7">
              <w:rPr>
                <w:b/>
              </w:rPr>
              <w:t>Subscore</w:t>
            </w:r>
            <w:r w:rsidRPr="0029578A">
              <w:rPr>
                <w:b/>
                <w:vertAlign w:val="superscript"/>
              </w:rPr>
              <w:t>1</w:t>
            </w:r>
          </w:p>
        </w:tc>
        <w:tc>
          <w:tcPr>
            <w:tcW w:w="1515" w:type="dxa"/>
            <w:shd w:val="clear" w:color="auto" w:fill="D9D9D9" w:themeFill="background1" w:themeFillShade="D9"/>
            <w:hideMark/>
          </w:tcPr>
          <w:p w:rsidR="00400466" w:rsidRPr="001447F7" w:rsidRDefault="00400466" w:rsidP="006B5079">
            <w:pPr>
              <w:pStyle w:val="Paragraph"/>
              <w:contextualSpacing/>
              <w:rPr>
                <w:b/>
              </w:rPr>
            </w:pPr>
            <w:r w:rsidRPr="001447F7">
              <w:rPr>
                <w:b/>
              </w:rPr>
              <w:t xml:space="preserve">Sum of </w:t>
            </w:r>
            <w:proofErr w:type="spellStart"/>
            <w:r w:rsidRPr="001447F7">
              <w:rPr>
                <w:b/>
              </w:rPr>
              <w:t>Subscores</w:t>
            </w:r>
            <w:proofErr w:type="spellEnd"/>
          </w:p>
        </w:tc>
        <w:tc>
          <w:tcPr>
            <w:tcW w:w="2056" w:type="dxa"/>
            <w:shd w:val="clear" w:color="auto" w:fill="D9D9D9" w:themeFill="background1" w:themeFillShade="D9"/>
            <w:hideMark/>
          </w:tcPr>
          <w:p w:rsidR="00400466" w:rsidRPr="001447F7" w:rsidRDefault="00400466" w:rsidP="006B5079">
            <w:pPr>
              <w:pStyle w:val="Paragraph"/>
              <w:contextualSpacing/>
              <w:rPr>
                <w:b/>
              </w:rPr>
            </w:pPr>
            <w:r w:rsidRPr="001447F7">
              <w:rPr>
                <w:b/>
              </w:rPr>
              <w:t>Predicted Probability of Adv</w:t>
            </w:r>
            <w:r>
              <w:rPr>
                <w:b/>
              </w:rPr>
              <w:t>anced</w:t>
            </w:r>
            <w:r w:rsidRPr="001447F7">
              <w:rPr>
                <w:b/>
              </w:rPr>
              <w:t xml:space="preserve"> </w:t>
            </w:r>
            <w:r>
              <w:rPr>
                <w:b/>
              </w:rPr>
              <w:t>S</w:t>
            </w:r>
            <w:r w:rsidRPr="001447F7">
              <w:rPr>
                <w:b/>
              </w:rPr>
              <w:t xml:space="preserve">tage </w:t>
            </w:r>
            <w:r>
              <w:rPr>
                <w:b/>
              </w:rPr>
              <w:t>Ovarian Cancer</w:t>
            </w:r>
          </w:p>
        </w:tc>
      </w:tr>
      <w:tr w:rsidR="00400466" w:rsidRPr="001447F7" w:rsidTr="006B5079">
        <w:trPr>
          <w:trHeight w:val="143"/>
        </w:trPr>
        <w:tc>
          <w:tcPr>
            <w:tcW w:w="872" w:type="dxa"/>
            <w:hideMark/>
          </w:tcPr>
          <w:p w:rsidR="00400466" w:rsidRPr="001447F7" w:rsidRDefault="00400466" w:rsidP="006B5079">
            <w:pPr>
              <w:pStyle w:val="Paragraph"/>
              <w:contextualSpacing/>
            </w:pPr>
            <w:r w:rsidRPr="001447F7">
              <w:t> </w:t>
            </w:r>
          </w:p>
        </w:tc>
        <w:tc>
          <w:tcPr>
            <w:tcW w:w="1608" w:type="dxa"/>
            <w:hideMark/>
          </w:tcPr>
          <w:p w:rsidR="00400466" w:rsidRPr="001447F7" w:rsidRDefault="00400466" w:rsidP="006B5079">
            <w:pPr>
              <w:pStyle w:val="Paragraph"/>
              <w:contextualSpacing/>
            </w:pPr>
            <w:r w:rsidRPr="001447F7">
              <w:t> </w:t>
            </w:r>
          </w:p>
        </w:tc>
        <w:tc>
          <w:tcPr>
            <w:tcW w:w="4538" w:type="dxa"/>
            <w:hideMark/>
          </w:tcPr>
          <w:p w:rsidR="00400466" w:rsidRPr="001447F7" w:rsidRDefault="00400466" w:rsidP="006B5079">
            <w:pPr>
              <w:pStyle w:val="Paragraph"/>
              <w:contextualSpacing/>
            </w:pPr>
            <w:r w:rsidRPr="001447F7">
              <w:t>(intercept)</w:t>
            </w:r>
          </w:p>
        </w:tc>
        <w:tc>
          <w:tcPr>
            <w:tcW w:w="2393" w:type="dxa"/>
            <w:hideMark/>
          </w:tcPr>
          <w:p w:rsidR="00400466" w:rsidRPr="001447F7" w:rsidRDefault="00400466" w:rsidP="006B5079">
            <w:pPr>
              <w:pStyle w:val="Paragraph"/>
              <w:contextualSpacing/>
            </w:pPr>
            <w:r w:rsidRPr="001447F7">
              <w:t> </w:t>
            </w:r>
          </w:p>
        </w:tc>
        <w:tc>
          <w:tcPr>
            <w:tcW w:w="1515" w:type="dxa"/>
            <w:hideMark/>
          </w:tcPr>
          <w:p w:rsidR="00400466" w:rsidRPr="001447F7" w:rsidRDefault="00400466" w:rsidP="006B5079">
            <w:pPr>
              <w:pStyle w:val="Paragraph"/>
              <w:contextualSpacing/>
            </w:pPr>
            <w:r w:rsidRPr="001447F7">
              <w:t>-</w:t>
            </w:r>
            <w:r>
              <w:t>0.96</w:t>
            </w:r>
          </w:p>
        </w:tc>
        <w:tc>
          <w:tcPr>
            <w:tcW w:w="2056" w:type="dxa"/>
            <w:hideMark/>
          </w:tcPr>
          <w:p w:rsidR="00400466" w:rsidRPr="001447F7" w:rsidRDefault="00400466" w:rsidP="006B5079">
            <w:pPr>
              <w:pStyle w:val="Paragraph"/>
              <w:contextualSpacing/>
            </w:pPr>
            <w:r w:rsidRPr="001447F7">
              <w:t> </w:t>
            </w:r>
          </w:p>
        </w:tc>
      </w:tr>
      <w:tr w:rsidR="00400466" w:rsidRPr="001447F7" w:rsidTr="006B5079">
        <w:trPr>
          <w:trHeight w:val="143"/>
        </w:trPr>
        <w:tc>
          <w:tcPr>
            <w:tcW w:w="872" w:type="dxa"/>
            <w:hideMark/>
          </w:tcPr>
          <w:p w:rsidR="00400466" w:rsidRPr="001447F7" w:rsidRDefault="00400466" w:rsidP="006B5079">
            <w:pPr>
              <w:pStyle w:val="Paragraph"/>
              <w:contextualSpacing/>
            </w:pPr>
            <w:r>
              <w:t>A</w:t>
            </w:r>
          </w:p>
        </w:tc>
        <w:tc>
          <w:tcPr>
            <w:tcW w:w="1608" w:type="dxa"/>
            <w:hideMark/>
          </w:tcPr>
          <w:p w:rsidR="00400466" w:rsidRPr="001447F7" w:rsidRDefault="00400466" w:rsidP="006B5079">
            <w:pPr>
              <w:pStyle w:val="Paragraph"/>
              <w:contextualSpacing/>
            </w:pPr>
            <w:r w:rsidRPr="001447F7">
              <w:t>1/25/2015</w:t>
            </w:r>
          </w:p>
        </w:tc>
        <w:tc>
          <w:tcPr>
            <w:tcW w:w="4538" w:type="dxa"/>
            <w:hideMark/>
          </w:tcPr>
          <w:p w:rsidR="00400466" w:rsidRPr="001447F7" w:rsidRDefault="00400466" w:rsidP="006B5079">
            <w:pPr>
              <w:pStyle w:val="Paragraph"/>
              <w:contextualSpacing/>
            </w:pPr>
            <w:r>
              <w:t>Calcium channel blocker</w:t>
            </w:r>
          </w:p>
        </w:tc>
        <w:tc>
          <w:tcPr>
            <w:tcW w:w="2393" w:type="dxa"/>
            <w:hideMark/>
          </w:tcPr>
          <w:p w:rsidR="00400466" w:rsidRPr="001447F7" w:rsidRDefault="00400466" w:rsidP="006B5079">
            <w:pPr>
              <w:pStyle w:val="Paragraph"/>
              <w:contextualSpacing/>
            </w:pPr>
            <w:r w:rsidRPr="001447F7">
              <w:t>-0.</w:t>
            </w:r>
            <w:r>
              <w:t>07</w:t>
            </w:r>
          </w:p>
        </w:tc>
        <w:tc>
          <w:tcPr>
            <w:tcW w:w="1515" w:type="dxa"/>
            <w:hideMark/>
          </w:tcPr>
          <w:p w:rsidR="00400466" w:rsidRPr="001447F7" w:rsidRDefault="00400466" w:rsidP="006B5079">
            <w:pPr>
              <w:pStyle w:val="Paragraph"/>
              <w:contextualSpacing/>
            </w:pPr>
            <w:r w:rsidRPr="001447F7">
              <w:t>-</w:t>
            </w:r>
            <w:r>
              <w:t>1.03</w:t>
            </w:r>
          </w:p>
        </w:tc>
        <w:tc>
          <w:tcPr>
            <w:tcW w:w="2056" w:type="dxa"/>
            <w:hideMark/>
          </w:tcPr>
          <w:p w:rsidR="00400466" w:rsidRPr="00CF28C6" w:rsidRDefault="00400466" w:rsidP="006B5079">
            <w:pPr>
              <w:pStyle w:val="Paragraph"/>
              <w:contextualSpacing/>
            </w:pPr>
            <w:r w:rsidRPr="00CF28C6">
              <w:t>26</w:t>
            </w:r>
            <w:r>
              <w:t>.</w:t>
            </w:r>
            <w:r w:rsidRPr="00CF28C6">
              <w:t>3</w:t>
            </w:r>
            <w:r>
              <w:t>%</w:t>
            </w:r>
          </w:p>
        </w:tc>
      </w:tr>
      <w:tr w:rsidR="00400466" w:rsidRPr="001447F7" w:rsidTr="006B5079">
        <w:trPr>
          <w:trHeight w:val="286"/>
        </w:trPr>
        <w:tc>
          <w:tcPr>
            <w:tcW w:w="872" w:type="dxa"/>
            <w:hideMark/>
          </w:tcPr>
          <w:p w:rsidR="00400466" w:rsidRPr="001447F7" w:rsidRDefault="00400466" w:rsidP="006B5079">
            <w:pPr>
              <w:pStyle w:val="Paragraph"/>
              <w:contextualSpacing/>
            </w:pPr>
            <w:r>
              <w:t>A</w:t>
            </w:r>
          </w:p>
        </w:tc>
        <w:tc>
          <w:tcPr>
            <w:tcW w:w="1608" w:type="dxa"/>
            <w:hideMark/>
          </w:tcPr>
          <w:p w:rsidR="00400466" w:rsidRPr="001447F7" w:rsidRDefault="00400466" w:rsidP="006B5079">
            <w:pPr>
              <w:pStyle w:val="Paragraph"/>
              <w:contextualSpacing/>
            </w:pPr>
            <w:r>
              <w:t>7/26/</w:t>
            </w:r>
            <w:r w:rsidRPr="001447F7">
              <w:t>2015</w:t>
            </w:r>
          </w:p>
        </w:tc>
        <w:tc>
          <w:tcPr>
            <w:tcW w:w="4538" w:type="dxa"/>
            <w:hideMark/>
          </w:tcPr>
          <w:p w:rsidR="00400466" w:rsidRPr="001447F7" w:rsidRDefault="00400466" w:rsidP="006B5079">
            <w:pPr>
              <w:pStyle w:val="Paragraph"/>
              <w:contextualSpacing/>
            </w:pPr>
            <w:r>
              <w:t>1</w:t>
            </w:r>
            <w:r w:rsidRPr="00CB478D">
              <w:rPr>
                <w:vertAlign w:val="superscript"/>
              </w:rPr>
              <w:t>st</w:t>
            </w:r>
            <w:r>
              <w:t xml:space="preserve"> ovarian cancer diagnosis code</w:t>
            </w:r>
          </w:p>
        </w:tc>
        <w:tc>
          <w:tcPr>
            <w:tcW w:w="2393" w:type="dxa"/>
            <w:hideMark/>
          </w:tcPr>
          <w:p w:rsidR="00400466" w:rsidRPr="00625C9D" w:rsidRDefault="00400466" w:rsidP="006B5079">
            <w:pPr>
              <w:pStyle w:val="Paragraph"/>
              <w:contextualSpacing/>
              <w:rPr>
                <w:i/>
              </w:rPr>
            </w:pPr>
            <w:r w:rsidRPr="00625C9D">
              <w:rPr>
                <w:i/>
              </w:rPr>
              <w:t>reference</w:t>
            </w:r>
          </w:p>
        </w:tc>
        <w:tc>
          <w:tcPr>
            <w:tcW w:w="1515" w:type="dxa"/>
            <w:hideMark/>
          </w:tcPr>
          <w:p w:rsidR="00400466" w:rsidRPr="001447F7" w:rsidRDefault="00400466" w:rsidP="006B5079">
            <w:pPr>
              <w:pStyle w:val="Paragraph"/>
              <w:contextualSpacing/>
            </w:pPr>
            <w:r w:rsidRPr="001447F7">
              <w:t> </w:t>
            </w:r>
          </w:p>
        </w:tc>
        <w:tc>
          <w:tcPr>
            <w:tcW w:w="2056" w:type="dxa"/>
          </w:tcPr>
          <w:p w:rsidR="00400466" w:rsidRPr="00CF28C6" w:rsidRDefault="00400466" w:rsidP="006B5079">
            <w:pPr>
              <w:pStyle w:val="Paragraph"/>
              <w:contextualSpacing/>
            </w:pPr>
          </w:p>
        </w:tc>
      </w:tr>
      <w:tr w:rsidR="00400466" w:rsidRPr="001447F7" w:rsidTr="006B5079">
        <w:trPr>
          <w:trHeight w:val="143"/>
        </w:trPr>
        <w:tc>
          <w:tcPr>
            <w:tcW w:w="872" w:type="dxa"/>
          </w:tcPr>
          <w:p w:rsidR="00400466" w:rsidRDefault="00400466" w:rsidP="006B5079">
            <w:pPr>
              <w:pStyle w:val="Paragraph"/>
              <w:contextualSpacing/>
            </w:pPr>
            <w:r>
              <w:t>A</w:t>
            </w:r>
          </w:p>
        </w:tc>
        <w:tc>
          <w:tcPr>
            <w:tcW w:w="1608" w:type="dxa"/>
          </w:tcPr>
          <w:p w:rsidR="00400466" w:rsidRPr="001447F7" w:rsidRDefault="00400466" w:rsidP="006B5079">
            <w:pPr>
              <w:pStyle w:val="Paragraph"/>
              <w:contextualSpacing/>
            </w:pPr>
            <w:r>
              <w:t>9/19/2015</w:t>
            </w:r>
          </w:p>
        </w:tc>
        <w:tc>
          <w:tcPr>
            <w:tcW w:w="4538" w:type="dxa"/>
          </w:tcPr>
          <w:p w:rsidR="00400466" w:rsidRDefault="00400466" w:rsidP="006B5079">
            <w:pPr>
              <w:pStyle w:val="Paragraph"/>
              <w:contextualSpacing/>
            </w:pPr>
            <w:proofErr w:type="spellStart"/>
            <w:r w:rsidRPr="00CF28C6">
              <w:t>Salpingo</w:t>
            </w:r>
            <w:proofErr w:type="spellEnd"/>
            <w:r w:rsidRPr="00CF28C6">
              <w:t>-</w:t>
            </w:r>
            <w:r>
              <w:t>Oophorectomy</w:t>
            </w:r>
          </w:p>
        </w:tc>
        <w:tc>
          <w:tcPr>
            <w:tcW w:w="2393" w:type="dxa"/>
          </w:tcPr>
          <w:p w:rsidR="00400466" w:rsidRPr="001447F7" w:rsidRDefault="00400466" w:rsidP="006B5079">
            <w:pPr>
              <w:pStyle w:val="Paragraph"/>
              <w:contextualSpacing/>
            </w:pPr>
            <w:r>
              <w:t>0.08</w:t>
            </w:r>
          </w:p>
        </w:tc>
        <w:tc>
          <w:tcPr>
            <w:tcW w:w="1515" w:type="dxa"/>
          </w:tcPr>
          <w:p w:rsidR="00400466" w:rsidRPr="001447F7" w:rsidRDefault="00400466" w:rsidP="006B5079">
            <w:pPr>
              <w:pStyle w:val="Paragraph"/>
              <w:contextualSpacing/>
            </w:pPr>
            <w:r>
              <w:t>-0.95</w:t>
            </w:r>
          </w:p>
        </w:tc>
        <w:tc>
          <w:tcPr>
            <w:tcW w:w="2056" w:type="dxa"/>
          </w:tcPr>
          <w:p w:rsidR="00400466" w:rsidRPr="00CF28C6" w:rsidRDefault="00400466" w:rsidP="006B5079">
            <w:pPr>
              <w:pStyle w:val="Paragraph"/>
              <w:contextualSpacing/>
            </w:pPr>
            <w:r w:rsidRPr="00CF28C6">
              <w:t> 27</w:t>
            </w:r>
            <w:r>
              <w:t>.</w:t>
            </w:r>
            <w:r w:rsidRPr="00CF28C6">
              <w:t>9</w:t>
            </w:r>
            <w:r>
              <w:t>%</w:t>
            </w:r>
          </w:p>
        </w:tc>
      </w:tr>
      <w:tr w:rsidR="00400466" w:rsidRPr="001447F7" w:rsidTr="006B5079">
        <w:trPr>
          <w:trHeight w:val="143"/>
        </w:trPr>
        <w:tc>
          <w:tcPr>
            <w:tcW w:w="872" w:type="dxa"/>
            <w:hideMark/>
          </w:tcPr>
          <w:p w:rsidR="00400466" w:rsidRPr="001447F7" w:rsidRDefault="00400466" w:rsidP="006B5079">
            <w:pPr>
              <w:pStyle w:val="Paragraph"/>
              <w:contextualSpacing/>
            </w:pPr>
            <w:r>
              <w:t>A</w:t>
            </w:r>
          </w:p>
        </w:tc>
        <w:tc>
          <w:tcPr>
            <w:tcW w:w="1608" w:type="dxa"/>
            <w:hideMark/>
          </w:tcPr>
          <w:p w:rsidR="00400466" w:rsidRPr="001447F7" w:rsidRDefault="00400466" w:rsidP="006B5079">
            <w:pPr>
              <w:pStyle w:val="Paragraph"/>
              <w:contextualSpacing/>
            </w:pPr>
            <w:r w:rsidRPr="001447F7">
              <w:t>11/19/201</w:t>
            </w:r>
            <w:r>
              <w:t>5</w:t>
            </w:r>
          </w:p>
        </w:tc>
        <w:tc>
          <w:tcPr>
            <w:tcW w:w="4538" w:type="dxa"/>
            <w:hideMark/>
          </w:tcPr>
          <w:p w:rsidR="00400466" w:rsidRPr="001447F7" w:rsidRDefault="00400466" w:rsidP="006B5079">
            <w:pPr>
              <w:pStyle w:val="Paragraph"/>
              <w:contextualSpacing/>
            </w:pPr>
            <w:r>
              <w:t>Opioid agonist</w:t>
            </w:r>
          </w:p>
        </w:tc>
        <w:tc>
          <w:tcPr>
            <w:tcW w:w="2393" w:type="dxa"/>
            <w:hideMark/>
          </w:tcPr>
          <w:p w:rsidR="00400466" w:rsidRPr="001447F7" w:rsidRDefault="00400466" w:rsidP="006B5079">
            <w:pPr>
              <w:pStyle w:val="Paragraph"/>
              <w:contextualSpacing/>
            </w:pPr>
            <w:r>
              <w:t>0.10</w:t>
            </w:r>
          </w:p>
        </w:tc>
        <w:tc>
          <w:tcPr>
            <w:tcW w:w="1515" w:type="dxa"/>
            <w:hideMark/>
          </w:tcPr>
          <w:p w:rsidR="00400466" w:rsidRPr="001447F7" w:rsidRDefault="00400466" w:rsidP="006B5079">
            <w:pPr>
              <w:pStyle w:val="Paragraph"/>
              <w:contextualSpacing/>
            </w:pPr>
            <w:r>
              <w:t>-0.85</w:t>
            </w:r>
          </w:p>
        </w:tc>
        <w:tc>
          <w:tcPr>
            <w:tcW w:w="2056" w:type="dxa"/>
          </w:tcPr>
          <w:p w:rsidR="00400466" w:rsidRPr="00CF28C6" w:rsidRDefault="00400466" w:rsidP="006B5079">
            <w:pPr>
              <w:pStyle w:val="Paragraph"/>
              <w:contextualSpacing/>
            </w:pPr>
            <w:r>
              <w:t>29.9%</w:t>
            </w:r>
          </w:p>
        </w:tc>
      </w:tr>
      <w:tr w:rsidR="00400466" w:rsidRPr="001447F7" w:rsidTr="006B5079">
        <w:trPr>
          <w:trHeight w:val="143"/>
        </w:trPr>
        <w:tc>
          <w:tcPr>
            <w:tcW w:w="872" w:type="dxa"/>
          </w:tcPr>
          <w:p w:rsidR="00400466" w:rsidRDefault="00400466" w:rsidP="006B5079">
            <w:pPr>
              <w:pStyle w:val="Paragraph"/>
              <w:contextualSpacing/>
            </w:pPr>
            <w:r>
              <w:t>A</w:t>
            </w:r>
          </w:p>
        </w:tc>
        <w:tc>
          <w:tcPr>
            <w:tcW w:w="1608" w:type="dxa"/>
          </w:tcPr>
          <w:p w:rsidR="00400466" w:rsidRPr="001447F7" w:rsidRDefault="00400466" w:rsidP="006B5079">
            <w:pPr>
              <w:pStyle w:val="Paragraph"/>
              <w:contextualSpacing/>
            </w:pPr>
            <w:r>
              <w:t>11/19/2015</w:t>
            </w:r>
          </w:p>
        </w:tc>
        <w:tc>
          <w:tcPr>
            <w:tcW w:w="4538" w:type="dxa"/>
          </w:tcPr>
          <w:p w:rsidR="00400466" w:rsidRDefault="00400466" w:rsidP="006B5079">
            <w:pPr>
              <w:pStyle w:val="Paragraph"/>
              <w:contextualSpacing/>
            </w:pPr>
            <w:r>
              <w:t>A</w:t>
            </w:r>
            <w:r w:rsidRPr="00B46D5E">
              <w:t>nti-infective combinations</w:t>
            </w:r>
          </w:p>
        </w:tc>
        <w:tc>
          <w:tcPr>
            <w:tcW w:w="2393" w:type="dxa"/>
          </w:tcPr>
          <w:p w:rsidR="00400466" w:rsidRDefault="00400466" w:rsidP="006B5079">
            <w:pPr>
              <w:pStyle w:val="Paragraph"/>
              <w:contextualSpacing/>
            </w:pPr>
            <w:r>
              <w:t>0.14</w:t>
            </w:r>
          </w:p>
        </w:tc>
        <w:tc>
          <w:tcPr>
            <w:tcW w:w="1515" w:type="dxa"/>
          </w:tcPr>
          <w:p w:rsidR="00400466" w:rsidRDefault="00400466" w:rsidP="006B5079">
            <w:pPr>
              <w:pStyle w:val="Paragraph"/>
              <w:contextualSpacing/>
            </w:pPr>
            <w:r>
              <w:t>-0.71</w:t>
            </w:r>
          </w:p>
        </w:tc>
        <w:tc>
          <w:tcPr>
            <w:tcW w:w="2056" w:type="dxa"/>
          </w:tcPr>
          <w:p w:rsidR="00400466" w:rsidRPr="00CF28C6" w:rsidRDefault="00400466" w:rsidP="006B5079">
            <w:pPr>
              <w:pStyle w:val="Paragraph"/>
              <w:contextualSpacing/>
            </w:pPr>
            <w:r>
              <w:t>33.0%</w:t>
            </w:r>
          </w:p>
        </w:tc>
      </w:tr>
      <w:tr w:rsidR="00400466" w:rsidRPr="001447F7" w:rsidTr="006B5079">
        <w:trPr>
          <w:trHeight w:val="143"/>
        </w:trPr>
        <w:tc>
          <w:tcPr>
            <w:tcW w:w="872" w:type="dxa"/>
            <w:hideMark/>
          </w:tcPr>
          <w:p w:rsidR="00400466" w:rsidRPr="001447F7" w:rsidRDefault="00400466" w:rsidP="006B5079">
            <w:pPr>
              <w:pStyle w:val="Paragraph"/>
              <w:contextualSpacing/>
            </w:pPr>
            <w:r>
              <w:t>A</w:t>
            </w:r>
          </w:p>
        </w:tc>
        <w:tc>
          <w:tcPr>
            <w:tcW w:w="1608" w:type="dxa"/>
            <w:hideMark/>
          </w:tcPr>
          <w:p w:rsidR="00400466" w:rsidRPr="001447F7" w:rsidRDefault="00400466" w:rsidP="006B5079">
            <w:pPr>
              <w:pStyle w:val="Paragraph"/>
              <w:contextualSpacing/>
            </w:pPr>
            <w:r>
              <w:t>3/30</w:t>
            </w:r>
            <w:r w:rsidRPr="001447F7">
              <w:t>/2016</w:t>
            </w:r>
          </w:p>
        </w:tc>
        <w:tc>
          <w:tcPr>
            <w:tcW w:w="4538" w:type="dxa"/>
            <w:hideMark/>
          </w:tcPr>
          <w:p w:rsidR="00400466" w:rsidRPr="001447F7" w:rsidRDefault="00400466" w:rsidP="006B5079">
            <w:pPr>
              <w:pStyle w:val="Paragraph"/>
              <w:contextualSpacing/>
            </w:pPr>
            <w:proofErr w:type="spellStart"/>
            <w:r>
              <w:t>Aminopenicillins</w:t>
            </w:r>
            <w:proofErr w:type="spellEnd"/>
          </w:p>
        </w:tc>
        <w:tc>
          <w:tcPr>
            <w:tcW w:w="2393" w:type="dxa"/>
            <w:hideMark/>
          </w:tcPr>
          <w:p w:rsidR="00400466" w:rsidRPr="001447F7" w:rsidRDefault="00400466" w:rsidP="006B5079">
            <w:pPr>
              <w:pStyle w:val="Paragraph"/>
              <w:contextualSpacing/>
            </w:pPr>
            <w:r w:rsidRPr="001447F7">
              <w:t>0.</w:t>
            </w:r>
            <w:r>
              <w:t>03</w:t>
            </w:r>
          </w:p>
        </w:tc>
        <w:tc>
          <w:tcPr>
            <w:tcW w:w="1515" w:type="dxa"/>
            <w:hideMark/>
          </w:tcPr>
          <w:p w:rsidR="00400466" w:rsidRPr="001447F7" w:rsidRDefault="00400466" w:rsidP="006B5079">
            <w:pPr>
              <w:pStyle w:val="Paragraph"/>
              <w:contextualSpacing/>
            </w:pPr>
            <w:r>
              <w:t>-0.68</w:t>
            </w:r>
          </w:p>
        </w:tc>
        <w:tc>
          <w:tcPr>
            <w:tcW w:w="2056" w:type="dxa"/>
          </w:tcPr>
          <w:p w:rsidR="00400466" w:rsidRPr="00CF28C6" w:rsidRDefault="00400466" w:rsidP="006B5079">
            <w:pPr>
              <w:pStyle w:val="Paragraph"/>
              <w:contextualSpacing/>
            </w:pPr>
            <w:r w:rsidRPr="00CF28C6">
              <w:t>33</w:t>
            </w:r>
            <w:r>
              <w:t>.</w:t>
            </w:r>
            <w:r w:rsidRPr="00CF28C6">
              <w:t>6</w:t>
            </w:r>
            <w:r>
              <w:t>%</w:t>
            </w:r>
          </w:p>
        </w:tc>
      </w:tr>
      <w:tr w:rsidR="00400466" w:rsidRPr="001447F7" w:rsidTr="006B5079">
        <w:trPr>
          <w:trHeight w:val="288"/>
        </w:trPr>
        <w:tc>
          <w:tcPr>
            <w:tcW w:w="872" w:type="dxa"/>
            <w:hideMark/>
          </w:tcPr>
          <w:p w:rsidR="00400466" w:rsidRPr="001447F7" w:rsidRDefault="00400466" w:rsidP="006B5079">
            <w:pPr>
              <w:pStyle w:val="Paragraph"/>
              <w:contextualSpacing/>
            </w:pPr>
            <w:r>
              <w:t>A</w:t>
            </w:r>
          </w:p>
        </w:tc>
        <w:tc>
          <w:tcPr>
            <w:tcW w:w="1608" w:type="dxa"/>
            <w:hideMark/>
          </w:tcPr>
          <w:p w:rsidR="00400466" w:rsidRPr="001447F7" w:rsidRDefault="00400466" w:rsidP="006B5079">
            <w:pPr>
              <w:pStyle w:val="Paragraph"/>
              <w:contextualSpacing/>
            </w:pPr>
            <w:r w:rsidRPr="001447F7">
              <w:t>12/2/2016</w:t>
            </w:r>
          </w:p>
        </w:tc>
        <w:tc>
          <w:tcPr>
            <w:tcW w:w="4538" w:type="dxa"/>
            <w:hideMark/>
          </w:tcPr>
          <w:p w:rsidR="00400466" w:rsidRPr="001447F7" w:rsidRDefault="00400466" w:rsidP="006B5079">
            <w:pPr>
              <w:pStyle w:val="Paragraph"/>
              <w:contextualSpacing/>
            </w:pPr>
            <w:r>
              <w:t xml:space="preserve">Secondary </w:t>
            </w:r>
            <w:proofErr w:type="spellStart"/>
            <w:r>
              <w:t>Malig</w:t>
            </w:r>
            <w:proofErr w:type="spellEnd"/>
            <w:r>
              <w:t xml:space="preserve">: </w:t>
            </w:r>
            <w:proofErr w:type="spellStart"/>
            <w:r>
              <w:t>Resp</w:t>
            </w:r>
            <w:proofErr w:type="spellEnd"/>
            <w:r>
              <w:t>/Dig. System</w:t>
            </w:r>
          </w:p>
        </w:tc>
        <w:tc>
          <w:tcPr>
            <w:tcW w:w="2393" w:type="dxa"/>
            <w:hideMark/>
          </w:tcPr>
          <w:p w:rsidR="00400466" w:rsidRPr="001447F7" w:rsidRDefault="00400466" w:rsidP="006B5079">
            <w:pPr>
              <w:pStyle w:val="Paragraph"/>
              <w:contextualSpacing/>
            </w:pPr>
            <w:r>
              <w:t>1.47</w:t>
            </w:r>
          </w:p>
        </w:tc>
        <w:tc>
          <w:tcPr>
            <w:tcW w:w="1515" w:type="dxa"/>
            <w:hideMark/>
          </w:tcPr>
          <w:p w:rsidR="00400466" w:rsidRPr="001447F7" w:rsidRDefault="00400466" w:rsidP="006B5079">
            <w:pPr>
              <w:pStyle w:val="Paragraph"/>
              <w:contextualSpacing/>
            </w:pPr>
            <w:r>
              <w:t>0.79</w:t>
            </w:r>
          </w:p>
        </w:tc>
        <w:tc>
          <w:tcPr>
            <w:tcW w:w="2056" w:type="dxa"/>
          </w:tcPr>
          <w:p w:rsidR="00400466" w:rsidRPr="00CF28C6" w:rsidRDefault="00400466" w:rsidP="006B5079">
            <w:pPr>
              <w:pStyle w:val="Paragraph"/>
              <w:contextualSpacing/>
            </w:pPr>
            <w:r w:rsidRPr="00CF28C6">
              <w:t>68</w:t>
            </w:r>
            <w:r>
              <w:t>.</w:t>
            </w:r>
            <w:r w:rsidRPr="00CF28C6">
              <w:t>8</w:t>
            </w:r>
            <w:r>
              <w:t>%</w:t>
            </w:r>
          </w:p>
        </w:tc>
      </w:tr>
      <w:tr w:rsidR="00400466" w:rsidRPr="001447F7" w:rsidTr="006B5079">
        <w:trPr>
          <w:trHeight w:val="164"/>
        </w:trPr>
        <w:tc>
          <w:tcPr>
            <w:tcW w:w="872" w:type="dxa"/>
            <w:hideMark/>
          </w:tcPr>
          <w:p w:rsidR="00400466" w:rsidRPr="00CF28C6" w:rsidRDefault="00400466" w:rsidP="006B5079">
            <w:pPr>
              <w:pStyle w:val="Paragraph"/>
              <w:contextualSpacing/>
              <w:rPr>
                <w:b/>
              </w:rPr>
            </w:pPr>
            <w:r w:rsidRPr="00CF28C6">
              <w:rPr>
                <w:b/>
              </w:rPr>
              <w:t>A</w:t>
            </w:r>
          </w:p>
        </w:tc>
        <w:tc>
          <w:tcPr>
            <w:tcW w:w="1608" w:type="dxa"/>
            <w:hideMark/>
          </w:tcPr>
          <w:p w:rsidR="00400466" w:rsidRPr="00CF28C6" w:rsidRDefault="00400466" w:rsidP="006B5079">
            <w:pPr>
              <w:pStyle w:val="Paragraph"/>
              <w:contextualSpacing/>
              <w:rPr>
                <w:b/>
              </w:rPr>
            </w:pPr>
            <w:r w:rsidRPr="00CF28C6">
              <w:rPr>
                <w:b/>
              </w:rPr>
              <w:t>12/2/2016</w:t>
            </w:r>
          </w:p>
        </w:tc>
        <w:tc>
          <w:tcPr>
            <w:tcW w:w="4538" w:type="dxa"/>
            <w:hideMark/>
          </w:tcPr>
          <w:p w:rsidR="00400466" w:rsidRPr="00CF28C6" w:rsidRDefault="00400466" w:rsidP="006B5079">
            <w:pPr>
              <w:pStyle w:val="Paragraph"/>
              <w:contextualSpacing/>
              <w:rPr>
                <w:b/>
              </w:rPr>
            </w:pPr>
            <w:r>
              <w:rPr>
                <w:b/>
              </w:rPr>
              <w:t xml:space="preserve">Cisplatin - </w:t>
            </w:r>
            <w:r w:rsidRPr="00CF28C6">
              <w:rPr>
                <w:b/>
                <w:bCs/>
              </w:rPr>
              <w:t>Adv</w:t>
            </w:r>
            <w:r>
              <w:rPr>
                <w:b/>
                <w:bCs/>
              </w:rPr>
              <w:t>anced</w:t>
            </w:r>
            <w:r w:rsidRPr="00CF28C6">
              <w:rPr>
                <w:b/>
                <w:bCs/>
              </w:rPr>
              <w:t>_indexdate</w:t>
            </w:r>
            <w:r>
              <w:rPr>
                <w:vertAlign w:val="superscript"/>
              </w:rPr>
              <w:t>2</w:t>
            </w:r>
          </w:p>
        </w:tc>
        <w:tc>
          <w:tcPr>
            <w:tcW w:w="2393" w:type="dxa"/>
            <w:hideMark/>
          </w:tcPr>
          <w:p w:rsidR="00400466" w:rsidRPr="00CF28C6" w:rsidRDefault="00400466" w:rsidP="006B5079">
            <w:pPr>
              <w:pStyle w:val="Paragraph"/>
              <w:contextualSpacing/>
              <w:rPr>
                <w:b/>
              </w:rPr>
            </w:pPr>
            <w:r w:rsidRPr="00CF28C6">
              <w:rPr>
                <w:b/>
              </w:rPr>
              <w:t>0.60</w:t>
            </w:r>
          </w:p>
        </w:tc>
        <w:tc>
          <w:tcPr>
            <w:tcW w:w="1515" w:type="dxa"/>
            <w:hideMark/>
          </w:tcPr>
          <w:p w:rsidR="00400466" w:rsidRPr="00CF28C6" w:rsidRDefault="00400466" w:rsidP="006B5079">
            <w:pPr>
              <w:pStyle w:val="Paragraph"/>
              <w:contextualSpacing/>
              <w:rPr>
                <w:b/>
              </w:rPr>
            </w:pPr>
            <w:r w:rsidRPr="00CF28C6">
              <w:rPr>
                <w:b/>
              </w:rPr>
              <w:t>1.39</w:t>
            </w:r>
          </w:p>
        </w:tc>
        <w:tc>
          <w:tcPr>
            <w:tcW w:w="2056" w:type="dxa"/>
            <w:hideMark/>
          </w:tcPr>
          <w:p w:rsidR="00400466" w:rsidRPr="00CF28C6" w:rsidRDefault="00400466" w:rsidP="006B5079">
            <w:pPr>
              <w:pStyle w:val="Paragraph"/>
              <w:contextualSpacing/>
              <w:rPr>
                <w:b/>
              </w:rPr>
            </w:pPr>
            <w:r w:rsidRPr="00CF28C6">
              <w:rPr>
                <w:b/>
                <w:bCs/>
              </w:rPr>
              <w:t>80</w:t>
            </w:r>
            <w:r>
              <w:rPr>
                <w:b/>
                <w:bCs/>
              </w:rPr>
              <w:t>.</w:t>
            </w:r>
            <w:r w:rsidRPr="00CF28C6">
              <w:rPr>
                <w:b/>
                <w:bCs/>
              </w:rPr>
              <w:t>0</w:t>
            </w:r>
            <w:r>
              <w:rPr>
                <w:b/>
                <w:bCs/>
              </w:rPr>
              <w:t>%</w:t>
            </w:r>
          </w:p>
        </w:tc>
      </w:tr>
      <w:tr w:rsidR="00400466" w:rsidRPr="001447F7" w:rsidTr="006B5079">
        <w:trPr>
          <w:trHeight w:val="164"/>
        </w:trPr>
        <w:tc>
          <w:tcPr>
            <w:tcW w:w="872" w:type="dxa"/>
          </w:tcPr>
          <w:p w:rsidR="00400466" w:rsidRDefault="00400466" w:rsidP="006B5079">
            <w:pPr>
              <w:pStyle w:val="Paragraph"/>
              <w:contextualSpacing/>
            </w:pPr>
            <w:r>
              <w:t>A</w:t>
            </w:r>
          </w:p>
        </w:tc>
        <w:tc>
          <w:tcPr>
            <w:tcW w:w="1608" w:type="dxa"/>
          </w:tcPr>
          <w:p w:rsidR="00400466" w:rsidRPr="001447F7" w:rsidRDefault="00400466" w:rsidP="006B5079">
            <w:pPr>
              <w:pStyle w:val="Paragraph"/>
              <w:contextualSpacing/>
            </w:pPr>
            <w:r>
              <w:t>3/9/2017</w:t>
            </w:r>
          </w:p>
        </w:tc>
        <w:tc>
          <w:tcPr>
            <w:tcW w:w="4538" w:type="dxa"/>
          </w:tcPr>
          <w:p w:rsidR="00400466" w:rsidRDefault="00400466" w:rsidP="006B5079">
            <w:pPr>
              <w:pStyle w:val="Paragraph"/>
              <w:contextualSpacing/>
            </w:pPr>
            <w:r>
              <w:t>Bevacizumab</w:t>
            </w:r>
          </w:p>
        </w:tc>
        <w:tc>
          <w:tcPr>
            <w:tcW w:w="2393" w:type="dxa"/>
          </w:tcPr>
          <w:p w:rsidR="00400466" w:rsidRPr="001447F7" w:rsidRDefault="00400466" w:rsidP="006B5079">
            <w:pPr>
              <w:pStyle w:val="Paragraph"/>
              <w:contextualSpacing/>
            </w:pPr>
            <w:r>
              <w:t>1.01</w:t>
            </w:r>
          </w:p>
        </w:tc>
        <w:tc>
          <w:tcPr>
            <w:tcW w:w="1515" w:type="dxa"/>
          </w:tcPr>
          <w:p w:rsidR="00400466" w:rsidRPr="001447F7" w:rsidRDefault="00400466" w:rsidP="006B5079">
            <w:pPr>
              <w:pStyle w:val="Paragraph"/>
              <w:contextualSpacing/>
            </w:pPr>
            <w:r>
              <w:t>2.4</w:t>
            </w:r>
          </w:p>
        </w:tc>
        <w:tc>
          <w:tcPr>
            <w:tcW w:w="2056" w:type="dxa"/>
          </w:tcPr>
          <w:p w:rsidR="00400466" w:rsidRPr="00CF28C6" w:rsidRDefault="00400466" w:rsidP="006B5079">
            <w:pPr>
              <w:pStyle w:val="Paragraph"/>
              <w:contextualSpacing/>
            </w:pPr>
            <w:r w:rsidRPr="00CF28C6">
              <w:t>91</w:t>
            </w:r>
            <w:r>
              <w:t>.</w:t>
            </w:r>
            <w:r w:rsidRPr="00CF28C6">
              <w:t>6</w:t>
            </w:r>
            <w:r>
              <w:t>%</w:t>
            </w:r>
          </w:p>
        </w:tc>
      </w:tr>
    </w:tbl>
    <w:p w:rsidR="00400466" w:rsidRDefault="00400466" w:rsidP="00400466">
      <w:pPr>
        <w:pStyle w:val="Paragraph"/>
        <w:contextualSpacing/>
      </w:pPr>
      <w:r>
        <w:rPr>
          <w:noProof/>
          <w:szCs w:val="20"/>
          <w:lang w:val="en-PH" w:eastAsia="en-PH"/>
        </w:rPr>
        <mc:AlternateContent>
          <mc:Choice Requires="wps">
            <w:drawing>
              <wp:anchor distT="0" distB="0" distL="114300" distR="114300" simplePos="0" relativeHeight="251664384" behindDoc="0" locked="0" layoutInCell="1" allowOverlap="1" wp14:anchorId="65E7227C" wp14:editId="6F22D09A">
                <wp:simplePos x="0" y="0"/>
                <wp:positionH relativeFrom="margin">
                  <wp:align>right</wp:align>
                </wp:positionH>
                <wp:positionV relativeFrom="paragraph">
                  <wp:posOffset>5716</wp:posOffset>
                </wp:positionV>
                <wp:extent cx="8210550" cy="866775"/>
                <wp:effectExtent l="0" t="0" r="19050" b="28575"/>
                <wp:wrapNone/>
                <wp:docPr id="13"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B00-000002000000}"/>
                    </a:ext>
                  </a:extLst>
                </wp:docPr>
                <wp:cNvGraphicFramePr/>
                <a:graphic xmlns:a="http://schemas.openxmlformats.org/drawingml/2006/main">
                  <a:graphicData uri="http://schemas.microsoft.com/office/word/2010/wordprocessingShape">
                    <wps:wsp>
                      <wps:cNvSpPr txBox="1"/>
                      <wps:spPr>
                        <a:xfrm>
                          <a:off x="0" y="0"/>
                          <a:ext cx="8210550" cy="866775"/>
                        </a:xfrm>
                        <a:prstGeom prst="rect">
                          <a:avLst/>
                        </a:prstGeom>
                        <a:solidFill>
                          <a:sysClr val="window" lastClr="FFFFFF"/>
                        </a:solidFill>
                        <a:ln w="9525" cmpd="sng">
                          <a:solidFill>
                            <a:sysClr val="window" lastClr="FFFFFF">
                              <a:shade val="50000"/>
                            </a:sysClr>
                          </a:solidFill>
                        </a:ln>
                        <a:effectLst/>
                      </wps:spPr>
                      <wps:txbx>
                        <w:txbxContent>
                          <w:p w:rsidR="00400466" w:rsidRPr="0011520F" w:rsidRDefault="00400466" w:rsidP="00400466">
                            <w:pPr>
                              <w:pStyle w:val="BodyText"/>
                              <w:jc w:val="left"/>
                              <w:rPr>
                                <w:sz w:val="22"/>
                                <w:szCs w:val="22"/>
                              </w:rPr>
                            </w:pPr>
                            <w:proofErr w:type="gramStart"/>
                            <w:r w:rsidRPr="0011520F">
                              <w:rPr>
                                <w:sz w:val="22"/>
                                <w:szCs w:val="22"/>
                              </w:rPr>
                              <w:t>1</w:t>
                            </w:r>
                            <w:proofErr w:type="gramEnd"/>
                            <w:r w:rsidRPr="0011520F">
                              <w:rPr>
                                <w:sz w:val="22"/>
                                <w:szCs w:val="22"/>
                              </w:rPr>
                              <w:t>: Coefficient from predictive model algorithm for advanced stage ovarian cancer</w:t>
                            </w:r>
                          </w:p>
                          <w:p w:rsidR="00400466" w:rsidRDefault="00400466" w:rsidP="00400466">
                            <w:pPr>
                              <w:pStyle w:val="NormalWeb"/>
                              <w:spacing w:before="0" w:beforeAutospacing="0" w:after="0" w:afterAutospacing="0"/>
                            </w:pPr>
                            <w:proofErr w:type="gramStart"/>
                            <w:r w:rsidRPr="0011520F">
                              <w:rPr>
                                <w:sz w:val="22"/>
                                <w:szCs w:val="22"/>
                              </w:rPr>
                              <w:t>2</w:t>
                            </w:r>
                            <w:proofErr w:type="gramEnd"/>
                            <w:r w:rsidRPr="0011520F">
                              <w:rPr>
                                <w:sz w:val="22"/>
                                <w:szCs w:val="22"/>
                              </w:rPr>
                              <w:t xml:space="preserve">: The </w:t>
                            </w:r>
                            <w:r>
                              <w:rPr>
                                <w:sz w:val="22"/>
                                <w:szCs w:val="22"/>
                              </w:rPr>
                              <w:t xml:space="preserve">hypothetical </w:t>
                            </w:r>
                            <w:r w:rsidRPr="0011520F">
                              <w:rPr>
                                <w:sz w:val="22"/>
                                <w:szCs w:val="22"/>
                              </w:rPr>
                              <w:t>patient in the table above was defined as having advanced stage ovarian cancer when the model reached the threshold of 80% probability that the patient has advanced stage ovarian cancer on 12/2/2016 when they initiated cisplatin. This date is their advanced stage index date.</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E7227C" id="_x0000_s1027" type="#_x0000_t202" style="position:absolute;margin-left:595.3pt;margin-top:.45pt;width:646.5pt;height:68.2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" fillcolor="window" strokecolor="#bcbcbc">
                <v:textbox>
                  <w:txbxContent>
                    <w:p w:rsidR="00400466" w:rsidRPr="0011520F" w:rsidRDefault="00400466" w:rsidP="00400466">
                      <w:pPr>
                        <w:pStyle w:val="BodyText"/>
                        <w:jc w:val="left"/>
                        <w:rPr>
                          <w:sz w:val="22"/>
                          <w:szCs w:val="22"/>
                        </w:rPr>
                      </w:pPr>
                      <w:r w:rsidRPr="0011520F">
                        <w:rPr>
                          <w:sz w:val="22"/>
                          <w:szCs w:val="22"/>
                        </w:rPr>
                        <w:t>1: Coefficient from predictive model algorithm for advanced stage ovarian cancer</w:t>
                      </w:r>
                    </w:p>
                    <w:p w:rsidR="00400466" w:rsidRDefault="00400466" w:rsidP="00400466">
                      <w:pPr>
                        <w:pStyle w:val="NormalWeb"/>
                        <w:spacing w:before="0" w:beforeAutospacing="0" w:after="0" w:afterAutospacing="0"/>
                      </w:pPr>
                      <w:r w:rsidRPr="0011520F">
                        <w:rPr>
                          <w:sz w:val="22"/>
                          <w:szCs w:val="22"/>
                        </w:rPr>
                        <w:t xml:space="preserve">2: The </w:t>
                      </w:r>
                      <w:r>
                        <w:rPr>
                          <w:sz w:val="22"/>
                          <w:szCs w:val="22"/>
                        </w:rPr>
                        <w:t xml:space="preserve">hypothetical </w:t>
                      </w:r>
                      <w:r w:rsidRPr="0011520F">
                        <w:rPr>
                          <w:sz w:val="22"/>
                          <w:szCs w:val="22"/>
                        </w:rPr>
                        <w:t>patient in the table above was defined as having advanced stage ovarian cancer when the model reached the threshold of 80% probability that the patient has advanced stage ovarian cancer on 12/2/2016 when they initiated cisplatin. This date is their advanced stage index date.</w:t>
                      </w:r>
                    </w:p>
                  </w:txbxContent>
                </v:textbox>
                <w10:wrap anchorx="margin"/>
              </v:shape>
            </w:pict>
          </mc:Fallback>
        </mc:AlternateContent>
      </w:r>
      <w:r w:rsidRPr="0053018D">
        <w:rPr>
          <w:noProof/>
        </w:rPr>
        <w:t xml:space="preserve"> </w:t>
      </w:r>
    </w:p>
    <w:p w:rsidR="00400466" w:rsidRDefault="00400466" w:rsidP="0040046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rsidR="00400466" w:rsidRPr="00140B65" w:rsidRDefault="00400466" w:rsidP="00400466">
      <w:pPr>
        <w:rPr>
          <w:rFonts w:ascii="Times New Roman" w:eastAsia="Times New Roman" w:hAnsi="Times New Roman" w:cs="Times New Roman"/>
          <w:b/>
          <w:bCs/>
          <w:color w:val="000000"/>
          <w:sz w:val="24"/>
          <w:szCs w:val="24"/>
        </w:rPr>
      </w:pPr>
      <w:proofErr w:type="gramStart"/>
      <w:r w:rsidRPr="00140B65">
        <w:rPr>
          <w:rFonts w:ascii="Times New Roman" w:eastAsia="Times New Roman" w:hAnsi="Times New Roman" w:cs="Times New Roman"/>
          <w:b/>
          <w:bCs/>
          <w:color w:val="000000"/>
          <w:sz w:val="24"/>
          <w:szCs w:val="24"/>
        </w:rPr>
        <w:lastRenderedPageBreak/>
        <w:t xml:space="preserve">Supplemental Table </w:t>
      </w:r>
      <w:r>
        <w:rPr>
          <w:rFonts w:ascii="Times New Roman" w:eastAsia="Times New Roman" w:hAnsi="Times New Roman" w:cs="Times New Roman"/>
          <w:b/>
          <w:bCs/>
          <w:color w:val="000000"/>
          <w:sz w:val="24"/>
          <w:szCs w:val="24"/>
        </w:rPr>
        <w:t>3</w:t>
      </w:r>
      <w:r w:rsidRPr="00140B65">
        <w:rPr>
          <w:rFonts w:ascii="Times New Roman" w:eastAsia="Times New Roman" w:hAnsi="Times New Roman" w:cs="Times New Roman"/>
          <w:b/>
          <w:bCs/>
          <w:color w:val="000000"/>
          <w:sz w:val="24"/>
          <w:szCs w:val="24"/>
        </w:rPr>
        <w:t>.</w:t>
      </w:r>
      <w:proofErr w:type="gramEnd"/>
      <w:r w:rsidRPr="00140B65">
        <w:rPr>
          <w:rFonts w:ascii="Times New Roman" w:eastAsia="Times New Roman" w:hAnsi="Times New Roman" w:cs="Times New Roman"/>
          <w:b/>
          <w:bCs/>
          <w:color w:val="000000"/>
          <w:sz w:val="24"/>
          <w:szCs w:val="24"/>
        </w:rPr>
        <w:t xml:space="preserve"> Top 25 most common prescribed medication among 12,659 advanced stage ovarian cancer patients, 12 months before and after their advanced stage ovarian cancer date</w:t>
      </w:r>
      <w:r w:rsidRPr="00140B65">
        <w:rPr>
          <w:rFonts w:ascii="Times New Roman" w:eastAsia="Times New Roman" w:hAnsi="Times New Roman" w:cs="Times New Roman"/>
          <w:b/>
          <w:bCs/>
          <w:color w:val="000000"/>
          <w:sz w:val="24"/>
          <w:szCs w:val="24"/>
          <w:vertAlign w:val="superscript"/>
        </w:rPr>
        <w:t>1</w:t>
      </w:r>
      <w:proofErr w:type="gramStart"/>
      <w:r w:rsidRPr="00140B65">
        <w:rPr>
          <w:rFonts w:ascii="Times New Roman" w:eastAsia="Times New Roman" w:hAnsi="Times New Roman" w:cs="Times New Roman"/>
          <w:b/>
          <w:bCs/>
          <w:color w:val="000000"/>
          <w:sz w:val="24"/>
          <w:szCs w:val="24"/>
          <w:vertAlign w:val="superscript"/>
        </w:rPr>
        <w:t>,2</w:t>
      </w:r>
      <w:proofErr w:type="gramEnd"/>
    </w:p>
    <w:tbl>
      <w:tblPr>
        <w:tblW w:w="9980" w:type="dxa"/>
        <w:tblLook w:val="04A0" w:firstRow="1" w:lastRow="0" w:firstColumn="1" w:lastColumn="0" w:noHBand="0" w:noVBand="1"/>
      </w:tblPr>
      <w:tblGrid>
        <w:gridCol w:w="1192"/>
        <w:gridCol w:w="6808"/>
        <w:gridCol w:w="656"/>
        <w:gridCol w:w="1736"/>
      </w:tblGrid>
      <w:tr w:rsidR="00400466" w:rsidRPr="00FC5DB4" w:rsidTr="006B5079">
        <w:trPr>
          <w:trHeight w:val="315"/>
        </w:trPr>
        <w:tc>
          <w:tcPr>
            <w:tcW w:w="9980" w:type="dxa"/>
            <w:gridSpan w:val="4"/>
            <w:tcBorders>
              <w:top w:val="single" w:sz="8" w:space="0" w:color="auto"/>
              <w:left w:val="single" w:sz="8" w:space="0" w:color="auto"/>
              <w:bottom w:val="single" w:sz="8" w:space="0" w:color="auto"/>
              <w:right w:val="single" w:sz="8" w:space="0" w:color="000000"/>
            </w:tcBorders>
            <w:shd w:val="clear" w:color="000000" w:fill="D9D9D9"/>
            <w:noWrap/>
            <w:vAlign w:val="bottom"/>
            <w:hideMark/>
          </w:tcPr>
          <w:p w:rsidR="00400466" w:rsidRPr="00FC5DB4" w:rsidRDefault="00400466" w:rsidP="006B5079">
            <w:pPr>
              <w:spacing w:after="0" w:line="240" w:lineRule="auto"/>
              <w:jc w:val="center"/>
              <w:rPr>
                <w:rFonts w:ascii="Times New Roman" w:eastAsia="Times New Roman" w:hAnsi="Times New Roman" w:cs="Times New Roman"/>
                <w:b/>
                <w:bCs/>
                <w:color w:val="000000"/>
              </w:rPr>
            </w:pPr>
            <w:r w:rsidRPr="00FC5DB4">
              <w:rPr>
                <w:rFonts w:ascii="Times New Roman" w:eastAsia="Times New Roman" w:hAnsi="Times New Roman" w:cs="Times New Roman"/>
                <w:b/>
                <w:bCs/>
                <w:color w:val="000000"/>
              </w:rPr>
              <w:t xml:space="preserve">12 months prior to </w:t>
            </w:r>
            <w:r>
              <w:rPr>
                <w:rFonts w:ascii="Times New Roman" w:eastAsia="Times New Roman" w:hAnsi="Times New Roman" w:cs="Times New Roman"/>
                <w:b/>
                <w:bCs/>
                <w:color w:val="000000"/>
              </w:rPr>
              <w:t>advanced stage date</w:t>
            </w:r>
          </w:p>
        </w:tc>
      </w:tr>
      <w:tr w:rsidR="00400466" w:rsidRPr="00FC5DB4" w:rsidTr="006B5079">
        <w:trPr>
          <w:trHeight w:val="315"/>
        </w:trPr>
        <w:tc>
          <w:tcPr>
            <w:tcW w:w="1192" w:type="dxa"/>
            <w:tcBorders>
              <w:top w:val="nil"/>
              <w:left w:val="single" w:sz="8" w:space="0" w:color="auto"/>
              <w:bottom w:val="single" w:sz="8" w:space="0" w:color="auto"/>
              <w:right w:val="nil"/>
            </w:tcBorders>
            <w:shd w:val="clear" w:color="000000" w:fill="F2F2F2"/>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bookmarkStart w:id="3" w:name="RANGE!A4:D56"/>
            <w:r w:rsidRPr="00FC5DB4">
              <w:rPr>
                <w:rFonts w:ascii="Times New Roman" w:eastAsia="Times New Roman" w:hAnsi="Times New Roman" w:cs="Times New Roman"/>
                <w:color w:val="000000"/>
              </w:rPr>
              <w:t>GPI Code</w:t>
            </w:r>
            <w:bookmarkEnd w:id="3"/>
          </w:p>
        </w:tc>
        <w:tc>
          <w:tcPr>
            <w:tcW w:w="6808" w:type="dxa"/>
            <w:tcBorders>
              <w:top w:val="nil"/>
              <w:left w:val="nil"/>
              <w:bottom w:val="single" w:sz="8" w:space="0" w:color="auto"/>
              <w:right w:val="nil"/>
            </w:tcBorders>
            <w:shd w:val="clear" w:color="000000" w:fill="F2F2F2"/>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Description</w:t>
            </w:r>
          </w:p>
        </w:tc>
        <w:tc>
          <w:tcPr>
            <w:tcW w:w="244" w:type="dxa"/>
            <w:tcBorders>
              <w:top w:val="nil"/>
              <w:left w:val="nil"/>
              <w:bottom w:val="single" w:sz="8" w:space="0" w:color="auto"/>
              <w:right w:val="nil"/>
            </w:tcBorders>
            <w:shd w:val="clear" w:color="000000" w:fill="F2F2F2"/>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N</w:t>
            </w:r>
          </w:p>
        </w:tc>
        <w:tc>
          <w:tcPr>
            <w:tcW w:w="1736" w:type="dxa"/>
            <w:tcBorders>
              <w:top w:val="nil"/>
              <w:left w:val="nil"/>
              <w:bottom w:val="single" w:sz="8" w:space="0" w:color="auto"/>
              <w:right w:val="single" w:sz="8" w:space="0" w:color="auto"/>
            </w:tcBorders>
            <w:shd w:val="clear" w:color="000000" w:fill="F2F2F2"/>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6599</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*Opioid Combinations**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5263</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41.58</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0500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*Fluoroquinolones**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3349</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26.46</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2210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Glucocorticosteroids</w:t>
            </w:r>
            <w:proofErr w:type="spellEnd"/>
            <w:r w:rsidRPr="00FC5DB4">
              <w:rPr>
                <w:rFonts w:ascii="Times New Roman" w:eastAsia="Times New Roman" w:hAnsi="Times New Roman" w:cs="Times New Roman"/>
                <w:color w:val="000000"/>
              </w:rPr>
              <w:t>**</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3146</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24.85</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3940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*HMG CoA Reductase Inhibitors**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3015</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23.82</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5710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*Benzodiazepines**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2960</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23.38</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4927</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*Proton Pump Inhibitors**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2570</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20.30</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5025</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*5-HT3 Receptor Antagonists**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2492</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19.69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6610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*Nonsteroidal Anti-inflammatory Agents (NSAIDs)**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2417</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19.09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6510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*Opioid Agonists**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2310</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18.25</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0340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*Azithromycin**</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2109</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16.66</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2810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*Thyroid Hormones**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1982</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15.66</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5816</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*Selective Serotonin Reuptake Inhibitors (SSRIs)**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1943</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15.35</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3320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*Beta Blockers Cardio-Selective**</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1913</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15.11</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5920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Phenothiazines</w:t>
            </w:r>
            <w:proofErr w:type="spellEnd"/>
            <w:r w:rsidRPr="00FC5DB4">
              <w:rPr>
                <w:rFonts w:ascii="Times New Roman" w:eastAsia="Times New Roman" w:hAnsi="Times New Roman" w:cs="Times New Roman"/>
                <w:color w:val="000000"/>
              </w:rPr>
              <w:t>**</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1751</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13.83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3610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*ACE Inhibitors**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1614</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12.75</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3400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*Calcium Channel Blockers**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1505</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11.89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4420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Sympathomimetics</w:t>
            </w:r>
            <w:proofErr w:type="spellEnd"/>
            <w:r w:rsidRPr="00FC5DB4">
              <w:rPr>
                <w:rFonts w:ascii="Times New Roman" w:eastAsia="Times New Roman" w:hAnsi="Times New Roman" w:cs="Times New Roman"/>
                <w:color w:val="000000"/>
              </w:rPr>
              <w:t>**</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1487</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11.75</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4699</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*Laxative Combinations**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1425</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11.26</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0210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Cephalosporins</w:t>
            </w:r>
            <w:proofErr w:type="spellEnd"/>
            <w:r w:rsidRPr="00FC5DB4">
              <w:rPr>
                <w:rFonts w:ascii="Times New Roman" w:eastAsia="Times New Roman" w:hAnsi="Times New Roman" w:cs="Times New Roman"/>
                <w:color w:val="000000"/>
              </w:rPr>
              <w:t xml:space="preserve"> - 1st Generation**</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1398</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11.04</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6020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*Non-Barbiturate Hypnotics**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1384</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10.93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7260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*Anticonvulsants - Misc.**</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1356</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10.71</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0120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Aminopenicillins</w:t>
            </w:r>
            <w:proofErr w:type="spellEnd"/>
            <w:r w:rsidRPr="00FC5DB4">
              <w:rPr>
                <w:rFonts w:ascii="Times New Roman" w:eastAsia="Times New Roman" w:hAnsi="Times New Roman" w:cs="Times New Roman"/>
                <w:color w:val="000000"/>
              </w:rPr>
              <w:t>**</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1328</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10.49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1699</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*Anti-infective Misc. - Combinations**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1283</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10.14</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3699</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*Antihypertensive Combinations**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1248</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9.86</w:t>
            </w:r>
          </w:p>
        </w:tc>
      </w:tr>
      <w:tr w:rsidR="00400466" w:rsidRPr="00FC5DB4" w:rsidTr="006B5079">
        <w:trPr>
          <w:trHeight w:val="315"/>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7970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*Potassium**</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1219</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9.63</w:t>
            </w:r>
          </w:p>
        </w:tc>
      </w:tr>
      <w:tr w:rsidR="00400466" w:rsidRPr="00FC5DB4" w:rsidTr="006B5079">
        <w:trPr>
          <w:trHeight w:val="315"/>
        </w:trPr>
        <w:tc>
          <w:tcPr>
            <w:tcW w:w="9980" w:type="dxa"/>
            <w:gridSpan w:val="4"/>
            <w:tcBorders>
              <w:top w:val="single" w:sz="8" w:space="0" w:color="auto"/>
              <w:left w:val="single" w:sz="8" w:space="0" w:color="auto"/>
              <w:bottom w:val="single" w:sz="8" w:space="0" w:color="auto"/>
              <w:right w:val="single" w:sz="8" w:space="0" w:color="000000"/>
            </w:tcBorders>
            <w:shd w:val="clear" w:color="000000" w:fill="D9D9D9"/>
            <w:noWrap/>
            <w:vAlign w:val="bottom"/>
            <w:hideMark/>
          </w:tcPr>
          <w:p w:rsidR="00400466" w:rsidRPr="00FC5DB4" w:rsidRDefault="00400466" w:rsidP="006B5079">
            <w:pPr>
              <w:spacing w:after="0" w:line="240" w:lineRule="auto"/>
              <w:jc w:val="center"/>
              <w:rPr>
                <w:rFonts w:ascii="Times New Roman" w:eastAsia="Times New Roman" w:hAnsi="Times New Roman" w:cs="Times New Roman"/>
                <w:b/>
                <w:bCs/>
                <w:color w:val="000000"/>
              </w:rPr>
            </w:pPr>
            <w:r w:rsidRPr="00FC5DB4">
              <w:rPr>
                <w:rFonts w:ascii="Times New Roman" w:eastAsia="Times New Roman" w:hAnsi="Times New Roman" w:cs="Times New Roman"/>
                <w:b/>
                <w:bCs/>
                <w:color w:val="000000"/>
              </w:rPr>
              <w:t xml:space="preserve">12 months after </w:t>
            </w:r>
            <w:r>
              <w:rPr>
                <w:rFonts w:ascii="Times New Roman" w:eastAsia="Times New Roman" w:hAnsi="Times New Roman" w:cs="Times New Roman"/>
                <w:b/>
                <w:bCs/>
                <w:color w:val="000000"/>
              </w:rPr>
              <w:t>advanced stage date</w:t>
            </w:r>
          </w:p>
        </w:tc>
      </w:tr>
      <w:tr w:rsidR="00400466" w:rsidRPr="00FC5DB4" w:rsidTr="006B5079">
        <w:trPr>
          <w:trHeight w:val="315"/>
        </w:trPr>
        <w:tc>
          <w:tcPr>
            <w:tcW w:w="1192" w:type="dxa"/>
            <w:tcBorders>
              <w:top w:val="nil"/>
              <w:left w:val="single" w:sz="8" w:space="0" w:color="auto"/>
              <w:bottom w:val="single" w:sz="8" w:space="0" w:color="auto"/>
              <w:right w:val="nil"/>
            </w:tcBorders>
            <w:shd w:val="clear" w:color="000000" w:fill="F2F2F2"/>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lastRenderedPageBreak/>
              <w:t>GPI Code</w:t>
            </w:r>
          </w:p>
        </w:tc>
        <w:tc>
          <w:tcPr>
            <w:tcW w:w="6808" w:type="dxa"/>
            <w:tcBorders>
              <w:top w:val="nil"/>
              <w:left w:val="nil"/>
              <w:bottom w:val="single" w:sz="8" w:space="0" w:color="auto"/>
              <w:right w:val="nil"/>
            </w:tcBorders>
            <w:shd w:val="clear" w:color="000000" w:fill="F2F2F2"/>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Description</w:t>
            </w:r>
          </w:p>
        </w:tc>
        <w:tc>
          <w:tcPr>
            <w:tcW w:w="244" w:type="dxa"/>
            <w:tcBorders>
              <w:top w:val="nil"/>
              <w:left w:val="nil"/>
              <w:bottom w:val="single" w:sz="8" w:space="0" w:color="auto"/>
              <w:right w:val="nil"/>
            </w:tcBorders>
            <w:shd w:val="clear" w:color="000000" w:fill="F2F2F2"/>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N</w:t>
            </w:r>
          </w:p>
        </w:tc>
        <w:tc>
          <w:tcPr>
            <w:tcW w:w="1736" w:type="dxa"/>
            <w:tcBorders>
              <w:top w:val="nil"/>
              <w:left w:val="nil"/>
              <w:bottom w:val="single" w:sz="8" w:space="0" w:color="auto"/>
              <w:right w:val="single" w:sz="8" w:space="0" w:color="auto"/>
            </w:tcBorders>
            <w:shd w:val="clear" w:color="000000" w:fill="F2F2F2"/>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6599</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*Opioid Combinations**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5863</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46.31</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5025</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*5-HT3 Receptor Antagonists**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4692</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37.06</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2210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Glucocorticosteroids</w:t>
            </w:r>
            <w:proofErr w:type="spellEnd"/>
            <w:r w:rsidRPr="00FC5DB4">
              <w:rPr>
                <w:rFonts w:ascii="Times New Roman" w:eastAsia="Times New Roman" w:hAnsi="Times New Roman" w:cs="Times New Roman"/>
                <w:color w:val="000000"/>
              </w:rPr>
              <w:t>**</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4371</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34.53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5710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*Benzodiazepines**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3897</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30.78</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6510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*Opioid Agonists**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3636</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28.72</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0500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*Fluoroquinolones**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3434</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27.13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5920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Phenothiazines</w:t>
            </w:r>
            <w:proofErr w:type="spellEnd"/>
            <w:r w:rsidRPr="00FC5DB4">
              <w:rPr>
                <w:rFonts w:ascii="Times New Roman" w:eastAsia="Times New Roman" w:hAnsi="Times New Roman" w:cs="Times New Roman"/>
                <w:color w:val="000000"/>
              </w:rPr>
              <w:t>**</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3414</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26.97</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4927</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*Proton Pump Inhibitors**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2948</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23.29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3940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*HMG CoA Reductase Inhibitors**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2414</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19.07</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6610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*Nonsteroidal Anti-inflammatory Agents (NSAIDs)**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2385</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18.84</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8310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*Heparins And Heparinoid-Like Agents**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2158</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17.05</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5816</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*Selective Serotonin Reuptake Inhibitors (SSRIs)**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2107</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16.64</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3320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*Beta Blockers Cardio-Selective**</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2015</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15.92</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7260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*Anticonvulsants - Misc.**</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1950</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15.40</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2810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*Thyroid Hormones**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1898</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14.99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9085</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*Local Anesthetics - Topical**</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1860</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14.69</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7970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*Potassium**</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1835</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14.50</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0340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*Azithromycin**</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1719</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13.58</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0210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Cephalosporins</w:t>
            </w:r>
            <w:proofErr w:type="spellEnd"/>
            <w:r w:rsidRPr="00FC5DB4">
              <w:rPr>
                <w:rFonts w:ascii="Times New Roman" w:eastAsia="Times New Roman" w:hAnsi="Times New Roman" w:cs="Times New Roman"/>
                <w:color w:val="000000"/>
              </w:rPr>
              <w:t xml:space="preserve"> - 1st Generation**</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1662</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13.13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6020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*Non-Barbiturate Hypnotics**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1662</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13.13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3720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*Loop Diuretics**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1472</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11.63</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3400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*Calcium Channel Blockers**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1463</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11.56</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1699</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*Anti-infective Misc. - Combinations**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1436</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11.34</w:t>
            </w:r>
          </w:p>
        </w:tc>
      </w:tr>
      <w:tr w:rsidR="00400466" w:rsidRPr="00FC5DB4" w:rsidTr="006B5079">
        <w:trPr>
          <w:trHeight w:val="300"/>
        </w:trPr>
        <w:tc>
          <w:tcPr>
            <w:tcW w:w="1192" w:type="dxa"/>
            <w:tcBorders>
              <w:top w:val="nil"/>
              <w:left w:val="single" w:sz="8" w:space="0" w:color="auto"/>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3610</w:t>
            </w:r>
          </w:p>
        </w:tc>
        <w:tc>
          <w:tcPr>
            <w:tcW w:w="6808"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*ACE Inhibitors**</w:t>
            </w:r>
          </w:p>
        </w:tc>
        <w:tc>
          <w:tcPr>
            <w:tcW w:w="244" w:type="dxa"/>
            <w:tcBorders>
              <w:top w:val="nil"/>
              <w:left w:val="nil"/>
              <w:bottom w:val="nil"/>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1379</w:t>
            </w:r>
          </w:p>
        </w:tc>
        <w:tc>
          <w:tcPr>
            <w:tcW w:w="1736" w:type="dxa"/>
            <w:tcBorders>
              <w:top w:val="nil"/>
              <w:left w:val="nil"/>
              <w:bottom w:val="nil"/>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10.89</w:t>
            </w:r>
          </w:p>
        </w:tc>
      </w:tr>
      <w:tr w:rsidR="00400466" w:rsidRPr="00FC5DB4" w:rsidTr="006B5079">
        <w:trPr>
          <w:trHeight w:val="315"/>
        </w:trPr>
        <w:tc>
          <w:tcPr>
            <w:tcW w:w="1192" w:type="dxa"/>
            <w:tcBorders>
              <w:top w:val="nil"/>
              <w:left w:val="single" w:sz="8" w:space="0" w:color="auto"/>
              <w:bottom w:val="single" w:sz="8" w:space="0" w:color="auto"/>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4420</w:t>
            </w:r>
          </w:p>
        </w:tc>
        <w:tc>
          <w:tcPr>
            <w:tcW w:w="6808" w:type="dxa"/>
            <w:tcBorders>
              <w:top w:val="nil"/>
              <w:left w:val="nil"/>
              <w:bottom w:val="single" w:sz="8" w:space="0" w:color="auto"/>
              <w:right w:val="nil"/>
            </w:tcBorders>
            <w:shd w:val="clear" w:color="auto" w:fill="auto"/>
            <w:noWrap/>
            <w:vAlign w:val="bottom"/>
            <w:hideMark/>
          </w:tcPr>
          <w:p w:rsidR="00400466" w:rsidRPr="00FC5DB4" w:rsidRDefault="00400466" w:rsidP="006B5079">
            <w:pPr>
              <w:spacing w:after="0" w:line="240" w:lineRule="auto"/>
              <w:rPr>
                <w:rFonts w:ascii="Times New Roman" w:eastAsia="Times New Roman" w:hAnsi="Times New Roman" w:cs="Times New Roman"/>
                <w:color w:val="000000"/>
              </w:rPr>
            </w:pPr>
            <w:r w:rsidRPr="00FC5DB4">
              <w:rPr>
                <w:rFonts w:ascii="Times New Roman" w:eastAsia="Times New Roman" w:hAnsi="Times New Roman" w:cs="Times New Roman"/>
                <w:color w:val="000000"/>
              </w:rPr>
              <w:t>*</w:t>
            </w:r>
            <w:proofErr w:type="spellStart"/>
            <w:r w:rsidRPr="00FC5DB4">
              <w:rPr>
                <w:rFonts w:ascii="Times New Roman" w:eastAsia="Times New Roman" w:hAnsi="Times New Roman" w:cs="Times New Roman"/>
                <w:color w:val="000000"/>
              </w:rPr>
              <w:t>Sympathomimetics</w:t>
            </w:r>
            <w:proofErr w:type="spellEnd"/>
            <w:r w:rsidRPr="00FC5DB4">
              <w:rPr>
                <w:rFonts w:ascii="Times New Roman" w:eastAsia="Times New Roman" w:hAnsi="Times New Roman" w:cs="Times New Roman"/>
                <w:color w:val="000000"/>
              </w:rPr>
              <w:t>**</w:t>
            </w:r>
          </w:p>
        </w:tc>
        <w:tc>
          <w:tcPr>
            <w:tcW w:w="244" w:type="dxa"/>
            <w:tcBorders>
              <w:top w:val="nil"/>
              <w:left w:val="nil"/>
              <w:bottom w:val="single" w:sz="8" w:space="0" w:color="auto"/>
              <w:right w:val="nil"/>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1241</w:t>
            </w:r>
          </w:p>
        </w:tc>
        <w:tc>
          <w:tcPr>
            <w:tcW w:w="1736" w:type="dxa"/>
            <w:tcBorders>
              <w:top w:val="nil"/>
              <w:left w:val="nil"/>
              <w:bottom w:val="single" w:sz="8" w:space="0" w:color="auto"/>
              <w:right w:val="single" w:sz="8" w:space="0" w:color="auto"/>
            </w:tcBorders>
            <w:shd w:val="clear" w:color="auto" w:fill="auto"/>
            <w:noWrap/>
            <w:vAlign w:val="bottom"/>
            <w:hideMark/>
          </w:tcPr>
          <w:p w:rsidR="00400466" w:rsidRPr="00FC5DB4" w:rsidRDefault="00400466" w:rsidP="006B5079">
            <w:pPr>
              <w:spacing w:after="0" w:line="240" w:lineRule="auto"/>
              <w:jc w:val="center"/>
              <w:rPr>
                <w:rFonts w:ascii="Times New Roman" w:eastAsia="Times New Roman" w:hAnsi="Times New Roman" w:cs="Times New Roman"/>
                <w:color w:val="000000"/>
              </w:rPr>
            </w:pPr>
            <w:r w:rsidRPr="00FC5DB4">
              <w:rPr>
                <w:rFonts w:ascii="Times New Roman" w:eastAsia="Times New Roman" w:hAnsi="Times New Roman" w:cs="Times New Roman"/>
                <w:color w:val="000000"/>
              </w:rPr>
              <w:t>9.80</w:t>
            </w:r>
          </w:p>
        </w:tc>
      </w:tr>
    </w:tbl>
    <w:p w:rsidR="00400466" w:rsidRDefault="00400466" w:rsidP="00400466">
      <w:pPr>
        <w:rPr>
          <w:b/>
          <w:u w:val="single"/>
        </w:rPr>
      </w:pPr>
      <w:r>
        <w:rPr>
          <w:noProof/>
          <w:lang w:val="en-PH" w:eastAsia="en-PH"/>
        </w:rPr>
        <mc:AlternateContent>
          <mc:Choice Requires="wps">
            <w:drawing>
              <wp:anchor distT="0" distB="0" distL="114300" distR="114300" simplePos="0" relativeHeight="251660288" behindDoc="0" locked="0" layoutInCell="1" allowOverlap="1" wp14:anchorId="25A990D1" wp14:editId="752578EA">
                <wp:simplePos x="0" y="0"/>
                <wp:positionH relativeFrom="margin">
                  <wp:align>left</wp:align>
                </wp:positionH>
                <wp:positionV relativeFrom="paragraph">
                  <wp:posOffset>24765</wp:posOffset>
                </wp:positionV>
                <wp:extent cx="6810375" cy="1615044"/>
                <wp:effectExtent l="0" t="0" r="28575" b="23495"/>
                <wp:wrapNone/>
                <wp:docPr id="8"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700-000002000000}"/>
                    </a:ext>
                  </a:extLst>
                </wp:docPr>
                <wp:cNvGraphicFramePr/>
                <a:graphic xmlns:a="http://schemas.openxmlformats.org/drawingml/2006/main">
                  <a:graphicData uri="http://schemas.microsoft.com/office/word/2010/wordprocessingShape">
                    <wps:wsp>
                      <wps:cNvSpPr txBox="1"/>
                      <wps:spPr>
                        <a:xfrm>
                          <a:off x="0" y="0"/>
                          <a:ext cx="6810375" cy="1615044"/>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400466" w:rsidRDefault="00400466" w:rsidP="00400466">
                            <w:pPr>
                              <w:pStyle w:val="NormalWeb"/>
                              <w:spacing w:before="0" w:beforeAutospacing="0" w:after="0" w:afterAutospacing="0"/>
                            </w:pPr>
                            <w:r>
                              <w:rPr>
                                <w:color w:val="000000" w:themeColor="dark1"/>
                                <w:sz w:val="22"/>
                                <w:szCs w:val="22"/>
                              </w:rPr>
                              <w:t>Abbreviations: N - number, GPI - generic product identifier, HMG CoA - 3-hydroxy-3-methyl-glutaryl-coenzyme A, ICD-9-CM - International Classification of Diseases, Ninth Revision, Clinical Modification, Misc. - miscellaneous</w:t>
                            </w:r>
                          </w:p>
                          <w:p w:rsidR="00400466" w:rsidRDefault="00400466" w:rsidP="00400466">
                            <w:pPr>
                              <w:pStyle w:val="NormalWeb"/>
                              <w:spacing w:before="0" w:beforeAutospacing="0" w:after="0" w:afterAutospacing="0"/>
                            </w:pPr>
                            <w:r>
                              <w:rPr>
                                <w:color w:val="000000" w:themeColor="dark1"/>
                                <w:sz w:val="22"/>
                                <w:szCs w:val="22"/>
                              </w:rPr>
                              <w:t xml:space="preserve">1: The cohort includes patients who had at least one ICD-9-CM or ICD-10 diagnosis code for ovarian cancer, were continuously enrolled in a health plan contributing data to the HIRD for at least six months, and were confirmed to have advanced ovarian cancer based on staging information from either a cancer registry or the HIRE Oncology data or met the predictive model algorithm for advanced stage ovarian cancer. </w:t>
                            </w:r>
                          </w:p>
                          <w:p w:rsidR="00400466" w:rsidRDefault="00400466" w:rsidP="00400466">
                            <w:pPr>
                              <w:pStyle w:val="NormalWeb"/>
                              <w:spacing w:before="0" w:beforeAutospacing="0" w:after="0" w:afterAutospacing="0"/>
                            </w:pPr>
                            <w:proofErr w:type="gramStart"/>
                            <w:r>
                              <w:rPr>
                                <w:color w:val="000000" w:themeColor="dark1"/>
                                <w:sz w:val="22"/>
                                <w:szCs w:val="22"/>
                              </w:rPr>
                              <w:t>2</w:t>
                            </w:r>
                            <w:proofErr w:type="gramEnd"/>
                            <w:r>
                              <w:rPr>
                                <w:color w:val="000000" w:themeColor="dark1"/>
                                <w:sz w:val="22"/>
                                <w:szCs w:val="22"/>
                              </w:rPr>
                              <w:t xml:space="preserve">: Medication subclasses defined by the first four digits of the GPI code were ranked based on the number of cohort members with at least one pharmacy dispensing of a medication included in the subclass. Medications administered in a healthcare setting are not captured in this classification.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A990D1" id="_x0000_s1028" type="#_x0000_t202" style="position:absolute;margin-left:0;margin-top:1.95pt;width:536.25pt;height:127.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" fillcolor="white [3201]" strokecolor="#7f7f7f [1601]">
                <v:textbox>
                  <w:txbxContent>
                    <w:p w:rsidR="00400466" w:rsidRDefault="00400466" w:rsidP="00400466">
                      <w:pPr>
                        <w:pStyle w:val="NormalWeb"/>
                        <w:spacing w:before="0" w:beforeAutospacing="0" w:after="0" w:afterAutospacing="0"/>
                      </w:pPr>
                      <w:r>
                        <w:rPr>
                          <w:color w:val="000000" w:themeColor="dark1"/>
                          <w:sz w:val="22"/>
                          <w:szCs w:val="22"/>
                        </w:rPr>
                        <w:t>Abbreviations: N - number, GPI - generic product identifier, HMG CoA - 3-hydroxy-3-methyl-glutaryl-coenzyme A, ICD-9-CM - International Classification of Diseases, Ninth Revision, Clinical Modification, Misc. - miscellaneous</w:t>
                      </w:r>
                    </w:p>
                    <w:p w:rsidR="00400466" w:rsidRDefault="00400466" w:rsidP="00400466">
                      <w:pPr>
                        <w:pStyle w:val="NormalWeb"/>
                        <w:spacing w:before="0" w:beforeAutospacing="0" w:after="0" w:afterAutospacing="0"/>
                      </w:pPr>
                      <w:r>
                        <w:rPr>
                          <w:color w:val="000000" w:themeColor="dark1"/>
                          <w:sz w:val="22"/>
                          <w:szCs w:val="22"/>
                        </w:rPr>
                        <w:t xml:space="preserve">1: The cohort includes patients who had at least one ICD-9-CM or ICD-10 diagnosis code for ovarian cancer, were continuously enrolled in a health plan contributing data to the HIRD for at least six months, and were confirmed to have advanced ovarian cancer based on staging information from either a cancer registry or the HIRE Oncology data or met the predictive model algorithm for advanced stage ovarian cancer. </w:t>
                      </w:r>
                    </w:p>
                    <w:p w:rsidR="00400466" w:rsidRDefault="00400466" w:rsidP="00400466">
                      <w:pPr>
                        <w:pStyle w:val="NormalWeb"/>
                        <w:spacing w:before="0" w:beforeAutospacing="0" w:after="0" w:afterAutospacing="0"/>
                      </w:pPr>
                      <w:r>
                        <w:rPr>
                          <w:color w:val="000000" w:themeColor="dark1"/>
                          <w:sz w:val="22"/>
                          <w:szCs w:val="22"/>
                        </w:rPr>
                        <w:t xml:space="preserve">2: Medication subclasses defined by the first four digits of the GPI code were ranked based on the number of cohort members with at least one pharmacy dispensing of a medication included in the subclass. Medications administered in a healthcare setting are not captured in this classification. </w:t>
                      </w:r>
                    </w:p>
                  </w:txbxContent>
                </v:textbox>
                <w10:wrap anchorx="margin"/>
              </v:shape>
            </w:pict>
          </mc:Fallback>
        </mc:AlternateContent>
      </w:r>
    </w:p>
    <w:p w:rsidR="00400466" w:rsidRDefault="00400466" w:rsidP="00400466">
      <w:pPr>
        <w:rPr>
          <w:b/>
          <w:u w:val="single"/>
        </w:rPr>
      </w:pPr>
    </w:p>
    <w:p w:rsidR="00400466" w:rsidRDefault="00400466" w:rsidP="00400466"/>
    <w:p w:rsidR="00400466" w:rsidRPr="00140B65" w:rsidRDefault="00400466" w:rsidP="00400466">
      <w:pPr>
        <w:rPr>
          <w:rFonts w:ascii="Times New Roman" w:eastAsia="Times New Roman" w:hAnsi="Times New Roman" w:cs="Times New Roman"/>
          <w:b/>
          <w:bCs/>
          <w:color w:val="000000"/>
          <w:sz w:val="24"/>
          <w:szCs w:val="24"/>
        </w:rPr>
      </w:pPr>
      <w:proofErr w:type="gramStart"/>
      <w:r w:rsidRPr="00140B65">
        <w:rPr>
          <w:rFonts w:ascii="Times New Roman" w:eastAsia="Times New Roman" w:hAnsi="Times New Roman" w:cs="Times New Roman"/>
          <w:b/>
          <w:bCs/>
          <w:color w:val="000000"/>
          <w:sz w:val="24"/>
          <w:szCs w:val="24"/>
        </w:rPr>
        <w:lastRenderedPageBreak/>
        <w:t xml:space="preserve">Supplemental Table </w:t>
      </w:r>
      <w:r>
        <w:rPr>
          <w:rFonts w:ascii="Times New Roman" w:eastAsia="Times New Roman" w:hAnsi="Times New Roman" w:cs="Times New Roman"/>
          <w:b/>
          <w:bCs/>
          <w:color w:val="000000"/>
          <w:sz w:val="24"/>
          <w:szCs w:val="24"/>
        </w:rPr>
        <w:t>4</w:t>
      </w:r>
      <w:r w:rsidRPr="00140B65">
        <w:rPr>
          <w:rFonts w:ascii="Times New Roman" w:eastAsia="Times New Roman" w:hAnsi="Times New Roman" w:cs="Times New Roman"/>
          <w:b/>
          <w:bCs/>
          <w:color w:val="000000"/>
          <w:sz w:val="24"/>
          <w:szCs w:val="24"/>
        </w:rPr>
        <w:t>.</w:t>
      </w:r>
      <w:proofErr w:type="gramEnd"/>
      <w:r w:rsidRPr="00140B65">
        <w:rPr>
          <w:rFonts w:ascii="Times New Roman" w:eastAsia="Times New Roman" w:hAnsi="Times New Roman" w:cs="Times New Roman"/>
          <w:b/>
          <w:bCs/>
          <w:color w:val="000000"/>
          <w:sz w:val="24"/>
          <w:szCs w:val="24"/>
        </w:rPr>
        <w:t xml:space="preserve"> </w:t>
      </w:r>
      <w:r w:rsidRPr="00140B65">
        <w:rPr>
          <w:rFonts w:ascii="Times New Roman" w:eastAsia="Times New Roman" w:hAnsi="Times New Roman" w:cs="Times New Roman"/>
          <w:b/>
          <w:bCs/>
          <w:sz w:val="24"/>
          <w:szCs w:val="24"/>
        </w:rPr>
        <w:t xml:space="preserve">Advanced stage ovarian cancer cohort, cancer treatment received on or </w:t>
      </w:r>
      <w:r>
        <w:rPr>
          <w:rFonts w:ascii="Times New Roman" w:eastAsia="Times New Roman" w:hAnsi="Times New Roman" w:cs="Times New Roman"/>
          <w:b/>
          <w:bCs/>
          <w:sz w:val="24"/>
          <w:szCs w:val="24"/>
        </w:rPr>
        <w:t xml:space="preserve">after the </w:t>
      </w:r>
      <w:r w:rsidRPr="00140B65">
        <w:rPr>
          <w:rFonts w:ascii="Times New Roman" w:eastAsia="Times New Roman" w:hAnsi="Times New Roman" w:cs="Times New Roman"/>
          <w:b/>
          <w:bCs/>
          <w:sz w:val="24"/>
          <w:szCs w:val="24"/>
        </w:rPr>
        <w:t>advanced stage date (N=12,659)</w:t>
      </w:r>
      <w:r w:rsidRPr="00140B65">
        <w:rPr>
          <w:rFonts w:ascii="Times New Roman" w:eastAsia="Times New Roman" w:hAnsi="Times New Roman" w:cs="Times New Roman"/>
          <w:b/>
          <w:bCs/>
          <w:sz w:val="24"/>
          <w:szCs w:val="24"/>
          <w:vertAlign w:val="superscript"/>
        </w:rPr>
        <w:t>1</w:t>
      </w:r>
      <w:proofErr w:type="gramStart"/>
      <w:r w:rsidRPr="00140B65">
        <w:rPr>
          <w:rFonts w:ascii="Times New Roman" w:eastAsia="Times New Roman" w:hAnsi="Times New Roman" w:cs="Times New Roman"/>
          <w:b/>
          <w:bCs/>
          <w:sz w:val="24"/>
          <w:szCs w:val="24"/>
          <w:vertAlign w:val="superscript"/>
        </w:rPr>
        <w:t>,2</w:t>
      </w:r>
      <w:proofErr w:type="gramEnd"/>
    </w:p>
    <w:tbl>
      <w:tblPr>
        <w:tblW w:w="12574" w:type="dxa"/>
        <w:tblLook w:val="04A0" w:firstRow="1" w:lastRow="0" w:firstColumn="1" w:lastColumn="0" w:noHBand="0" w:noVBand="1"/>
      </w:tblPr>
      <w:tblGrid>
        <w:gridCol w:w="8720"/>
        <w:gridCol w:w="1415"/>
        <w:gridCol w:w="2439"/>
      </w:tblGrid>
      <w:tr w:rsidR="00400466" w:rsidRPr="007652A1" w:rsidTr="006B5079">
        <w:trPr>
          <w:trHeight w:val="388"/>
        </w:trPr>
        <w:tc>
          <w:tcPr>
            <w:tcW w:w="8720" w:type="dxa"/>
            <w:tcBorders>
              <w:top w:val="single" w:sz="4" w:space="0" w:color="auto"/>
              <w:left w:val="single" w:sz="8" w:space="0" w:color="auto"/>
              <w:bottom w:val="single" w:sz="4" w:space="0" w:color="auto"/>
              <w:right w:val="nil"/>
            </w:tcBorders>
            <w:shd w:val="clear" w:color="auto" w:fill="D9D9D9" w:themeFill="background1" w:themeFillShade="D9"/>
            <w:vAlign w:val="bottom"/>
            <w:hideMark/>
          </w:tcPr>
          <w:p w:rsidR="00400466" w:rsidRPr="007652A1" w:rsidRDefault="00400466" w:rsidP="006B5079">
            <w:pPr>
              <w:spacing w:after="0" w:line="240" w:lineRule="auto"/>
              <w:rPr>
                <w:rFonts w:ascii="Times New Roman" w:eastAsia="Times New Roman" w:hAnsi="Times New Roman" w:cs="Times New Roman"/>
                <w:b/>
                <w:bCs/>
              </w:rPr>
            </w:pPr>
            <w:r w:rsidRPr="007652A1">
              <w:rPr>
                <w:rFonts w:ascii="Times New Roman" w:eastAsia="Times New Roman" w:hAnsi="Times New Roman" w:cs="Times New Roman"/>
                <w:b/>
                <w:bCs/>
              </w:rPr>
              <w:t> </w:t>
            </w:r>
            <w:r>
              <w:rPr>
                <w:rFonts w:ascii="Times New Roman" w:eastAsia="Times New Roman" w:hAnsi="Times New Roman" w:cs="Times New Roman"/>
                <w:b/>
                <w:bCs/>
              </w:rPr>
              <w:t>Treatment</w:t>
            </w:r>
          </w:p>
        </w:tc>
        <w:tc>
          <w:tcPr>
            <w:tcW w:w="3854" w:type="dxa"/>
            <w:gridSpan w:val="2"/>
            <w:tcBorders>
              <w:top w:val="single" w:sz="4" w:space="0" w:color="auto"/>
              <w:left w:val="nil"/>
              <w:bottom w:val="single" w:sz="4" w:space="0" w:color="auto"/>
              <w:right w:val="single" w:sz="8" w:space="0" w:color="000000"/>
            </w:tcBorders>
            <w:shd w:val="clear" w:color="auto" w:fill="D9D9D9" w:themeFill="background1" w:themeFillShade="D9"/>
            <w:vAlign w:val="bottom"/>
            <w:hideMark/>
          </w:tcPr>
          <w:p w:rsidR="00400466" w:rsidRPr="007652A1" w:rsidRDefault="00400466" w:rsidP="006B5079">
            <w:pPr>
              <w:spacing w:after="0" w:line="240" w:lineRule="auto"/>
              <w:jc w:val="center"/>
              <w:rPr>
                <w:rFonts w:ascii="Times New Roman" w:eastAsia="Times New Roman" w:hAnsi="Times New Roman" w:cs="Times New Roman"/>
                <w:b/>
                <w:bCs/>
              </w:rPr>
            </w:pPr>
            <w:r w:rsidRPr="007652A1">
              <w:rPr>
                <w:rFonts w:ascii="Times New Roman" w:eastAsia="Times New Roman" w:hAnsi="Times New Roman" w:cs="Times New Roman"/>
                <w:b/>
                <w:bCs/>
              </w:rPr>
              <w:t xml:space="preserve">Among all incident cancer patients </w:t>
            </w:r>
          </w:p>
        </w:tc>
      </w:tr>
      <w:tr w:rsidR="00400466" w:rsidRPr="007652A1" w:rsidTr="006B5079">
        <w:trPr>
          <w:trHeight w:val="298"/>
        </w:trPr>
        <w:tc>
          <w:tcPr>
            <w:tcW w:w="8720" w:type="dxa"/>
            <w:tcBorders>
              <w:top w:val="single" w:sz="4" w:space="0" w:color="auto"/>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At least one surgical procedure (N, %) </w:t>
            </w:r>
          </w:p>
        </w:tc>
        <w:tc>
          <w:tcPr>
            <w:tcW w:w="1415" w:type="dxa"/>
            <w:tcBorders>
              <w:top w:val="single" w:sz="4" w:space="0" w:color="auto"/>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single" w:sz="4" w:space="0" w:color="auto"/>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5,131 (40.53%)</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Oophorectomy (N, %)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896 (7.08%)</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proofErr w:type="spellStart"/>
            <w:r w:rsidRPr="007652A1">
              <w:rPr>
                <w:rFonts w:ascii="Times New Roman" w:eastAsia="Times New Roman" w:hAnsi="Times New Roman" w:cs="Times New Roman"/>
              </w:rPr>
              <w:t>Salpingo</w:t>
            </w:r>
            <w:proofErr w:type="spellEnd"/>
            <w:r w:rsidRPr="007652A1">
              <w:rPr>
                <w:rFonts w:ascii="Times New Roman" w:eastAsia="Times New Roman" w:hAnsi="Times New Roman" w:cs="Times New Roman"/>
              </w:rPr>
              <w:t xml:space="preserve">-oophorectomy (N, %)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3,450 (27.25%)</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Total abdominal hysterectomy and </w:t>
            </w:r>
            <w:r>
              <w:rPr>
                <w:rFonts w:ascii="Times New Roman" w:eastAsia="Times New Roman" w:hAnsi="Times New Roman" w:cs="Times New Roman"/>
              </w:rPr>
              <w:t xml:space="preserve">bilateral </w:t>
            </w:r>
            <w:proofErr w:type="spellStart"/>
            <w:r>
              <w:rPr>
                <w:rFonts w:ascii="Times New Roman" w:eastAsia="Times New Roman" w:hAnsi="Times New Roman" w:cs="Times New Roman"/>
              </w:rPr>
              <w:t>salpingo</w:t>
            </w:r>
            <w:proofErr w:type="spellEnd"/>
            <w:r>
              <w:rPr>
                <w:rFonts w:ascii="Times New Roman" w:eastAsia="Times New Roman" w:hAnsi="Times New Roman" w:cs="Times New Roman"/>
              </w:rPr>
              <w:t>-oophorectomy</w:t>
            </w:r>
            <w:r w:rsidRPr="007652A1">
              <w:rPr>
                <w:rFonts w:ascii="Times New Roman" w:eastAsia="Times New Roman" w:hAnsi="Times New Roman" w:cs="Times New Roman"/>
              </w:rPr>
              <w:t xml:space="preserve"> (N, %)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2,817 (22.25%)</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proofErr w:type="spellStart"/>
            <w:r w:rsidRPr="007652A1">
              <w:rPr>
                <w:rFonts w:ascii="Times New Roman" w:eastAsia="Times New Roman" w:hAnsi="Times New Roman" w:cs="Times New Roman"/>
              </w:rPr>
              <w:t>Cytoreductive</w:t>
            </w:r>
            <w:proofErr w:type="spellEnd"/>
            <w:r w:rsidRPr="007652A1">
              <w:rPr>
                <w:rFonts w:ascii="Times New Roman" w:eastAsia="Times New Roman" w:hAnsi="Times New Roman" w:cs="Times New Roman"/>
              </w:rPr>
              <w:t>/</w:t>
            </w:r>
            <w:proofErr w:type="spellStart"/>
            <w:r w:rsidRPr="007652A1">
              <w:rPr>
                <w:rFonts w:ascii="Times New Roman" w:eastAsia="Times New Roman" w:hAnsi="Times New Roman" w:cs="Times New Roman"/>
              </w:rPr>
              <w:t>debulking</w:t>
            </w:r>
            <w:proofErr w:type="spellEnd"/>
            <w:r w:rsidRPr="007652A1">
              <w:rPr>
                <w:rFonts w:ascii="Times New Roman" w:eastAsia="Times New Roman" w:hAnsi="Times New Roman" w:cs="Times New Roman"/>
              </w:rPr>
              <w:t xml:space="preserve"> surgery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2,516 (19.88%)</w:t>
            </w:r>
          </w:p>
        </w:tc>
      </w:tr>
      <w:tr w:rsidR="00400466" w:rsidRPr="007652A1" w:rsidTr="006B5079">
        <w:trPr>
          <w:trHeight w:val="298"/>
        </w:trPr>
        <w:tc>
          <w:tcPr>
            <w:tcW w:w="8720" w:type="dxa"/>
            <w:tcBorders>
              <w:top w:val="nil"/>
              <w:left w:val="single" w:sz="8" w:space="0" w:color="auto"/>
              <w:bottom w:val="single" w:sz="4" w:space="0" w:color="auto"/>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Palliative surgery for relief of small bowel obstruction (N, %) </w:t>
            </w:r>
          </w:p>
        </w:tc>
        <w:tc>
          <w:tcPr>
            <w:tcW w:w="1415" w:type="dxa"/>
            <w:tcBorders>
              <w:top w:val="nil"/>
              <w:left w:val="single" w:sz="4" w:space="0" w:color="auto"/>
              <w:bottom w:val="single" w:sz="4" w:space="0" w:color="auto"/>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single" w:sz="4" w:space="0" w:color="auto"/>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4,416 (34.88%)</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Number of computed tomography (CT) scans per month</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Mean (SD)</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0.47 (0.88)</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Q1</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0.06</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Median</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0.31</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Q3</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0.62</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Among those with at least one surgical procedure</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 </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 xml:space="preserve">Chemotherapy administered before surgical procedure (N, %)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1,223 (23.84%)</w:t>
            </w:r>
          </w:p>
        </w:tc>
      </w:tr>
      <w:tr w:rsidR="00400466" w:rsidRPr="007652A1" w:rsidTr="006B5079">
        <w:trPr>
          <w:trHeight w:val="298"/>
        </w:trPr>
        <w:tc>
          <w:tcPr>
            <w:tcW w:w="8720" w:type="dxa"/>
            <w:tcBorders>
              <w:top w:val="nil"/>
              <w:left w:val="single" w:sz="8" w:space="0" w:color="auto"/>
              <w:bottom w:val="single" w:sz="4" w:space="0" w:color="auto"/>
              <w:right w:val="nil"/>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 xml:space="preserve">Chemotherapy administered after surgical procedure (N, %) </w:t>
            </w:r>
          </w:p>
        </w:tc>
        <w:tc>
          <w:tcPr>
            <w:tcW w:w="1415" w:type="dxa"/>
            <w:tcBorders>
              <w:top w:val="nil"/>
              <w:left w:val="single" w:sz="4" w:space="0" w:color="auto"/>
              <w:bottom w:val="single" w:sz="4" w:space="0" w:color="auto"/>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single" w:sz="4" w:space="0" w:color="auto"/>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3,633 (70.80%)</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Radiation therapy (N, %)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1,030 (8.14%)</w:t>
            </w:r>
          </w:p>
        </w:tc>
      </w:tr>
      <w:tr w:rsidR="00400466" w:rsidRPr="007652A1" w:rsidTr="006B5079">
        <w:trPr>
          <w:trHeight w:val="358"/>
        </w:trPr>
        <w:tc>
          <w:tcPr>
            <w:tcW w:w="8720" w:type="dxa"/>
            <w:tcBorders>
              <w:top w:val="single" w:sz="4" w:space="0" w:color="auto"/>
              <w:left w:val="single" w:sz="8"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Pr>
                <w:rFonts w:ascii="Times New Roman" w:eastAsia="Times New Roman" w:hAnsi="Times New Roman" w:cs="Times New Roman"/>
              </w:rPr>
              <w:t>Systemic a</w:t>
            </w:r>
            <w:r w:rsidRPr="007652A1">
              <w:rPr>
                <w:rFonts w:ascii="Times New Roman" w:eastAsia="Times New Roman" w:hAnsi="Times New Roman" w:cs="Times New Roman"/>
              </w:rPr>
              <w:t>nti-cancer therapy</w:t>
            </w:r>
            <w:r>
              <w:rPr>
                <w:rFonts w:ascii="Times New Roman" w:eastAsia="Times New Roman" w:hAnsi="Times New Roman" w:cs="Times New Roman"/>
              </w:rPr>
              <w:t xml:space="preserve"> (not including radiotherapy)</w:t>
            </w:r>
            <w:r w:rsidRPr="007652A1">
              <w:rPr>
                <w:rFonts w:ascii="Times New Roman" w:eastAsia="Times New Roman" w:hAnsi="Times New Roman" w:cs="Times New Roman"/>
              </w:rPr>
              <w:t xml:space="preserve"> (N, %)</w:t>
            </w:r>
            <w:r w:rsidRPr="007652A1">
              <w:rPr>
                <w:rFonts w:ascii="Times New Roman" w:eastAsia="Times New Roman" w:hAnsi="Times New Roman" w:cs="Times New Roman"/>
                <w:vertAlign w:val="superscript"/>
              </w:rPr>
              <w:t>3</w:t>
            </w:r>
          </w:p>
        </w:tc>
        <w:tc>
          <w:tcPr>
            <w:tcW w:w="1415" w:type="dxa"/>
            <w:tcBorders>
              <w:top w:val="single" w:sz="4" w:space="0" w:color="auto"/>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single" w:sz="4" w:space="0" w:color="auto"/>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7,723 (61.01%)</w:t>
            </w:r>
          </w:p>
        </w:tc>
      </w:tr>
      <w:tr w:rsidR="00400466" w:rsidRPr="007652A1" w:rsidTr="006B5079">
        <w:trPr>
          <w:trHeight w:val="298"/>
        </w:trPr>
        <w:tc>
          <w:tcPr>
            <w:tcW w:w="8720" w:type="dxa"/>
            <w:tcBorders>
              <w:top w:val="nil"/>
              <w:left w:val="single" w:sz="8" w:space="0" w:color="auto"/>
              <w:bottom w:val="nil"/>
              <w:right w:val="nil"/>
            </w:tcBorders>
            <w:shd w:val="clear" w:color="auto" w:fill="auto"/>
            <w:noWrap/>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Ovarian cancer platinum status</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 </w:t>
            </w:r>
          </w:p>
        </w:tc>
      </w:tr>
      <w:tr w:rsidR="00400466" w:rsidRPr="007652A1" w:rsidTr="006B5079">
        <w:trPr>
          <w:trHeight w:val="298"/>
        </w:trPr>
        <w:tc>
          <w:tcPr>
            <w:tcW w:w="8720" w:type="dxa"/>
            <w:tcBorders>
              <w:top w:val="nil"/>
              <w:left w:val="single" w:sz="8" w:space="0" w:color="auto"/>
              <w:bottom w:val="nil"/>
              <w:right w:val="nil"/>
            </w:tcBorders>
            <w:shd w:val="clear" w:color="auto" w:fill="auto"/>
            <w:noWrap/>
            <w:vAlign w:val="bottom"/>
            <w:hideMark/>
          </w:tcPr>
          <w:p w:rsidR="00400466" w:rsidRPr="007652A1" w:rsidRDefault="00400466" w:rsidP="006B5079">
            <w:pPr>
              <w:spacing w:after="0" w:line="240" w:lineRule="auto"/>
              <w:ind w:firstLineChars="300" w:firstLine="660"/>
              <w:rPr>
                <w:rFonts w:ascii="Times New Roman" w:eastAsia="Times New Roman" w:hAnsi="Times New Roman" w:cs="Times New Roman"/>
              </w:rPr>
            </w:pPr>
            <w:r w:rsidRPr="007652A1">
              <w:rPr>
                <w:rFonts w:ascii="Times New Roman" w:eastAsia="Times New Roman" w:hAnsi="Times New Roman" w:cs="Times New Roman"/>
              </w:rPr>
              <w:t xml:space="preserve">   Platinum sensitive</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934 (12.09%)</w:t>
            </w:r>
          </w:p>
        </w:tc>
      </w:tr>
      <w:tr w:rsidR="00400466" w:rsidRPr="007652A1" w:rsidTr="006B5079">
        <w:trPr>
          <w:trHeight w:val="298"/>
        </w:trPr>
        <w:tc>
          <w:tcPr>
            <w:tcW w:w="8720" w:type="dxa"/>
            <w:tcBorders>
              <w:top w:val="nil"/>
              <w:left w:val="single" w:sz="8" w:space="0" w:color="auto"/>
              <w:bottom w:val="nil"/>
              <w:right w:val="nil"/>
            </w:tcBorders>
            <w:shd w:val="clear" w:color="auto" w:fill="auto"/>
            <w:noWrap/>
            <w:vAlign w:val="bottom"/>
            <w:hideMark/>
          </w:tcPr>
          <w:p w:rsidR="00400466" w:rsidRPr="007652A1" w:rsidRDefault="00400466" w:rsidP="006B5079">
            <w:pPr>
              <w:spacing w:after="0" w:line="240" w:lineRule="auto"/>
              <w:ind w:firstLineChars="300" w:firstLine="660"/>
              <w:rPr>
                <w:rFonts w:ascii="Times New Roman" w:eastAsia="Times New Roman" w:hAnsi="Times New Roman" w:cs="Times New Roman"/>
              </w:rPr>
            </w:pPr>
            <w:r w:rsidRPr="007652A1">
              <w:rPr>
                <w:rFonts w:ascii="Times New Roman" w:eastAsia="Times New Roman" w:hAnsi="Times New Roman" w:cs="Times New Roman"/>
              </w:rPr>
              <w:t xml:space="preserve">   Platinum resistant</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1,181 (15.29%)</w:t>
            </w:r>
          </w:p>
        </w:tc>
      </w:tr>
      <w:tr w:rsidR="00400466" w:rsidRPr="007652A1" w:rsidTr="006B5079">
        <w:trPr>
          <w:trHeight w:val="298"/>
        </w:trPr>
        <w:tc>
          <w:tcPr>
            <w:tcW w:w="8720" w:type="dxa"/>
            <w:tcBorders>
              <w:top w:val="nil"/>
              <w:left w:val="single" w:sz="8" w:space="0" w:color="auto"/>
              <w:bottom w:val="nil"/>
              <w:right w:val="nil"/>
            </w:tcBorders>
            <w:shd w:val="clear" w:color="auto" w:fill="auto"/>
            <w:noWrap/>
            <w:vAlign w:val="bottom"/>
            <w:hideMark/>
          </w:tcPr>
          <w:p w:rsidR="00400466" w:rsidRPr="007652A1" w:rsidRDefault="00400466" w:rsidP="006B5079">
            <w:pPr>
              <w:spacing w:after="0" w:line="240" w:lineRule="auto"/>
              <w:ind w:firstLineChars="300" w:firstLine="660"/>
              <w:rPr>
                <w:rFonts w:ascii="Times New Roman" w:eastAsia="Times New Roman" w:hAnsi="Times New Roman" w:cs="Times New Roman"/>
              </w:rPr>
            </w:pPr>
            <w:r w:rsidRPr="007652A1">
              <w:rPr>
                <w:rFonts w:ascii="Times New Roman" w:eastAsia="Times New Roman" w:hAnsi="Times New Roman" w:cs="Times New Roman"/>
              </w:rPr>
              <w:t xml:space="preserve">   Platinum refractory</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3,220 (41.69%)</w:t>
            </w:r>
          </w:p>
        </w:tc>
      </w:tr>
      <w:tr w:rsidR="00400466" w:rsidRPr="007652A1" w:rsidTr="006B5079">
        <w:trPr>
          <w:trHeight w:val="298"/>
        </w:trPr>
        <w:tc>
          <w:tcPr>
            <w:tcW w:w="8720" w:type="dxa"/>
            <w:tcBorders>
              <w:top w:val="nil"/>
              <w:left w:val="single" w:sz="8" w:space="0" w:color="auto"/>
              <w:bottom w:val="nil"/>
              <w:right w:val="nil"/>
            </w:tcBorders>
            <w:shd w:val="clear" w:color="auto" w:fill="auto"/>
            <w:noWrap/>
            <w:vAlign w:val="bottom"/>
            <w:hideMark/>
          </w:tcPr>
          <w:p w:rsidR="00400466" w:rsidRPr="007652A1" w:rsidRDefault="00400466" w:rsidP="006B5079">
            <w:pPr>
              <w:spacing w:after="0" w:line="240" w:lineRule="auto"/>
              <w:ind w:firstLineChars="300" w:firstLine="660"/>
              <w:rPr>
                <w:rFonts w:ascii="Times New Roman" w:eastAsia="Times New Roman" w:hAnsi="Times New Roman" w:cs="Times New Roman"/>
              </w:rPr>
            </w:pPr>
            <w:r w:rsidRPr="007652A1">
              <w:rPr>
                <w:rFonts w:ascii="Times New Roman" w:eastAsia="Times New Roman" w:hAnsi="Times New Roman" w:cs="Times New Roman"/>
              </w:rPr>
              <w:t xml:space="preserve">   Unknown</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2,388 (30.92%)</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Number of administrations identified</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Mean (SD)</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20.11 (21.94)</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Q1</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6</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Median</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14</w:t>
            </w:r>
          </w:p>
        </w:tc>
      </w:tr>
      <w:tr w:rsidR="00400466" w:rsidRPr="007652A1" w:rsidTr="006B5079">
        <w:trPr>
          <w:trHeight w:val="298"/>
        </w:trPr>
        <w:tc>
          <w:tcPr>
            <w:tcW w:w="8720" w:type="dxa"/>
            <w:tcBorders>
              <w:top w:val="nil"/>
              <w:left w:val="single" w:sz="8" w:space="0" w:color="auto"/>
              <w:bottom w:val="nil"/>
              <w:right w:val="nil"/>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single" w:sz="4" w:space="0" w:color="auto"/>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Q3</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27</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noWrap/>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Duration of anti-cancer therapy (days)</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Mean (SD)</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color w:val="000000"/>
              </w:rPr>
            </w:pPr>
            <w:r w:rsidRPr="007652A1">
              <w:rPr>
                <w:rFonts w:ascii="Times New Roman" w:eastAsia="Times New Roman" w:hAnsi="Times New Roman" w:cs="Times New Roman"/>
                <w:color w:val="000000"/>
              </w:rPr>
              <w:t>292.75 (317.96)</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noWrap/>
            <w:vAlign w:val="bottom"/>
            <w:hideMark/>
          </w:tcPr>
          <w:p w:rsidR="00400466" w:rsidRPr="007652A1" w:rsidRDefault="00400466" w:rsidP="006B5079">
            <w:pPr>
              <w:spacing w:after="0" w:line="240" w:lineRule="auto"/>
              <w:ind w:firstLineChars="400" w:firstLine="880"/>
              <w:rPr>
                <w:rFonts w:ascii="Times New Roman" w:eastAsia="Times New Roman" w:hAnsi="Times New Roman" w:cs="Times New Roman"/>
                <w:color w:val="FF0000"/>
              </w:rPr>
            </w:pPr>
            <w:r w:rsidRPr="007652A1">
              <w:rPr>
                <w:rFonts w:ascii="Times New Roman" w:eastAsia="Times New Roman" w:hAnsi="Times New Roman" w:cs="Times New Roman"/>
                <w:color w:val="FF0000"/>
              </w:rPr>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Q1</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color w:val="000000"/>
              </w:rPr>
            </w:pPr>
            <w:r w:rsidRPr="007652A1">
              <w:rPr>
                <w:rFonts w:ascii="Times New Roman" w:eastAsia="Times New Roman" w:hAnsi="Times New Roman" w:cs="Times New Roman"/>
                <w:color w:val="000000"/>
              </w:rPr>
              <w:t>101</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noWrap/>
            <w:vAlign w:val="bottom"/>
            <w:hideMark/>
          </w:tcPr>
          <w:p w:rsidR="00400466" w:rsidRPr="007652A1" w:rsidRDefault="00400466" w:rsidP="006B5079">
            <w:pPr>
              <w:spacing w:after="0" w:line="240" w:lineRule="auto"/>
              <w:ind w:firstLineChars="400" w:firstLine="880"/>
              <w:rPr>
                <w:rFonts w:ascii="Times New Roman" w:eastAsia="Times New Roman" w:hAnsi="Times New Roman" w:cs="Times New Roman"/>
                <w:color w:val="FF0000"/>
              </w:rPr>
            </w:pPr>
            <w:r w:rsidRPr="007652A1">
              <w:rPr>
                <w:rFonts w:ascii="Times New Roman" w:eastAsia="Times New Roman" w:hAnsi="Times New Roman" w:cs="Times New Roman"/>
                <w:color w:val="FF0000"/>
              </w:rPr>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Median</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color w:val="000000"/>
              </w:rPr>
            </w:pPr>
            <w:r w:rsidRPr="007652A1">
              <w:rPr>
                <w:rFonts w:ascii="Times New Roman" w:eastAsia="Times New Roman" w:hAnsi="Times New Roman" w:cs="Times New Roman"/>
                <w:color w:val="000000"/>
              </w:rPr>
              <w:t>175</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noWrap/>
            <w:vAlign w:val="bottom"/>
            <w:hideMark/>
          </w:tcPr>
          <w:p w:rsidR="00400466" w:rsidRPr="007652A1" w:rsidRDefault="00400466" w:rsidP="006B5079">
            <w:pPr>
              <w:spacing w:after="0" w:line="240" w:lineRule="auto"/>
              <w:ind w:firstLineChars="400" w:firstLine="880"/>
              <w:rPr>
                <w:rFonts w:ascii="Times New Roman" w:eastAsia="Times New Roman" w:hAnsi="Times New Roman" w:cs="Times New Roman"/>
                <w:color w:val="FF0000"/>
              </w:rPr>
            </w:pPr>
            <w:r w:rsidRPr="007652A1">
              <w:rPr>
                <w:rFonts w:ascii="Times New Roman" w:eastAsia="Times New Roman" w:hAnsi="Times New Roman" w:cs="Times New Roman"/>
                <w:color w:val="FF0000"/>
              </w:rPr>
              <w:lastRenderedPageBreak/>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Q3</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color w:val="000000"/>
              </w:rPr>
            </w:pPr>
            <w:r w:rsidRPr="007652A1">
              <w:rPr>
                <w:rFonts w:ascii="Times New Roman" w:eastAsia="Times New Roman" w:hAnsi="Times New Roman" w:cs="Times New Roman"/>
                <w:color w:val="000000"/>
              </w:rPr>
              <w:t>376</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ind w:firstLineChars="200" w:firstLine="440"/>
              <w:rPr>
                <w:rFonts w:ascii="Times New Roman" w:eastAsia="Times New Roman" w:hAnsi="Times New Roman" w:cs="Times New Roman"/>
              </w:rPr>
            </w:pPr>
            <w:r w:rsidRPr="007652A1">
              <w:rPr>
                <w:rFonts w:ascii="Times New Roman" w:eastAsia="Times New Roman" w:hAnsi="Times New Roman" w:cs="Times New Roman"/>
              </w:rPr>
              <w:t xml:space="preserve">Anti-cancer therapy restarted after more than six months without an administration (N, %)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color w:val="000000"/>
              </w:rPr>
            </w:pPr>
            <w:r w:rsidRPr="007652A1">
              <w:rPr>
                <w:rFonts w:ascii="Times New Roman" w:eastAsia="Times New Roman" w:hAnsi="Times New Roman" w:cs="Times New Roman"/>
                <w:color w:val="000000"/>
              </w:rPr>
              <w:t>2,696 (34.91%)</w:t>
            </w:r>
          </w:p>
        </w:tc>
      </w:tr>
      <w:tr w:rsidR="00400466" w:rsidRPr="007652A1" w:rsidTr="006B5079">
        <w:trPr>
          <w:trHeight w:val="35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Number of treatment lines observed</w:t>
            </w:r>
            <w:r w:rsidRPr="007652A1">
              <w:rPr>
                <w:rFonts w:ascii="Times New Roman" w:eastAsia="Times New Roman" w:hAnsi="Times New Roman" w:cs="Times New Roman"/>
                <w:vertAlign w:val="superscript"/>
              </w:rPr>
              <w:t xml:space="preserve"> 3</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12159 (96.05%)</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Mean (SD)</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2.11 (2.68)</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Q1</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0</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Median</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w:t>
            </w:r>
          </w:p>
        </w:tc>
      </w:tr>
      <w:tr w:rsidR="00400466" w:rsidRPr="007652A1" w:rsidTr="006B5079">
        <w:trPr>
          <w:trHeight w:val="252"/>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Q3</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3</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b/>
              </w:rPr>
            </w:pPr>
            <w:r w:rsidRPr="007652A1">
              <w:rPr>
                <w:rFonts w:ascii="Times New Roman" w:eastAsia="Times New Roman" w:hAnsi="Times New Roman" w:cs="Times New Roman"/>
                <w:b/>
              </w:rPr>
              <w:t>Highest treatment line observed</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 </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   No treatment lines</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3834 (31.53%)</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   First line</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2990 (24.59%)</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   Second line</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1624 (13.36%)</w:t>
            </w:r>
          </w:p>
        </w:tc>
      </w:tr>
      <w:tr w:rsidR="00400466" w:rsidRPr="007652A1" w:rsidTr="006B5079">
        <w:trPr>
          <w:trHeight w:val="298"/>
        </w:trPr>
        <w:tc>
          <w:tcPr>
            <w:tcW w:w="8720" w:type="dxa"/>
            <w:tcBorders>
              <w:top w:val="nil"/>
              <w:left w:val="single" w:sz="8" w:space="0" w:color="auto"/>
              <w:bottom w:val="nil"/>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   Third line</w:t>
            </w:r>
          </w:p>
        </w:tc>
        <w:tc>
          <w:tcPr>
            <w:tcW w:w="1415" w:type="dxa"/>
            <w:tcBorders>
              <w:top w:val="nil"/>
              <w:left w:val="nil"/>
              <w:bottom w:val="nil"/>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nil"/>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1224 (10.07%)</w:t>
            </w:r>
          </w:p>
        </w:tc>
      </w:tr>
      <w:tr w:rsidR="00400466" w:rsidRPr="007652A1" w:rsidTr="006B5079">
        <w:trPr>
          <w:trHeight w:val="313"/>
        </w:trPr>
        <w:tc>
          <w:tcPr>
            <w:tcW w:w="8720" w:type="dxa"/>
            <w:tcBorders>
              <w:top w:val="nil"/>
              <w:left w:val="single" w:sz="8" w:space="0" w:color="auto"/>
              <w:bottom w:val="single" w:sz="8" w:space="0" w:color="auto"/>
              <w:right w:val="single" w:sz="4" w:space="0" w:color="auto"/>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 xml:space="preserve">   Fourth line or higher </w:t>
            </w:r>
          </w:p>
        </w:tc>
        <w:tc>
          <w:tcPr>
            <w:tcW w:w="1415" w:type="dxa"/>
            <w:tcBorders>
              <w:top w:val="nil"/>
              <w:left w:val="nil"/>
              <w:bottom w:val="single" w:sz="8" w:space="0" w:color="auto"/>
              <w:right w:val="nil"/>
            </w:tcBorders>
            <w:shd w:val="clear" w:color="auto" w:fill="auto"/>
            <w:vAlign w:val="bottom"/>
            <w:hideMark/>
          </w:tcPr>
          <w:p w:rsidR="00400466" w:rsidRPr="007652A1" w:rsidRDefault="00400466" w:rsidP="006B5079">
            <w:pPr>
              <w:spacing w:after="0" w:line="240" w:lineRule="auto"/>
              <w:rPr>
                <w:rFonts w:ascii="Times New Roman" w:eastAsia="Times New Roman" w:hAnsi="Times New Roman" w:cs="Times New Roman"/>
              </w:rPr>
            </w:pPr>
            <w:r w:rsidRPr="007652A1">
              <w:rPr>
                <w:rFonts w:ascii="Times New Roman" w:eastAsia="Times New Roman" w:hAnsi="Times New Roman" w:cs="Times New Roman"/>
              </w:rPr>
              <w:t>N (%)</w:t>
            </w:r>
          </w:p>
        </w:tc>
        <w:tc>
          <w:tcPr>
            <w:tcW w:w="2439" w:type="dxa"/>
            <w:tcBorders>
              <w:top w:val="nil"/>
              <w:left w:val="nil"/>
              <w:bottom w:val="single" w:sz="8" w:space="0" w:color="auto"/>
              <w:right w:val="single" w:sz="8" w:space="0" w:color="auto"/>
            </w:tcBorders>
            <w:shd w:val="clear" w:color="auto" w:fill="auto"/>
            <w:vAlign w:val="bottom"/>
            <w:hideMark/>
          </w:tcPr>
          <w:p w:rsidR="00400466" w:rsidRPr="007652A1" w:rsidRDefault="00400466" w:rsidP="006B5079">
            <w:pPr>
              <w:spacing w:after="0" w:line="240" w:lineRule="auto"/>
              <w:jc w:val="right"/>
              <w:rPr>
                <w:rFonts w:ascii="Times New Roman" w:eastAsia="Times New Roman" w:hAnsi="Times New Roman" w:cs="Times New Roman"/>
              </w:rPr>
            </w:pPr>
            <w:r w:rsidRPr="007652A1">
              <w:rPr>
                <w:rFonts w:ascii="Times New Roman" w:eastAsia="Times New Roman" w:hAnsi="Times New Roman" w:cs="Times New Roman"/>
              </w:rPr>
              <w:t>2487 (20.45%)</w:t>
            </w:r>
          </w:p>
        </w:tc>
      </w:tr>
    </w:tbl>
    <w:p w:rsidR="00400466" w:rsidRDefault="00400466" w:rsidP="00400466">
      <w:pPr>
        <w:rPr>
          <w:rFonts w:ascii="Times New Roman" w:eastAsia="Times New Roman" w:hAnsi="Times New Roman" w:cs="Times New Roman"/>
          <w:b/>
          <w:bCs/>
          <w:color w:val="000000"/>
        </w:rPr>
      </w:pPr>
      <w:r>
        <w:rPr>
          <w:noProof/>
          <w:lang w:val="en-PH" w:eastAsia="en-PH"/>
        </w:rPr>
        <mc:AlternateContent>
          <mc:Choice Requires="wps">
            <w:drawing>
              <wp:anchor distT="0" distB="0" distL="114300" distR="114300" simplePos="0" relativeHeight="251659264" behindDoc="0" locked="0" layoutInCell="1" allowOverlap="1" wp14:anchorId="399CA4CA" wp14:editId="496AB5EB">
                <wp:simplePos x="0" y="0"/>
                <wp:positionH relativeFrom="margin">
                  <wp:align>left</wp:align>
                </wp:positionH>
                <wp:positionV relativeFrom="paragraph">
                  <wp:posOffset>1303</wp:posOffset>
                </wp:positionV>
                <wp:extent cx="7992094" cy="1282535"/>
                <wp:effectExtent l="0" t="0" r="28575" b="13335"/>
                <wp:wrapNone/>
                <wp:docPr id="6"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2000000}"/>
                    </a:ext>
                  </a:extLst>
                </wp:docPr>
                <wp:cNvGraphicFramePr/>
                <a:graphic xmlns:a="http://schemas.openxmlformats.org/drawingml/2006/main">
                  <a:graphicData uri="http://schemas.microsoft.com/office/word/2010/wordprocessingShape">
                    <wps:wsp>
                      <wps:cNvSpPr txBox="1"/>
                      <wps:spPr>
                        <a:xfrm>
                          <a:off x="0" y="0"/>
                          <a:ext cx="7992094" cy="1282535"/>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400466" w:rsidRDefault="00400466" w:rsidP="00400466">
                            <w:pPr>
                              <w:pStyle w:val="NormalWeb"/>
                              <w:spacing w:before="0" w:beforeAutospacing="0" w:after="0" w:afterAutospacing="0"/>
                            </w:pPr>
                            <w:r>
                              <w:rPr>
                                <w:color w:val="000000" w:themeColor="dark1"/>
                                <w:sz w:val="22"/>
                                <w:szCs w:val="22"/>
                              </w:rPr>
                              <w:t>Abbreviation: N - number, CT - computed tomography</w:t>
                            </w:r>
                          </w:p>
                          <w:p w:rsidR="00400466" w:rsidRDefault="00400466" w:rsidP="00400466">
                            <w:pPr>
                              <w:pStyle w:val="NormalWeb"/>
                              <w:spacing w:before="0" w:beforeAutospacing="0" w:after="0" w:afterAutospacing="0"/>
                            </w:pPr>
                            <w:r>
                              <w:rPr>
                                <w:color w:val="000000" w:themeColor="dark1"/>
                                <w:sz w:val="22"/>
                                <w:szCs w:val="22"/>
                              </w:rPr>
                              <w:t xml:space="preserve">1: The cohort includes patients who had at least one ICD-9-CM or ICD-10 diagnosis code for ovarian cancer, were continuously enrolled in a health plan contributing data to the HIRD for at least six months, and were confirmed to have advanced ovarian cancer based on staging information from either a cancer registry or the HIRE Oncology data or met the predictive model algorithm for advanced stage ovarian cancer. </w:t>
                            </w:r>
                          </w:p>
                          <w:p w:rsidR="00400466" w:rsidRDefault="00400466" w:rsidP="00400466">
                            <w:pPr>
                              <w:pStyle w:val="NormalWeb"/>
                              <w:spacing w:before="0" w:beforeAutospacing="0" w:after="0" w:afterAutospacing="0"/>
                            </w:pPr>
                            <w:proofErr w:type="gramStart"/>
                            <w:r>
                              <w:rPr>
                                <w:color w:val="000000" w:themeColor="dark1"/>
                                <w:sz w:val="22"/>
                                <w:szCs w:val="22"/>
                              </w:rPr>
                              <w:t>2</w:t>
                            </w:r>
                            <w:proofErr w:type="gramEnd"/>
                            <w:r>
                              <w:rPr>
                                <w:color w:val="000000" w:themeColor="dark1"/>
                                <w:sz w:val="22"/>
                                <w:szCs w:val="22"/>
                              </w:rPr>
                              <w:t>: Proportions based on total number of incident cases.</w:t>
                            </w:r>
                          </w:p>
                          <w:p w:rsidR="00400466" w:rsidRDefault="00400466" w:rsidP="00400466">
                            <w:pPr>
                              <w:pStyle w:val="NormalWeb"/>
                              <w:spacing w:before="0" w:beforeAutospacing="0" w:after="0" w:afterAutospacing="0"/>
                            </w:pPr>
                            <w:proofErr w:type="gramStart"/>
                            <w:r>
                              <w:rPr>
                                <w:color w:val="000000" w:themeColor="dark1"/>
                                <w:sz w:val="22"/>
                                <w:szCs w:val="22"/>
                              </w:rPr>
                              <w:t>3</w:t>
                            </w:r>
                            <w:proofErr w:type="gramEnd"/>
                            <w:r>
                              <w:rPr>
                                <w:color w:val="000000" w:themeColor="dark1"/>
                                <w:sz w:val="22"/>
                                <w:szCs w:val="22"/>
                              </w:rPr>
                              <w:t>: Patients with follow-up periods shorter than 28 days (specified segment length) were excluded from the treatment line related analyses.</w:t>
                            </w:r>
                          </w:p>
                          <w:p w:rsidR="00400466" w:rsidRDefault="00400466" w:rsidP="00400466">
                            <w:pPr>
                              <w:pStyle w:val="NormalWeb"/>
                              <w:spacing w:before="0" w:beforeAutospacing="0" w:after="0" w:afterAutospacing="0"/>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CA4CA" id="_x0000_s1029" type="#_x0000_t202" style="position:absolute;margin-left:0;margin-top:.1pt;width:629.3pt;height:10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" fillcolor="white [3201]" strokecolor="#7f7f7f [1601]">
                <v:textbox>
                  <w:txbxContent>
                    <w:p w:rsidR="00400466" w:rsidRDefault="00400466" w:rsidP="00400466">
                      <w:pPr>
                        <w:pStyle w:val="NormalWeb"/>
                        <w:spacing w:before="0" w:beforeAutospacing="0" w:after="0" w:afterAutospacing="0"/>
                      </w:pPr>
                      <w:r>
                        <w:rPr>
                          <w:color w:val="000000" w:themeColor="dark1"/>
                          <w:sz w:val="22"/>
                          <w:szCs w:val="22"/>
                        </w:rPr>
                        <w:t>Abbreviation: N - number, CT - computed tomography</w:t>
                      </w:r>
                    </w:p>
                    <w:p w:rsidR="00400466" w:rsidRDefault="00400466" w:rsidP="00400466">
                      <w:pPr>
                        <w:pStyle w:val="NormalWeb"/>
                        <w:spacing w:before="0" w:beforeAutospacing="0" w:after="0" w:afterAutospacing="0"/>
                      </w:pPr>
                      <w:r>
                        <w:rPr>
                          <w:color w:val="000000" w:themeColor="dark1"/>
                          <w:sz w:val="22"/>
                          <w:szCs w:val="22"/>
                        </w:rPr>
                        <w:t xml:space="preserve">1: The cohort includes patients who had at least one ICD-9-CM or ICD-10 diagnosis code for ovarian cancer, were continuously enrolled in a health plan contributing data to the HIRD for at least six months, and were confirmed to have advanced ovarian cancer based on staging information from either a cancer registry or the HIRE Oncology data or met the predictive model algorithm for advanced stage ovarian cancer. </w:t>
                      </w:r>
                    </w:p>
                    <w:p w:rsidR="00400466" w:rsidRDefault="00400466" w:rsidP="00400466">
                      <w:pPr>
                        <w:pStyle w:val="NormalWeb"/>
                        <w:spacing w:before="0" w:beforeAutospacing="0" w:after="0" w:afterAutospacing="0"/>
                      </w:pPr>
                      <w:r>
                        <w:rPr>
                          <w:color w:val="000000" w:themeColor="dark1"/>
                          <w:sz w:val="22"/>
                          <w:szCs w:val="22"/>
                        </w:rPr>
                        <w:t>2: Proportions based on total number of incident cases.</w:t>
                      </w:r>
                    </w:p>
                    <w:p w:rsidR="00400466" w:rsidRDefault="00400466" w:rsidP="00400466">
                      <w:pPr>
                        <w:pStyle w:val="NormalWeb"/>
                        <w:spacing w:before="0" w:beforeAutospacing="0" w:after="0" w:afterAutospacing="0"/>
                      </w:pPr>
                      <w:r>
                        <w:rPr>
                          <w:color w:val="000000" w:themeColor="dark1"/>
                          <w:sz w:val="22"/>
                          <w:szCs w:val="22"/>
                        </w:rPr>
                        <w:t>3: Patients with follow-up periods shorter than 28 days (specified segment length) were excluded from the treatment line related analyses.</w:t>
                      </w:r>
                    </w:p>
                    <w:p w:rsidR="00400466" w:rsidRDefault="00400466" w:rsidP="00400466">
                      <w:pPr>
                        <w:pStyle w:val="NormalWeb"/>
                        <w:spacing w:before="0" w:beforeAutospacing="0" w:after="0" w:afterAutospacing="0"/>
                      </w:pPr>
                    </w:p>
                  </w:txbxContent>
                </v:textbox>
                <w10:wrap anchorx="margin"/>
              </v:shape>
            </w:pict>
          </mc:Fallback>
        </mc:AlternateContent>
      </w:r>
    </w:p>
    <w:p w:rsidR="00400466" w:rsidRDefault="00400466" w:rsidP="0040046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rsidR="00400466" w:rsidRPr="00013688" w:rsidRDefault="00400466" w:rsidP="00400466">
      <w:pPr>
        <w:rPr>
          <w:rFonts w:ascii="Times New Roman" w:hAnsi="Times New Roman" w:cs="Times New Roman"/>
          <w:b/>
          <w:sz w:val="24"/>
          <w:szCs w:val="24"/>
        </w:rPr>
      </w:pPr>
      <w:proofErr w:type="gramStart"/>
      <w:r w:rsidRPr="00013688">
        <w:rPr>
          <w:rFonts w:ascii="Times New Roman" w:hAnsi="Times New Roman" w:cs="Times New Roman"/>
          <w:b/>
          <w:sz w:val="24"/>
          <w:szCs w:val="24"/>
        </w:rPr>
        <w:lastRenderedPageBreak/>
        <w:t xml:space="preserve">Supplemental Table </w:t>
      </w:r>
      <w:r>
        <w:rPr>
          <w:rFonts w:ascii="Times New Roman" w:hAnsi="Times New Roman" w:cs="Times New Roman"/>
          <w:b/>
          <w:sz w:val="24"/>
          <w:szCs w:val="24"/>
        </w:rPr>
        <w:t>5.</w:t>
      </w:r>
      <w:proofErr w:type="gramEnd"/>
      <w:r w:rsidRPr="00013688">
        <w:rPr>
          <w:rFonts w:ascii="Times New Roman" w:hAnsi="Times New Roman" w:cs="Times New Roman"/>
          <w:b/>
          <w:sz w:val="24"/>
          <w:szCs w:val="24"/>
        </w:rPr>
        <w:t xml:space="preserve"> Advanced stage ovarian cancer cohort, </w:t>
      </w:r>
      <w:r>
        <w:rPr>
          <w:rFonts w:ascii="Times New Roman" w:hAnsi="Times New Roman" w:cs="Times New Roman"/>
          <w:b/>
          <w:sz w:val="24"/>
          <w:szCs w:val="24"/>
        </w:rPr>
        <w:t>h</w:t>
      </w:r>
      <w:r w:rsidRPr="00013688">
        <w:rPr>
          <w:rFonts w:ascii="Times New Roman" w:hAnsi="Times New Roman" w:cs="Times New Roman"/>
          <w:b/>
          <w:sz w:val="24"/>
          <w:szCs w:val="24"/>
        </w:rPr>
        <w:t xml:space="preserve">ospital or </w:t>
      </w:r>
      <w:r>
        <w:rPr>
          <w:rFonts w:ascii="Times New Roman" w:hAnsi="Times New Roman" w:cs="Times New Roman"/>
          <w:b/>
          <w:sz w:val="24"/>
          <w:szCs w:val="24"/>
        </w:rPr>
        <w:t>emergency room</w:t>
      </w:r>
      <w:r w:rsidRPr="00013688">
        <w:rPr>
          <w:rFonts w:ascii="Times New Roman" w:hAnsi="Times New Roman" w:cs="Times New Roman"/>
          <w:b/>
          <w:sz w:val="24"/>
          <w:szCs w:val="24"/>
        </w:rPr>
        <w:t xml:space="preserve"> </w:t>
      </w:r>
      <w:r>
        <w:rPr>
          <w:rFonts w:ascii="Times New Roman" w:hAnsi="Times New Roman" w:cs="Times New Roman"/>
          <w:b/>
          <w:sz w:val="24"/>
          <w:szCs w:val="24"/>
        </w:rPr>
        <w:t>incidence rates of selected health outcomes of interest</w:t>
      </w:r>
      <w:r w:rsidRPr="00013688">
        <w:rPr>
          <w:rFonts w:ascii="Times New Roman" w:hAnsi="Times New Roman" w:cs="Times New Roman"/>
          <w:b/>
          <w:sz w:val="24"/>
          <w:szCs w:val="24"/>
        </w:rPr>
        <w:t xml:space="preserve"> </w:t>
      </w:r>
    </w:p>
    <w:tbl>
      <w:tblPr>
        <w:tblW w:w="10043" w:type="dxa"/>
        <w:tblLook w:val="04A0" w:firstRow="1" w:lastRow="0" w:firstColumn="1" w:lastColumn="0" w:noHBand="0" w:noVBand="1"/>
      </w:tblPr>
      <w:tblGrid>
        <w:gridCol w:w="4727"/>
        <w:gridCol w:w="1036"/>
        <w:gridCol w:w="1080"/>
        <w:gridCol w:w="1036"/>
        <w:gridCol w:w="825"/>
        <w:gridCol w:w="1339"/>
      </w:tblGrid>
      <w:tr w:rsidR="00400466" w:rsidRPr="007D799C" w:rsidTr="006B5079">
        <w:trPr>
          <w:trHeight w:val="315"/>
        </w:trPr>
        <w:tc>
          <w:tcPr>
            <w:tcW w:w="4727" w:type="dxa"/>
            <w:vMerge w:val="restart"/>
            <w:tcBorders>
              <w:top w:val="single" w:sz="8" w:space="0" w:color="auto"/>
              <w:left w:val="single" w:sz="8" w:space="0" w:color="auto"/>
              <w:right w:val="nil"/>
            </w:tcBorders>
            <w:shd w:val="clear" w:color="auto" w:fill="F2F2F2" w:themeFill="background1" w:themeFillShade="F2"/>
            <w:noWrap/>
            <w:hideMark/>
          </w:tcPr>
          <w:p w:rsidR="00400466" w:rsidRPr="007D799C" w:rsidRDefault="00400466" w:rsidP="006B5079">
            <w:pPr>
              <w:spacing w:after="0" w:line="240" w:lineRule="auto"/>
              <w:rPr>
                <w:rFonts w:ascii="Times New Roman" w:eastAsia="Times New Roman" w:hAnsi="Times New Roman" w:cs="Times New Roman"/>
                <w:b/>
                <w:bCs/>
                <w:color w:val="000000"/>
              </w:rPr>
            </w:pPr>
            <w:r w:rsidRPr="007D799C">
              <w:rPr>
                <w:rFonts w:ascii="Times New Roman" w:eastAsia="Times New Roman" w:hAnsi="Times New Roman" w:cs="Times New Roman"/>
                <w:b/>
                <w:bCs/>
                <w:color w:val="000000"/>
              </w:rPr>
              <w:t> </w:t>
            </w:r>
          </w:p>
          <w:p w:rsidR="00400466" w:rsidRPr="007D799C" w:rsidRDefault="00400466" w:rsidP="006B5079">
            <w:pPr>
              <w:spacing w:after="0" w:line="240" w:lineRule="auto"/>
              <w:rPr>
                <w:rFonts w:ascii="Times New Roman" w:eastAsia="Times New Roman" w:hAnsi="Times New Roman" w:cs="Times New Roman"/>
                <w:b/>
                <w:bCs/>
                <w:color w:val="000000"/>
              </w:rPr>
            </w:pPr>
            <w:r w:rsidRPr="007D799C">
              <w:rPr>
                <w:rFonts w:ascii="Times New Roman" w:eastAsia="Times New Roman" w:hAnsi="Times New Roman" w:cs="Times New Roman"/>
                <w:color w:val="000000"/>
              </w:rPr>
              <w:t> </w:t>
            </w:r>
            <w:r>
              <w:rPr>
                <w:rFonts w:ascii="Times New Roman" w:eastAsia="Times New Roman" w:hAnsi="Times New Roman" w:cs="Times New Roman"/>
                <w:color w:val="000000"/>
              </w:rPr>
              <w:t>Health outcome of interest</w:t>
            </w:r>
          </w:p>
        </w:tc>
        <w:tc>
          <w:tcPr>
            <w:tcW w:w="5316" w:type="dxa"/>
            <w:gridSpan w:val="5"/>
            <w:tcBorders>
              <w:top w:val="single" w:sz="8" w:space="0" w:color="auto"/>
              <w:left w:val="single" w:sz="8" w:space="0" w:color="auto"/>
              <w:bottom w:val="single" w:sz="8" w:space="0" w:color="auto"/>
              <w:right w:val="single" w:sz="8" w:space="0" w:color="000000"/>
            </w:tcBorders>
            <w:shd w:val="clear" w:color="auto" w:fill="F2F2F2" w:themeFill="background1" w:themeFillShade="F2"/>
            <w:noWrap/>
            <w:vAlign w:val="center"/>
            <w:hideMark/>
          </w:tcPr>
          <w:p w:rsidR="00400466" w:rsidRPr="007D799C" w:rsidRDefault="00400466" w:rsidP="006B5079">
            <w:pPr>
              <w:spacing w:after="0" w:line="240" w:lineRule="auto"/>
              <w:jc w:val="center"/>
              <w:rPr>
                <w:rFonts w:ascii="Times New Roman" w:eastAsia="Times New Roman" w:hAnsi="Times New Roman" w:cs="Times New Roman"/>
                <w:b/>
                <w:bCs/>
                <w:color w:val="000000"/>
              </w:rPr>
            </w:pPr>
            <w:r w:rsidRPr="007D799C">
              <w:rPr>
                <w:rFonts w:ascii="Times New Roman" w:eastAsia="Times New Roman" w:hAnsi="Times New Roman" w:cs="Times New Roman"/>
                <w:b/>
                <w:bCs/>
                <w:color w:val="000000"/>
              </w:rPr>
              <w:t>Hospitalization or Emergency Room</w:t>
            </w:r>
          </w:p>
        </w:tc>
      </w:tr>
      <w:tr w:rsidR="00400466" w:rsidRPr="007D799C" w:rsidTr="006B5079">
        <w:trPr>
          <w:trHeight w:val="615"/>
        </w:trPr>
        <w:tc>
          <w:tcPr>
            <w:tcW w:w="4727" w:type="dxa"/>
            <w:vMerge/>
            <w:tcBorders>
              <w:left w:val="single" w:sz="8" w:space="0" w:color="auto"/>
              <w:bottom w:val="single" w:sz="8" w:space="0" w:color="auto"/>
              <w:right w:val="nil"/>
            </w:tcBorders>
            <w:shd w:val="clear" w:color="auto" w:fill="F2F2F2" w:themeFill="background1" w:themeFillShade="F2"/>
            <w:noWrap/>
            <w:vAlign w:val="bottom"/>
            <w:hideMark/>
          </w:tcPr>
          <w:p w:rsidR="00400466" w:rsidRPr="007D799C" w:rsidRDefault="00400466" w:rsidP="006B5079">
            <w:pPr>
              <w:spacing w:after="0" w:line="240" w:lineRule="auto"/>
              <w:rPr>
                <w:rFonts w:ascii="Times New Roman" w:eastAsia="Times New Roman" w:hAnsi="Times New Roman" w:cs="Times New Roman"/>
                <w:color w:val="000000"/>
              </w:rPr>
            </w:pPr>
          </w:p>
        </w:tc>
        <w:tc>
          <w:tcPr>
            <w:tcW w:w="1036" w:type="dxa"/>
            <w:tcBorders>
              <w:top w:val="nil"/>
              <w:left w:val="single" w:sz="8" w:space="0" w:color="auto"/>
              <w:bottom w:val="single" w:sz="8" w:space="0" w:color="auto"/>
              <w:right w:val="nil"/>
            </w:tcBorders>
            <w:shd w:val="clear" w:color="auto" w:fill="F2F2F2" w:themeFill="background1" w:themeFillShade="F2"/>
            <w:vAlign w:val="center"/>
            <w:hideMark/>
          </w:tcPr>
          <w:p w:rsidR="00400466" w:rsidRPr="007D799C" w:rsidRDefault="00400466" w:rsidP="006B5079">
            <w:pPr>
              <w:spacing w:after="0" w:line="240" w:lineRule="auto"/>
              <w:jc w:val="center"/>
              <w:rPr>
                <w:rFonts w:ascii="Times New Roman" w:eastAsia="Times New Roman" w:hAnsi="Times New Roman" w:cs="Times New Roman"/>
                <w:color w:val="000000"/>
              </w:rPr>
            </w:pPr>
            <w:r w:rsidRPr="007D799C">
              <w:rPr>
                <w:rFonts w:ascii="Times New Roman" w:eastAsia="Times New Roman" w:hAnsi="Times New Roman" w:cs="Times New Roman"/>
                <w:color w:val="000000"/>
              </w:rPr>
              <w:t>Events</w:t>
            </w:r>
          </w:p>
        </w:tc>
        <w:tc>
          <w:tcPr>
            <w:tcW w:w="1080" w:type="dxa"/>
            <w:tcBorders>
              <w:top w:val="nil"/>
              <w:left w:val="nil"/>
              <w:bottom w:val="single" w:sz="8" w:space="0" w:color="auto"/>
              <w:right w:val="nil"/>
            </w:tcBorders>
            <w:shd w:val="clear" w:color="auto" w:fill="F2F2F2" w:themeFill="background1" w:themeFillShade="F2"/>
            <w:vAlign w:val="center"/>
            <w:hideMark/>
          </w:tcPr>
          <w:p w:rsidR="00400466" w:rsidRPr="007D799C" w:rsidRDefault="00400466" w:rsidP="006B5079">
            <w:pPr>
              <w:spacing w:after="0" w:line="240" w:lineRule="auto"/>
              <w:jc w:val="center"/>
              <w:rPr>
                <w:rFonts w:ascii="Times New Roman" w:eastAsia="Times New Roman" w:hAnsi="Times New Roman" w:cs="Times New Roman"/>
                <w:color w:val="000000"/>
              </w:rPr>
            </w:pPr>
            <w:r w:rsidRPr="007D799C">
              <w:rPr>
                <w:rFonts w:ascii="Times New Roman" w:eastAsia="Times New Roman" w:hAnsi="Times New Roman" w:cs="Times New Roman"/>
                <w:color w:val="000000"/>
              </w:rPr>
              <w:t>Person-years</w:t>
            </w:r>
          </w:p>
        </w:tc>
        <w:tc>
          <w:tcPr>
            <w:tcW w:w="1036" w:type="dxa"/>
            <w:tcBorders>
              <w:top w:val="nil"/>
              <w:left w:val="nil"/>
              <w:bottom w:val="single" w:sz="8" w:space="0" w:color="auto"/>
              <w:right w:val="nil"/>
            </w:tcBorders>
            <w:shd w:val="clear" w:color="auto" w:fill="F2F2F2" w:themeFill="background1" w:themeFillShade="F2"/>
            <w:vAlign w:val="center"/>
            <w:hideMark/>
          </w:tcPr>
          <w:p w:rsidR="00400466" w:rsidRPr="007D799C" w:rsidRDefault="00400466" w:rsidP="006B5079">
            <w:pPr>
              <w:spacing w:after="0" w:line="240" w:lineRule="auto"/>
              <w:jc w:val="center"/>
              <w:rPr>
                <w:rFonts w:ascii="Times New Roman" w:eastAsia="Times New Roman" w:hAnsi="Times New Roman" w:cs="Times New Roman"/>
                <w:color w:val="000000"/>
              </w:rPr>
            </w:pPr>
            <w:r w:rsidRPr="007D799C">
              <w:rPr>
                <w:rFonts w:ascii="Times New Roman" w:eastAsia="Times New Roman" w:hAnsi="Times New Roman" w:cs="Times New Roman"/>
                <w:color w:val="000000"/>
              </w:rPr>
              <w:t>IR</w:t>
            </w:r>
            <w:r w:rsidRPr="00255E58">
              <w:rPr>
                <w:rFonts w:ascii="Times New Roman" w:eastAsia="Times New Roman" w:hAnsi="Times New Roman" w:cs="Times New Roman"/>
                <w:color w:val="000000"/>
                <w:vertAlign w:val="superscript"/>
              </w:rPr>
              <w:t>1</w:t>
            </w:r>
          </w:p>
        </w:tc>
        <w:tc>
          <w:tcPr>
            <w:tcW w:w="2164" w:type="dxa"/>
            <w:gridSpan w:val="2"/>
            <w:tcBorders>
              <w:top w:val="single" w:sz="8" w:space="0" w:color="auto"/>
              <w:left w:val="nil"/>
              <w:bottom w:val="single" w:sz="8" w:space="0" w:color="auto"/>
              <w:right w:val="single" w:sz="8" w:space="0" w:color="000000"/>
            </w:tcBorders>
            <w:shd w:val="clear" w:color="auto" w:fill="F2F2F2" w:themeFill="background1" w:themeFillShade="F2"/>
            <w:vAlign w:val="center"/>
            <w:hideMark/>
          </w:tcPr>
          <w:p w:rsidR="00400466" w:rsidRPr="007D799C" w:rsidRDefault="00400466" w:rsidP="006B5079">
            <w:pPr>
              <w:spacing w:after="0" w:line="240" w:lineRule="auto"/>
              <w:jc w:val="center"/>
              <w:rPr>
                <w:rFonts w:ascii="Times New Roman" w:eastAsia="Times New Roman" w:hAnsi="Times New Roman" w:cs="Times New Roman"/>
                <w:color w:val="000000"/>
              </w:rPr>
            </w:pPr>
            <w:r w:rsidRPr="007D799C">
              <w:rPr>
                <w:rFonts w:ascii="Times New Roman" w:eastAsia="Times New Roman" w:hAnsi="Times New Roman" w:cs="Times New Roman"/>
                <w:color w:val="000000"/>
              </w:rPr>
              <w:t>95% CI</w:t>
            </w:r>
          </w:p>
        </w:tc>
      </w:tr>
      <w:tr w:rsidR="00400466" w:rsidRPr="007D799C" w:rsidTr="006B5079">
        <w:trPr>
          <w:trHeight w:val="36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Serious infection</w:t>
            </w:r>
            <w:r w:rsidRPr="007D799C">
              <w:rPr>
                <w:rFonts w:ascii="Times New Roman" w:eastAsia="Times New Roman" w:hAnsi="Times New Roman" w:cs="Times New Roman"/>
                <w:color w:val="000000"/>
                <w:vertAlign w:val="superscript"/>
              </w:rPr>
              <w:t>3</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6,662</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25868</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25.78</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25.17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26.41</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 xml:space="preserve">Rash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both"/>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color w:val="000000"/>
              </w:rPr>
            </w:pPr>
            <w:r w:rsidRPr="007D799C">
              <w:rPr>
                <w:rFonts w:ascii="Times New Roman" w:eastAsia="Times New Roman" w:hAnsi="Times New Roman" w:cs="Times New Roman"/>
                <w:color w:val="000000"/>
              </w:rPr>
              <w:t> </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Any Rash</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106</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25429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0.42</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0.34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Severe cutaneous rash safety events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21</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25781</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0.08</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0.05</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Colitis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388</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24639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1.57</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1.42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1.74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 xml:space="preserve">Pneumonitis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both"/>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color w:val="000000"/>
              </w:rPr>
            </w:pPr>
            <w:r w:rsidRPr="007D799C">
              <w:rPr>
                <w:rFonts w:ascii="Times New Roman" w:eastAsia="Times New Roman" w:hAnsi="Times New Roman" w:cs="Times New Roman"/>
                <w:color w:val="000000"/>
              </w:rPr>
              <w:t> </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Interstitial lung disease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42</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25767</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0.16</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Hypersensitivity pneumonitis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Pneumonitis or acute interstitial pneumonitis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25764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0.16</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0.27</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Hepatitis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both"/>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color w:val="000000"/>
              </w:rPr>
            </w:pPr>
            <w:r w:rsidRPr="007D799C">
              <w:rPr>
                <w:rFonts w:ascii="Times New Roman" w:eastAsia="Times New Roman" w:hAnsi="Times New Roman" w:cs="Times New Roman"/>
                <w:color w:val="000000"/>
              </w:rPr>
              <w:t> </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Hepatic failure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185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25411</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0.73</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0.63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0.84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Autoimmune hepatitis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Hepatitis (not specified as viral)</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25832</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0.09</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Liver disorder</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338</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25181</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1.34</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1.49</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Transaminases increased</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38</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25814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0.11</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 xml:space="preserve">Nephritis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1,114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23974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4.65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4.38</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4.93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Renal failure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1,124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24065</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4.67</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4.95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proofErr w:type="spellStart"/>
            <w:r w:rsidRPr="007D799C">
              <w:rPr>
                <w:rFonts w:ascii="Times New Roman" w:eastAsia="Times New Roman" w:hAnsi="Times New Roman" w:cs="Times New Roman"/>
                <w:color w:val="000000"/>
              </w:rPr>
              <w:t>Endocrinopathies</w:t>
            </w:r>
            <w:proofErr w:type="spellEnd"/>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both"/>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color w:val="000000"/>
              </w:rPr>
            </w:pPr>
            <w:r w:rsidRPr="007D799C">
              <w:rPr>
                <w:rFonts w:ascii="Times New Roman" w:eastAsia="Times New Roman" w:hAnsi="Times New Roman" w:cs="Times New Roman"/>
                <w:color w:val="000000"/>
              </w:rPr>
              <w:t> </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Adrenal insufficiency</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25823</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0.08</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0.05</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Acute and chronic thyroiditis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Diabetes mellitus, type 1</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27</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25738</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Diabetic ketoacidosis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17</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25808</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0.07</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 xml:space="preserve">Hypogonadism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proofErr w:type="spellStart"/>
            <w:r w:rsidRPr="007D799C">
              <w:rPr>
                <w:rFonts w:ascii="Times New Roman" w:eastAsia="Times New Roman" w:hAnsi="Times New Roman" w:cs="Times New Roman"/>
                <w:color w:val="000000"/>
              </w:rPr>
              <w:t>Hypophysitis</w:t>
            </w:r>
            <w:proofErr w:type="spellEnd"/>
            <w:r w:rsidRPr="007D799C">
              <w:rPr>
                <w:rFonts w:ascii="Times New Roman" w:eastAsia="Times New Roman" w:hAnsi="Times New Roman" w:cs="Times New Roman"/>
                <w:color w:val="000000"/>
              </w:rPr>
              <w:t xml:space="preserve"> or hypopituitarism</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22</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25828</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0.09</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0.05</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Hypothyroidism</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25569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0.41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0.34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0.49</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lastRenderedPageBreak/>
              <w:t xml:space="preserve">Thyroid </w:t>
            </w:r>
            <w:proofErr w:type="spellStart"/>
            <w:r w:rsidRPr="007D799C">
              <w:rPr>
                <w:rFonts w:ascii="Times New Roman" w:eastAsia="Times New Roman" w:hAnsi="Times New Roman" w:cs="Times New Roman"/>
                <w:color w:val="000000"/>
              </w:rPr>
              <w:t>hyperfunction</w:t>
            </w:r>
            <w:proofErr w:type="spellEnd"/>
            <w:r w:rsidRPr="007D799C">
              <w:rPr>
                <w:rFonts w:ascii="Times New Roman" w:eastAsia="Times New Roman" w:hAnsi="Times New Roman" w:cs="Times New Roman"/>
                <w:color w:val="000000"/>
              </w:rPr>
              <w:t xml:space="preserve"> disorders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25791</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0.09</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jc w:val="both"/>
              <w:rPr>
                <w:rFonts w:ascii="Times New Roman" w:eastAsia="Times New Roman" w:hAnsi="Times New Roman" w:cs="Times New Roman"/>
                <w:color w:val="000000"/>
              </w:rPr>
            </w:pPr>
            <w:r w:rsidRPr="007D799C">
              <w:rPr>
                <w:rFonts w:ascii="Times New Roman" w:eastAsia="Times New Roman" w:hAnsi="Times New Roman" w:cs="Times New Roman"/>
                <w:color w:val="000000"/>
              </w:rPr>
              <w:t xml:space="preserve">Other safety events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both"/>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sz w:val="20"/>
                <w:szCs w:val="20"/>
              </w:rPr>
            </w:pP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rPr>
                <w:rFonts w:ascii="Times New Roman" w:eastAsia="Times New Roman" w:hAnsi="Times New Roman" w:cs="Times New Roman"/>
                <w:color w:val="000000"/>
              </w:rPr>
            </w:pPr>
            <w:r w:rsidRPr="007D799C">
              <w:rPr>
                <w:rFonts w:ascii="Times New Roman" w:eastAsia="Times New Roman" w:hAnsi="Times New Roman" w:cs="Times New Roman"/>
                <w:color w:val="000000"/>
              </w:rPr>
              <w:t> </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Abdominal pain</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2,952</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12345</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23.91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23.06</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24.79</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Anemia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956</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23385</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4.09</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3.84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4.35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Anorexia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57</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25782</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0.22</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0.28</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Autoimmune disorder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25827</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0.09</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Backache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444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24784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1.79</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1.63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1.96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Constipation</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713</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24304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2.93</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2.72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3.16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Cough</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545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24365</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2.24</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2.05</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Diarrhea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418</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24825</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1.68</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1.53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1.85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Disorders of bilirubin excretion</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17</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25857</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0.07</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Disorders of phosphorus metabolism</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Dizziness and giddiness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423</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24254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1.74</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1.58</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1.92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Edema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673</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24536</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2.74</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2.96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Encephalitis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Fever</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1,184</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22980</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5.15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4.87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5.45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 xml:space="preserve">Guillain-Barre Syndrome </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Hypertension</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862</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22596</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3.81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3.57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4.08</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Hypopotassemia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292</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25239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1.16</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proofErr w:type="spellStart"/>
            <w:r w:rsidRPr="007D799C">
              <w:rPr>
                <w:rFonts w:ascii="Times New Roman" w:eastAsia="Times New Roman" w:hAnsi="Times New Roman" w:cs="Times New Roman"/>
                <w:color w:val="000000"/>
              </w:rPr>
              <w:t>Hyposmolality</w:t>
            </w:r>
            <w:proofErr w:type="spellEnd"/>
            <w:r w:rsidRPr="007D799C">
              <w:rPr>
                <w:rFonts w:ascii="Times New Roman" w:eastAsia="Times New Roman" w:hAnsi="Times New Roman" w:cs="Times New Roman"/>
                <w:color w:val="000000"/>
              </w:rPr>
              <w:t xml:space="preserve"> and/or hyponatremia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347</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25319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1.37</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1.23</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1.52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Hypoxemia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509</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24888</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2.05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1.87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2.23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Iritis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Leukocytosis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350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25287</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1.38</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1.24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1.53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Localized superficial swelling, mass, or lump</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126</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25696</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0.49</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0.41</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0.58</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proofErr w:type="spellStart"/>
            <w:r w:rsidRPr="007D799C">
              <w:rPr>
                <w:rFonts w:ascii="Times New Roman" w:eastAsia="Times New Roman" w:hAnsi="Times New Roman" w:cs="Times New Roman"/>
                <w:color w:val="000000"/>
              </w:rPr>
              <w:t>Lymphocytopenia</w:t>
            </w:r>
            <w:proofErr w:type="spellEnd"/>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Malaise and fatigue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1,189</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23563</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5.05</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4.77</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5.34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Myasthenia gravis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Myocarditis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25865</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Myositis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25771</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0.06</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Nausea and Vomiting</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1,685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22249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7.57</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7.22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7.94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Pain in joint</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635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23267</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2.73</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2.95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lastRenderedPageBreak/>
              <w:t>Pain in limb</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796</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23256</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3.42</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3.19</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3.67</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Pancreatitis (acute or autoimmune)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91</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25549</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0.36</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0.29</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0.44</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Psoriasis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Respiratory abnormalities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Rheumatoid Arthritis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11</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25807</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0.04</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0.02</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0.07</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Sarcoidosis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≤10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n/a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0.03</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Systemic inflammatory response syndrome</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50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25772</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0.19</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0.15</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0.25</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Thrombocytopenia</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215</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25502</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0.84</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0.74</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0.96</w:t>
            </w:r>
          </w:p>
        </w:tc>
      </w:tr>
      <w:tr w:rsidR="00400466" w:rsidRPr="007D799C" w:rsidTr="006B5079">
        <w:trPr>
          <w:trHeight w:val="300"/>
        </w:trPr>
        <w:tc>
          <w:tcPr>
            <w:tcW w:w="4727" w:type="dxa"/>
            <w:tcBorders>
              <w:top w:val="nil"/>
              <w:left w:val="single" w:sz="8" w:space="0" w:color="auto"/>
              <w:bottom w:val="nil"/>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Uveitis</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080"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25864</w:t>
            </w:r>
          </w:p>
        </w:tc>
        <w:tc>
          <w:tcPr>
            <w:tcW w:w="1036"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0.00</w:t>
            </w:r>
          </w:p>
        </w:tc>
        <w:tc>
          <w:tcPr>
            <w:tcW w:w="825" w:type="dxa"/>
            <w:tcBorders>
              <w:top w:val="nil"/>
              <w:left w:val="nil"/>
              <w:bottom w:val="nil"/>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nil"/>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r>
      <w:tr w:rsidR="00400466" w:rsidRPr="007D799C" w:rsidTr="006B5079">
        <w:trPr>
          <w:trHeight w:val="315"/>
        </w:trPr>
        <w:tc>
          <w:tcPr>
            <w:tcW w:w="4727" w:type="dxa"/>
            <w:tcBorders>
              <w:top w:val="nil"/>
              <w:left w:val="single" w:sz="8" w:space="0" w:color="auto"/>
              <w:bottom w:val="single" w:sz="8" w:space="0" w:color="auto"/>
              <w:right w:val="single" w:sz="8" w:space="0" w:color="auto"/>
            </w:tcBorders>
            <w:shd w:val="clear" w:color="auto" w:fill="auto"/>
            <w:noWrap/>
            <w:vAlign w:val="center"/>
            <w:hideMark/>
          </w:tcPr>
          <w:p w:rsidR="00400466" w:rsidRPr="007D799C" w:rsidRDefault="00400466" w:rsidP="006B5079">
            <w:pPr>
              <w:spacing w:after="0" w:line="240" w:lineRule="auto"/>
              <w:ind w:firstLineChars="200" w:firstLine="440"/>
              <w:rPr>
                <w:rFonts w:ascii="Times New Roman" w:eastAsia="Times New Roman" w:hAnsi="Times New Roman" w:cs="Times New Roman"/>
                <w:color w:val="000000"/>
              </w:rPr>
            </w:pPr>
            <w:r w:rsidRPr="007D799C">
              <w:rPr>
                <w:rFonts w:ascii="Times New Roman" w:eastAsia="Times New Roman" w:hAnsi="Times New Roman" w:cs="Times New Roman"/>
                <w:color w:val="000000"/>
              </w:rPr>
              <w:t>Vitiligo</w:t>
            </w:r>
          </w:p>
        </w:tc>
        <w:tc>
          <w:tcPr>
            <w:tcW w:w="1036" w:type="dxa"/>
            <w:tcBorders>
              <w:top w:val="nil"/>
              <w:left w:val="nil"/>
              <w:bottom w:val="single" w:sz="8" w:space="0" w:color="auto"/>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080" w:type="dxa"/>
            <w:tcBorders>
              <w:top w:val="nil"/>
              <w:left w:val="nil"/>
              <w:bottom w:val="single" w:sz="8" w:space="0" w:color="auto"/>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25868</w:t>
            </w:r>
          </w:p>
        </w:tc>
        <w:tc>
          <w:tcPr>
            <w:tcW w:w="1036" w:type="dxa"/>
            <w:tcBorders>
              <w:top w:val="nil"/>
              <w:left w:val="nil"/>
              <w:bottom w:val="single" w:sz="8" w:space="0" w:color="auto"/>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0.00</w:t>
            </w:r>
          </w:p>
        </w:tc>
        <w:tc>
          <w:tcPr>
            <w:tcW w:w="825" w:type="dxa"/>
            <w:tcBorders>
              <w:top w:val="nil"/>
              <w:left w:val="nil"/>
              <w:bottom w:val="single" w:sz="8" w:space="0" w:color="auto"/>
              <w:right w:val="nil"/>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w:t>
            </w:r>
          </w:p>
        </w:tc>
        <w:tc>
          <w:tcPr>
            <w:tcW w:w="1339" w:type="dxa"/>
            <w:tcBorders>
              <w:top w:val="nil"/>
              <w:left w:val="nil"/>
              <w:bottom w:val="single" w:sz="8" w:space="0" w:color="auto"/>
              <w:right w:val="single" w:sz="8" w:space="0" w:color="auto"/>
            </w:tcBorders>
            <w:shd w:val="clear" w:color="auto" w:fill="auto"/>
            <w:noWrap/>
            <w:vAlign w:val="bottom"/>
            <w:hideMark/>
          </w:tcPr>
          <w:p w:rsidR="00400466" w:rsidRPr="007D799C" w:rsidRDefault="00400466" w:rsidP="006B5079">
            <w:pPr>
              <w:spacing w:after="0" w:line="240" w:lineRule="auto"/>
              <w:jc w:val="right"/>
              <w:rPr>
                <w:rFonts w:ascii="Times New Roman" w:eastAsia="Times New Roman" w:hAnsi="Times New Roman" w:cs="Times New Roman"/>
                <w:color w:val="000000"/>
              </w:rPr>
            </w:pPr>
            <w:r w:rsidRPr="007D799C">
              <w:rPr>
                <w:rFonts w:ascii="Times New Roman" w:eastAsia="Times New Roman" w:hAnsi="Times New Roman" w:cs="Times New Roman"/>
                <w:color w:val="000000"/>
              </w:rPr>
              <w:t>0.01</w:t>
            </w:r>
          </w:p>
        </w:tc>
      </w:tr>
    </w:tbl>
    <w:p w:rsidR="00400466" w:rsidRDefault="00400466" w:rsidP="00400466">
      <w:r>
        <w:rPr>
          <w:noProof/>
          <w:lang w:val="en-PH" w:eastAsia="en-PH"/>
        </w:rPr>
        <mc:AlternateContent>
          <mc:Choice Requires="wps">
            <w:drawing>
              <wp:anchor distT="0" distB="0" distL="114300" distR="114300" simplePos="0" relativeHeight="251661312" behindDoc="0" locked="0" layoutInCell="1" allowOverlap="1" wp14:anchorId="1DD1DEBA" wp14:editId="175A3DB2">
                <wp:simplePos x="0" y="0"/>
                <wp:positionH relativeFrom="page">
                  <wp:align>right</wp:align>
                </wp:positionH>
                <wp:positionV relativeFrom="paragraph">
                  <wp:posOffset>32740</wp:posOffset>
                </wp:positionV>
                <wp:extent cx="9120249" cy="1983179"/>
                <wp:effectExtent l="0" t="0" r="24130" b="17145"/>
                <wp:wrapNone/>
                <wp:docPr id="9"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900-000002000000}"/>
                    </a:ext>
                  </a:extLst>
                </wp:docPr>
                <wp:cNvGraphicFramePr/>
                <a:graphic xmlns:a="http://schemas.openxmlformats.org/drawingml/2006/main">
                  <a:graphicData uri="http://schemas.microsoft.com/office/word/2010/wordprocessingShape">
                    <wps:wsp>
                      <wps:cNvSpPr txBox="1"/>
                      <wps:spPr>
                        <a:xfrm>
                          <a:off x="0" y="0"/>
                          <a:ext cx="9120249" cy="1983179"/>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400466" w:rsidRDefault="00400466" w:rsidP="00400466">
                            <w:pPr>
                              <w:pStyle w:val="NormalWeb"/>
                              <w:spacing w:before="0" w:beforeAutospacing="0" w:after="0" w:afterAutospacing="0"/>
                            </w:pPr>
                            <w:r>
                              <w:rPr>
                                <w:color w:val="000000" w:themeColor="dark1"/>
                                <w:sz w:val="22"/>
                                <w:szCs w:val="22"/>
                              </w:rPr>
                              <w:t>Abbreviations: CI, confidence interval; IR, incidence rate</w:t>
                            </w:r>
                          </w:p>
                          <w:p w:rsidR="00400466" w:rsidRDefault="00400466" w:rsidP="00400466">
                            <w:pPr>
                              <w:pStyle w:val="NormalWeb"/>
                              <w:spacing w:before="0" w:beforeAutospacing="0" w:after="0" w:afterAutospacing="0"/>
                            </w:pPr>
                            <w:proofErr w:type="gramStart"/>
                            <w:r>
                              <w:rPr>
                                <w:color w:val="000000" w:themeColor="dark1"/>
                                <w:sz w:val="22"/>
                                <w:szCs w:val="22"/>
                              </w:rPr>
                              <w:t>1</w:t>
                            </w:r>
                            <w:proofErr w:type="gramEnd"/>
                            <w:r>
                              <w:rPr>
                                <w:color w:val="000000" w:themeColor="dark1"/>
                                <w:sz w:val="22"/>
                                <w:szCs w:val="22"/>
                              </w:rPr>
                              <w:t xml:space="preserve">: Estimates of IR are shown per 100 person-years. Incidence is calculated as the number of new events divided by the sum of person-time at risk, defined as the time between the start of follow-up and the date of the event. In each row, individuals who had a diagnosis of the applicable event prior to the start of follow-up (i.e., prevalent cases) were not included. </w:t>
                            </w:r>
                          </w:p>
                          <w:p w:rsidR="00400466" w:rsidRDefault="00400466" w:rsidP="00400466">
                            <w:pPr>
                              <w:pStyle w:val="NormalWeb"/>
                              <w:spacing w:before="0" w:beforeAutospacing="0" w:after="0" w:afterAutospacing="0"/>
                            </w:pPr>
                            <w:r>
                              <w:rPr>
                                <w:color w:val="000000" w:themeColor="dark1"/>
                                <w:sz w:val="22"/>
                                <w:szCs w:val="22"/>
                              </w:rPr>
                              <w:t>2: While most safety events were defined based on two or more applicable diagnosis codes in any setting for "any event" and at least one principal discharge diagnosis with an applicable code for "hospitalization or emergency room events," infusion related reactions were defined based on a single pre-specified algorithm that considered symptoms, time since an observed administration or dispensing, and place of service. Given the acute nature of these outcomes we did not exclude patients who had the outcome prior to study follow-up (i.e., prevalent cases during the baseline period) and counted each separate occurrence of the events as long as they were at least seven days after the occurrence of the prior event.</w:t>
                            </w:r>
                          </w:p>
                          <w:p w:rsidR="00400466" w:rsidRDefault="00400466" w:rsidP="00400466">
                            <w:pPr>
                              <w:pStyle w:val="NormalWeb"/>
                              <w:spacing w:before="0" w:beforeAutospacing="0" w:after="0" w:afterAutospacing="0"/>
                            </w:pPr>
                            <w:proofErr w:type="gramStart"/>
                            <w:r>
                              <w:rPr>
                                <w:color w:val="000000" w:themeColor="dark1"/>
                                <w:sz w:val="22"/>
                                <w:szCs w:val="22"/>
                              </w:rPr>
                              <w:t>3</w:t>
                            </w:r>
                            <w:proofErr w:type="gramEnd"/>
                            <w:r>
                              <w:rPr>
                                <w:color w:val="000000" w:themeColor="dark1"/>
                                <w:sz w:val="22"/>
                                <w:szCs w:val="22"/>
                              </w:rPr>
                              <w:t>: Because serious infections were defined based on the need for acute care, all events occurred in hospital or emergency room settings. Also given their acute nature, these outcomes did not exclude patients who had the outcome prior to study follow-up (i.e., prevalent cases during the baseline period).</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1DEBA" id="_x0000_s1030" type="#_x0000_t202" style="position:absolute;margin-left:666.95pt;margin-top:2.6pt;width:718.15pt;height:156.1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" fillcolor="white [3201]" strokecolor="#7f7f7f [1601]">
                <v:textbox>
                  <w:txbxContent>
                    <w:p w:rsidR="00400466" w:rsidRDefault="00400466" w:rsidP="00400466">
                      <w:pPr>
                        <w:pStyle w:val="NormalWeb"/>
                        <w:spacing w:before="0" w:beforeAutospacing="0" w:after="0" w:afterAutospacing="0"/>
                      </w:pPr>
                      <w:r>
                        <w:rPr>
                          <w:color w:val="000000" w:themeColor="dark1"/>
                          <w:sz w:val="22"/>
                          <w:szCs w:val="22"/>
                        </w:rPr>
                        <w:t>Abbreviations: CI, confidence interval; IR, incidence rate</w:t>
                      </w:r>
                    </w:p>
                    <w:p w:rsidR="00400466" w:rsidRDefault="00400466" w:rsidP="00400466">
                      <w:pPr>
                        <w:pStyle w:val="NormalWeb"/>
                        <w:spacing w:before="0" w:beforeAutospacing="0" w:after="0" w:afterAutospacing="0"/>
                      </w:pPr>
                      <w:r>
                        <w:rPr>
                          <w:color w:val="000000" w:themeColor="dark1"/>
                          <w:sz w:val="22"/>
                          <w:szCs w:val="22"/>
                        </w:rPr>
                        <w:t xml:space="preserve">1: Estimates of IR are shown per 100 person-years. Incidence is calculated as the number of new events divided by the sum of person-time at risk, defined as the time between the start of follow-up and the date of the event. In each row, individuals who had a diagnosis of the applicable event prior to the start of follow-up (i.e., prevalent cases) were not included. </w:t>
                      </w:r>
                    </w:p>
                    <w:p w:rsidR="00400466" w:rsidRDefault="00400466" w:rsidP="00400466">
                      <w:pPr>
                        <w:pStyle w:val="NormalWeb"/>
                        <w:spacing w:before="0" w:beforeAutospacing="0" w:after="0" w:afterAutospacing="0"/>
                      </w:pPr>
                      <w:r>
                        <w:rPr>
                          <w:color w:val="000000" w:themeColor="dark1"/>
                          <w:sz w:val="22"/>
                          <w:szCs w:val="22"/>
                        </w:rPr>
                        <w:t>2: While most safety events were defined based on two or more applicable diagnosis codes in any setting for "any event" and at least one principal discharge diagnosis with an applicable code for "hospitalization or emergency room events," infusion related reactions were defined based on a single pre-specified algorithm that considered symptoms, time since an observed administration or dispensing, and place of service. Given the acute nature of these outcomes we did not exclude patients who had the outcome prior to study follow-up (i.e., prevalent cases during the baseline period) and counted each separate occurrence of the events as long as they were at least seven days after the occurrence of the prior event.</w:t>
                      </w:r>
                    </w:p>
                    <w:p w:rsidR="00400466" w:rsidRDefault="00400466" w:rsidP="00400466">
                      <w:pPr>
                        <w:pStyle w:val="NormalWeb"/>
                        <w:spacing w:before="0" w:beforeAutospacing="0" w:after="0" w:afterAutospacing="0"/>
                      </w:pPr>
                      <w:r>
                        <w:rPr>
                          <w:color w:val="000000" w:themeColor="dark1"/>
                          <w:sz w:val="22"/>
                          <w:szCs w:val="22"/>
                        </w:rPr>
                        <w:t>3: Because serious infections were defined based on the need for acute care, all events occurred in hospital or emergency room settings. Also given their acute nature, these outcomes did not exclude patients who had the outcome prior to study follow-up (i.e., prevalent cases during the baseline period).</w:t>
                      </w:r>
                    </w:p>
                  </w:txbxContent>
                </v:textbox>
                <w10:wrap anchorx="page"/>
              </v:shape>
            </w:pict>
          </mc:Fallback>
        </mc:AlternateContent>
      </w:r>
    </w:p>
    <w:p w:rsidR="00400466" w:rsidRPr="00726FF4" w:rsidRDefault="00400466" w:rsidP="00400466"/>
    <w:p w:rsidR="00400466" w:rsidRPr="00726FF4" w:rsidRDefault="00400466" w:rsidP="00400466"/>
    <w:p w:rsidR="00400466" w:rsidRPr="00726FF4" w:rsidRDefault="00400466" w:rsidP="00400466"/>
    <w:p w:rsidR="00400466" w:rsidRPr="00726FF4" w:rsidRDefault="00400466" w:rsidP="00400466"/>
    <w:p w:rsidR="00400466" w:rsidRPr="00726FF4" w:rsidRDefault="00400466" w:rsidP="00400466"/>
    <w:p w:rsidR="00400466" w:rsidRPr="00726FF4" w:rsidRDefault="00400466" w:rsidP="00400466"/>
    <w:p w:rsidR="00400466" w:rsidRPr="00726FF4" w:rsidRDefault="00400466" w:rsidP="00400466"/>
    <w:p w:rsidR="00400466" w:rsidRPr="00726FF4" w:rsidRDefault="00400466" w:rsidP="00400466"/>
    <w:p w:rsidR="00400466" w:rsidRDefault="00400466" w:rsidP="00400466"/>
    <w:p w:rsidR="00400466" w:rsidRDefault="00400466" w:rsidP="00400466">
      <w:pPr>
        <w:tabs>
          <w:tab w:val="left" w:pos="1534"/>
        </w:tabs>
      </w:pPr>
      <w:r>
        <w:tab/>
      </w:r>
    </w:p>
    <w:p w:rsidR="00400466" w:rsidRDefault="00400466" w:rsidP="00400466">
      <w:r>
        <w:br w:type="page"/>
      </w:r>
    </w:p>
    <w:p w:rsidR="00400466" w:rsidRPr="00140B65" w:rsidRDefault="00400466" w:rsidP="00400466">
      <w:pPr>
        <w:tabs>
          <w:tab w:val="left" w:pos="1534"/>
        </w:tabs>
        <w:rPr>
          <w:rFonts w:ascii="Times New Roman" w:hAnsi="Times New Roman" w:cs="Times New Roman"/>
          <w:sz w:val="24"/>
          <w:szCs w:val="24"/>
        </w:rPr>
      </w:pPr>
      <w:proofErr w:type="gramStart"/>
      <w:r w:rsidRPr="00140B65">
        <w:rPr>
          <w:rFonts w:ascii="Times New Roman" w:hAnsi="Times New Roman" w:cs="Times New Roman"/>
          <w:b/>
          <w:sz w:val="24"/>
          <w:szCs w:val="24"/>
        </w:rPr>
        <w:lastRenderedPageBreak/>
        <w:t xml:space="preserve">Supplemental Table </w:t>
      </w:r>
      <w:r>
        <w:rPr>
          <w:rFonts w:ascii="Times New Roman" w:hAnsi="Times New Roman" w:cs="Times New Roman"/>
          <w:b/>
          <w:sz w:val="24"/>
          <w:szCs w:val="24"/>
        </w:rPr>
        <w:t>6</w:t>
      </w:r>
      <w:r w:rsidRPr="00140B65">
        <w:rPr>
          <w:rFonts w:ascii="Times New Roman" w:hAnsi="Times New Roman" w:cs="Times New Roman"/>
          <w:b/>
          <w:sz w:val="24"/>
          <w:szCs w:val="24"/>
        </w:rPr>
        <w:t>.</w:t>
      </w:r>
      <w:proofErr w:type="gramEnd"/>
      <w:r w:rsidRPr="00140B65">
        <w:rPr>
          <w:rFonts w:ascii="Times New Roman" w:hAnsi="Times New Roman" w:cs="Times New Roman"/>
          <w:b/>
          <w:sz w:val="24"/>
          <w:szCs w:val="24"/>
        </w:rPr>
        <w:t xml:space="preserve"> </w:t>
      </w:r>
      <w:r>
        <w:rPr>
          <w:rFonts w:ascii="Times New Roman" w:hAnsi="Times New Roman" w:cs="Times New Roman"/>
          <w:b/>
          <w:sz w:val="24"/>
          <w:szCs w:val="24"/>
        </w:rPr>
        <w:t>Characteristics</w:t>
      </w:r>
      <w:r w:rsidRPr="00140B65">
        <w:rPr>
          <w:rFonts w:ascii="Times New Roman" w:hAnsi="Times New Roman" w:cs="Times New Roman"/>
          <w:b/>
          <w:sz w:val="24"/>
          <w:szCs w:val="24"/>
        </w:rPr>
        <w:t xml:space="preserve"> by </w:t>
      </w:r>
      <w:r>
        <w:rPr>
          <w:rFonts w:ascii="Times New Roman" w:hAnsi="Times New Roman" w:cs="Times New Roman"/>
          <w:b/>
          <w:sz w:val="24"/>
          <w:szCs w:val="24"/>
        </w:rPr>
        <w:t>National Death Index (</w:t>
      </w:r>
      <w:r w:rsidRPr="00140B65">
        <w:rPr>
          <w:rFonts w:ascii="Times New Roman" w:hAnsi="Times New Roman" w:cs="Times New Roman"/>
          <w:b/>
          <w:sz w:val="24"/>
          <w:szCs w:val="24"/>
        </w:rPr>
        <w:t>NDI</w:t>
      </w:r>
      <w:r>
        <w:rPr>
          <w:rFonts w:ascii="Times New Roman" w:hAnsi="Times New Roman" w:cs="Times New Roman"/>
          <w:b/>
          <w:sz w:val="24"/>
          <w:szCs w:val="24"/>
        </w:rPr>
        <w:t>)</w:t>
      </w:r>
      <w:r w:rsidRPr="00140B65">
        <w:rPr>
          <w:rFonts w:ascii="Times New Roman" w:hAnsi="Times New Roman" w:cs="Times New Roman"/>
          <w:b/>
          <w:sz w:val="24"/>
          <w:szCs w:val="24"/>
        </w:rPr>
        <w:t xml:space="preserve"> linkable status</w:t>
      </w:r>
    </w:p>
    <w:tbl>
      <w:tblPr>
        <w:tblW w:w="13815" w:type="dxa"/>
        <w:tblLook w:val="04A0" w:firstRow="1" w:lastRow="0" w:firstColumn="1" w:lastColumn="0" w:noHBand="0" w:noVBand="1"/>
      </w:tblPr>
      <w:tblGrid>
        <w:gridCol w:w="2976"/>
        <w:gridCol w:w="5822"/>
        <w:gridCol w:w="2377"/>
        <w:gridCol w:w="2640"/>
      </w:tblGrid>
      <w:tr w:rsidR="00400466" w:rsidRPr="00726FF4" w:rsidTr="006B5079">
        <w:trPr>
          <w:trHeight w:val="877"/>
        </w:trPr>
        <w:tc>
          <w:tcPr>
            <w:tcW w:w="8797" w:type="dxa"/>
            <w:gridSpan w:val="2"/>
            <w:tcBorders>
              <w:top w:val="single" w:sz="4" w:space="0" w:color="auto"/>
              <w:left w:val="single" w:sz="8" w:space="0" w:color="auto"/>
              <w:bottom w:val="single" w:sz="4" w:space="0" w:color="auto"/>
              <w:right w:val="single" w:sz="8" w:space="0" w:color="auto"/>
            </w:tcBorders>
            <w:shd w:val="clear" w:color="000000" w:fill="F2F2F2"/>
            <w:vAlign w:val="bottom"/>
            <w:hideMark/>
          </w:tcPr>
          <w:p w:rsidR="00400466" w:rsidRPr="00726FF4" w:rsidRDefault="00400466" w:rsidP="006B5079">
            <w:pPr>
              <w:spacing w:after="0" w:line="240" w:lineRule="auto"/>
              <w:rPr>
                <w:rFonts w:ascii="Times New Roman" w:eastAsia="Times New Roman" w:hAnsi="Times New Roman" w:cs="Times New Roman"/>
                <w:b/>
                <w:bCs/>
              </w:rPr>
            </w:pPr>
            <w:r w:rsidRPr="00726FF4">
              <w:rPr>
                <w:rFonts w:ascii="Times New Roman" w:eastAsia="Times New Roman" w:hAnsi="Times New Roman" w:cs="Times New Roman"/>
                <w:b/>
                <w:bCs/>
              </w:rPr>
              <w:t> </w:t>
            </w:r>
            <w:r>
              <w:rPr>
                <w:rFonts w:ascii="Times New Roman" w:eastAsia="Times New Roman" w:hAnsi="Times New Roman" w:cs="Times New Roman"/>
                <w:b/>
                <w:bCs/>
              </w:rPr>
              <w:t>Characteristic</w:t>
            </w:r>
          </w:p>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2377" w:type="dxa"/>
            <w:tcBorders>
              <w:top w:val="single" w:sz="4" w:space="0" w:color="auto"/>
              <w:left w:val="nil"/>
              <w:bottom w:val="single" w:sz="4" w:space="0" w:color="auto"/>
              <w:right w:val="nil"/>
            </w:tcBorders>
            <w:shd w:val="clear" w:color="000000" w:fill="F2F2F2"/>
            <w:vAlign w:val="bottom"/>
            <w:hideMark/>
          </w:tcPr>
          <w:p w:rsidR="00400466" w:rsidRPr="00726FF4" w:rsidRDefault="00400466" w:rsidP="006B5079">
            <w:pPr>
              <w:spacing w:after="0" w:line="240" w:lineRule="auto"/>
              <w:jc w:val="center"/>
              <w:rPr>
                <w:rFonts w:ascii="Times New Roman" w:eastAsia="Times New Roman" w:hAnsi="Times New Roman" w:cs="Times New Roman"/>
                <w:b/>
                <w:bCs/>
              </w:rPr>
            </w:pPr>
            <w:r w:rsidRPr="00726FF4">
              <w:rPr>
                <w:rFonts w:ascii="Times New Roman" w:eastAsia="Times New Roman" w:hAnsi="Times New Roman" w:cs="Times New Roman"/>
                <w:b/>
                <w:bCs/>
              </w:rPr>
              <w:t xml:space="preserve">NDI non-linkable Incident Cases </w:t>
            </w:r>
          </w:p>
        </w:tc>
        <w:tc>
          <w:tcPr>
            <w:tcW w:w="2640" w:type="dxa"/>
            <w:tcBorders>
              <w:top w:val="single" w:sz="4" w:space="0" w:color="auto"/>
              <w:left w:val="single" w:sz="8" w:space="0" w:color="auto"/>
              <w:bottom w:val="single" w:sz="4" w:space="0" w:color="auto"/>
              <w:right w:val="single" w:sz="4" w:space="0" w:color="auto"/>
            </w:tcBorders>
            <w:shd w:val="clear" w:color="000000" w:fill="F2F2F2"/>
            <w:vAlign w:val="bottom"/>
            <w:hideMark/>
          </w:tcPr>
          <w:p w:rsidR="00400466" w:rsidRPr="00726FF4" w:rsidRDefault="00400466" w:rsidP="006B5079">
            <w:pPr>
              <w:spacing w:after="0" w:line="240" w:lineRule="auto"/>
              <w:jc w:val="center"/>
              <w:rPr>
                <w:rFonts w:ascii="Times New Roman" w:eastAsia="Times New Roman" w:hAnsi="Times New Roman" w:cs="Times New Roman"/>
                <w:b/>
                <w:bCs/>
              </w:rPr>
            </w:pPr>
            <w:r w:rsidRPr="00726FF4">
              <w:rPr>
                <w:rFonts w:ascii="Times New Roman" w:eastAsia="Times New Roman" w:hAnsi="Times New Roman" w:cs="Times New Roman"/>
                <w:b/>
                <w:bCs/>
              </w:rPr>
              <w:t xml:space="preserve">NDI linkable Incident Cases </w:t>
            </w:r>
            <w:r w:rsidRPr="00726FF4">
              <w:rPr>
                <w:rFonts w:ascii="Times New Roman" w:eastAsia="Times New Roman" w:hAnsi="Times New Roman" w:cs="Times New Roman"/>
                <w:b/>
                <w:bCs/>
                <w:vertAlign w:val="superscript"/>
              </w:rPr>
              <w:t>0</w:t>
            </w:r>
          </w:p>
        </w:tc>
      </w:tr>
      <w:tr w:rsidR="00400466" w:rsidRPr="00726FF4" w:rsidTr="006B5079">
        <w:trPr>
          <w:trHeight w:val="356"/>
        </w:trPr>
        <w:tc>
          <w:tcPr>
            <w:tcW w:w="8797" w:type="dxa"/>
            <w:gridSpan w:val="2"/>
            <w:tcBorders>
              <w:top w:val="single" w:sz="4" w:space="0" w:color="auto"/>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Total confirmed advanced incident cancer cases (N, %)</w:t>
            </w:r>
            <w:r w:rsidRPr="00726FF4">
              <w:rPr>
                <w:rFonts w:ascii="Times New Roman" w:eastAsia="Times New Roman" w:hAnsi="Times New Roman" w:cs="Times New Roman"/>
                <w:vertAlign w:val="superscript"/>
              </w:rPr>
              <w:t>1,2</w:t>
            </w:r>
          </w:p>
        </w:tc>
        <w:tc>
          <w:tcPr>
            <w:tcW w:w="2377" w:type="dxa"/>
            <w:tcBorders>
              <w:top w:val="single" w:sz="4" w:space="0" w:color="auto"/>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single" w:sz="4" w:space="0" w:color="auto"/>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342"/>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Advanced stage at diagnosis, N (%)</w:t>
            </w:r>
            <w:r w:rsidRPr="00726FF4">
              <w:rPr>
                <w:rFonts w:ascii="Times New Roman" w:eastAsia="Times New Roman" w:hAnsi="Times New Roman" w:cs="Times New Roman"/>
                <w:vertAlign w:val="superscript"/>
              </w:rPr>
              <w:t>3</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3,869 (96.94%)</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8,368 (96.54%)</w:t>
            </w:r>
          </w:p>
        </w:tc>
      </w:tr>
      <w:tr w:rsidR="00400466" w:rsidRPr="00726FF4" w:rsidTr="006B5079">
        <w:trPr>
          <w:trHeight w:val="312"/>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Diagnosed as early stage and progressed to advanced stage, N</w:t>
            </w:r>
            <w:r>
              <w:rPr>
                <w:rFonts w:ascii="Times New Roman" w:eastAsia="Times New Roman" w:hAnsi="Times New Roman" w:cs="Times New Roman"/>
              </w:rPr>
              <w:t xml:space="preserve"> </w:t>
            </w:r>
            <w:r w:rsidRPr="00726FF4">
              <w:rPr>
                <w:rFonts w:ascii="Times New Roman" w:eastAsia="Times New Roman" w:hAnsi="Times New Roman" w:cs="Times New Roman"/>
              </w:rPr>
              <w:t>(%)</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122 (3.06%)</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300 (3.46%)</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Age (years)</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Mean (SD)</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57.30 (12.80)</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64.08 (14.00)</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Q1</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50</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55</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Median</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58</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64</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Q3</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64</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74</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Region</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Midwest</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801 (22.23%)</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2,635 (31.15%)</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Northeast</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791 (21.95%)</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1,502 (17.75%)</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South</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1,147 (31.83%)</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1,829 (21.62%)</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West</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864 (23.98%)</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2,494 (29.48%)</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xml:space="preserve">Year of </w:t>
            </w:r>
            <w:r>
              <w:rPr>
                <w:rFonts w:ascii="Times New Roman" w:eastAsia="Times New Roman" w:hAnsi="Times New Roman" w:cs="Times New Roman"/>
              </w:rPr>
              <w:t>i</w:t>
            </w:r>
            <w:r w:rsidRPr="00726FF4">
              <w:rPr>
                <w:rFonts w:ascii="Times New Roman" w:eastAsia="Times New Roman" w:hAnsi="Times New Roman" w:cs="Times New Roman"/>
              </w:rPr>
              <w:t xml:space="preserve">ndex </w:t>
            </w:r>
            <w:r>
              <w:rPr>
                <w:rFonts w:ascii="Times New Roman" w:eastAsia="Times New Roman" w:hAnsi="Times New Roman" w:cs="Times New Roman"/>
              </w:rPr>
              <w:t>d</w:t>
            </w:r>
            <w:r w:rsidRPr="00726FF4">
              <w:rPr>
                <w:rFonts w:ascii="Times New Roman" w:eastAsia="Times New Roman" w:hAnsi="Times New Roman" w:cs="Times New Roman"/>
              </w:rPr>
              <w:t>ate</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2010</w:t>
            </w:r>
            <w:r>
              <w:rPr>
                <w:rFonts w:ascii="Times New Roman" w:eastAsia="Times New Roman" w:hAnsi="Times New Roman" w:cs="Times New Roman"/>
              </w:rPr>
              <w:t>-2011</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984 (24.66</w:t>
            </w:r>
            <w:r w:rsidRPr="00726FF4">
              <w:rPr>
                <w:rFonts w:ascii="Times New Roman" w:eastAsia="Times New Roman" w:hAnsi="Times New Roman" w:cs="Times New Roman"/>
              </w:rPr>
              <w:t>%)</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3,728 (43.01</w:t>
            </w:r>
            <w:r w:rsidRPr="00726FF4">
              <w:rPr>
                <w:rFonts w:ascii="Times New Roman" w:eastAsia="Times New Roman" w:hAnsi="Times New Roman" w:cs="Times New Roman"/>
              </w:rPr>
              <w:t>%)</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Pr>
                <w:rFonts w:ascii="Times New Roman" w:eastAsia="Times New Roman" w:hAnsi="Times New Roman" w:cs="Times New Roman"/>
              </w:rPr>
              <w:t>2012-2014</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1,408 (35.28%)</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3,060 (35.29%)</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Pr>
                <w:rFonts w:ascii="Times New Roman" w:eastAsia="Times New Roman" w:hAnsi="Times New Roman" w:cs="Times New Roman"/>
              </w:rPr>
              <w:t>2015-2018</w:t>
            </w:r>
          </w:p>
        </w:tc>
        <w:tc>
          <w:tcPr>
            <w:tcW w:w="2377" w:type="dxa"/>
            <w:tcBorders>
              <w:top w:val="nil"/>
              <w:left w:val="single" w:sz="8" w:space="0" w:color="auto"/>
              <w:bottom w:val="nil"/>
              <w:right w:val="single" w:sz="8" w:space="0" w:color="auto"/>
            </w:tcBorders>
            <w:shd w:val="clear" w:color="auto" w:fill="auto"/>
            <w:noWrap/>
            <w:vAlign w:val="bottom"/>
          </w:tcPr>
          <w:p w:rsidR="00400466" w:rsidRPr="00726FF4" w:rsidRDefault="00400466" w:rsidP="006B50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1,599 (40.07%)</w:t>
            </w:r>
          </w:p>
        </w:tc>
        <w:tc>
          <w:tcPr>
            <w:tcW w:w="2640" w:type="dxa"/>
            <w:tcBorders>
              <w:top w:val="nil"/>
              <w:left w:val="nil"/>
              <w:bottom w:val="nil"/>
              <w:right w:val="single" w:sz="4" w:space="0" w:color="auto"/>
            </w:tcBorders>
            <w:shd w:val="clear" w:color="auto" w:fill="auto"/>
            <w:noWrap/>
            <w:vAlign w:val="bottom"/>
          </w:tcPr>
          <w:p w:rsidR="00400466" w:rsidRPr="00726FF4" w:rsidRDefault="00400466" w:rsidP="006B50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1,880 (21.69%)</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xml:space="preserve">Plan </w:t>
            </w:r>
            <w:r>
              <w:rPr>
                <w:rFonts w:ascii="Times New Roman" w:eastAsia="Times New Roman" w:hAnsi="Times New Roman" w:cs="Times New Roman"/>
              </w:rPr>
              <w:t>t</w:t>
            </w:r>
            <w:r w:rsidRPr="00726FF4">
              <w:rPr>
                <w:rFonts w:ascii="Times New Roman" w:eastAsia="Times New Roman" w:hAnsi="Times New Roman" w:cs="Times New Roman"/>
              </w:rPr>
              <w:t>ype</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Commercial</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3,980 (99.72%)</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5,308 (61.24%)</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Medicare Advantage</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Calibri" w:eastAsia="Times New Roman" w:hAnsi="Calibri" w:cs="Calibri"/>
              </w:rPr>
              <w:t>≤</w:t>
            </w:r>
            <w:r w:rsidRPr="00726FF4">
              <w:rPr>
                <w:rFonts w:ascii="Times New Roman" w:eastAsia="Times New Roman" w:hAnsi="Times New Roman" w:cs="Times New Roman"/>
                <w:sz w:val="20"/>
                <w:szCs w:val="20"/>
              </w:rPr>
              <w:t>10</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1,507 (17.39%)</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Medicare, Other</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Calibri" w:eastAsia="Times New Roman" w:hAnsi="Calibri" w:cs="Calibri"/>
              </w:rPr>
              <w:t>≤</w:t>
            </w:r>
            <w:r w:rsidRPr="00726FF4">
              <w:rPr>
                <w:rFonts w:ascii="Times New Roman" w:eastAsia="Times New Roman" w:hAnsi="Times New Roman" w:cs="Times New Roman"/>
                <w:sz w:val="20"/>
                <w:szCs w:val="20"/>
              </w:rPr>
              <w:t>10</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1,853 (21.38%)</w:t>
            </w:r>
          </w:p>
        </w:tc>
      </w:tr>
      <w:tr w:rsidR="00400466" w:rsidRPr="00726FF4" w:rsidTr="006B5079">
        <w:trPr>
          <w:trHeight w:val="297"/>
        </w:trPr>
        <w:tc>
          <w:tcPr>
            <w:tcW w:w="8797" w:type="dxa"/>
            <w:gridSpan w:val="2"/>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color w:val="000000"/>
              </w:rPr>
            </w:pPr>
            <w:r w:rsidRPr="00726FF4">
              <w:rPr>
                <w:rFonts w:ascii="Times New Roman" w:eastAsia="Times New Roman" w:hAnsi="Times New Roman" w:cs="Times New Roman"/>
                <w:color w:val="000000"/>
              </w:rPr>
              <w:t xml:space="preserve">Duration in the HIRD prior to </w:t>
            </w:r>
            <w:r>
              <w:rPr>
                <w:rFonts w:ascii="Times New Roman" w:eastAsia="Times New Roman" w:hAnsi="Times New Roman" w:cs="Times New Roman"/>
                <w:color w:val="000000"/>
              </w:rPr>
              <w:t>c</w:t>
            </w:r>
            <w:r w:rsidRPr="00726FF4">
              <w:rPr>
                <w:rFonts w:ascii="Times New Roman" w:eastAsia="Times New Roman" w:hAnsi="Times New Roman" w:cs="Times New Roman"/>
                <w:color w:val="000000"/>
              </w:rPr>
              <w:t xml:space="preserve">ancer </w:t>
            </w:r>
            <w:r>
              <w:rPr>
                <w:rFonts w:ascii="Times New Roman" w:eastAsia="Times New Roman" w:hAnsi="Times New Roman" w:cs="Times New Roman"/>
                <w:color w:val="000000"/>
              </w:rPr>
              <w:t>d</w:t>
            </w:r>
            <w:r w:rsidRPr="00726FF4">
              <w:rPr>
                <w:rFonts w:ascii="Times New Roman" w:eastAsia="Times New Roman" w:hAnsi="Times New Roman" w:cs="Times New Roman"/>
                <w:color w:val="000000"/>
              </w:rPr>
              <w:t>iagnosis (months)</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Mean (SD)</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41.38 (27.46)</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51.29 (28.06)</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Q1</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18.23</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27.07</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Median</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35.45</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49.51</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lastRenderedPageBreak/>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Q3</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57.36</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72.71</w:t>
            </w:r>
          </w:p>
        </w:tc>
      </w:tr>
      <w:tr w:rsidR="00400466" w:rsidRPr="00726FF4" w:rsidTr="006B5079">
        <w:trPr>
          <w:trHeight w:val="297"/>
        </w:trPr>
        <w:tc>
          <w:tcPr>
            <w:tcW w:w="8797" w:type="dxa"/>
            <w:gridSpan w:val="2"/>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xml:space="preserve">Duration of </w:t>
            </w:r>
            <w:r>
              <w:rPr>
                <w:rFonts w:ascii="Times New Roman" w:eastAsia="Times New Roman" w:hAnsi="Times New Roman" w:cs="Times New Roman"/>
              </w:rPr>
              <w:t>f</w:t>
            </w:r>
            <w:r w:rsidRPr="00726FF4">
              <w:rPr>
                <w:rFonts w:ascii="Times New Roman" w:eastAsia="Times New Roman" w:hAnsi="Times New Roman" w:cs="Times New Roman"/>
              </w:rPr>
              <w:t>ollow-</w:t>
            </w:r>
            <w:r>
              <w:rPr>
                <w:rFonts w:ascii="Times New Roman" w:eastAsia="Times New Roman" w:hAnsi="Times New Roman" w:cs="Times New Roman"/>
              </w:rPr>
              <w:t>u</w:t>
            </w:r>
            <w:r w:rsidRPr="00726FF4">
              <w:rPr>
                <w:rFonts w:ascii="Times New Roman" w:eastAsia="Times New Roman" w:hAnsi="Times New Roman" w:cs="Times New Roman"/>
              </w:rPr>
              <w:t>p (months)</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Mean (SD)</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22.41 (20.57)</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25.49 (24.36)</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Q1</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6.77</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6.28</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Median</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16.62</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17.61</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Q3</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31.72</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36.9</w:t>
            </w:r>
          </w:p>
        </w:tc>
      </w:tr>
      <w:tr w:rsidR="00400466" w:rsidRPr="00726FF4" w:rsidTr="006B5079">
        <w:trPr>
          <w:trHeight w:val="297"/>
        </w:trPr>
        <w:tc>
          <w:tcPr>
            <w:tcW w:w="8797" w:type="dxa"/>
            <w:gridSpan w:val="2"/>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color w:val="000000"/>
              </w:rPr>
            </w:pPr>
            <w:proofErr w:type="spellStart"/>
            <w:r w:rsidRPr="00726FF4">
              <w:rPr>
                <w:rFonts w:ascii="Times New Roman" w:eastAsia="Times New Roman" w:hAnsi="Times New Roman" w:cs="Times New Roman"/>
                <w:color w:val="000000"/>
              </w:rPr>
              <w:t>Deyo-Charlson</w:t>
            </w:r>
            <w:proofErr w:type="spellEnd"/>
            <w:r w:rsidRPr="00726FF4">
              <w:rPr>
                <w:rFonts w:ascii="Times New Roman" w:eastAsia="Times New Roman" w:hAnsi="Times New Roman" w:cs="Times New Roman"/>
                <w:color w:val="000000"/>
              </w:rPr>
              <w:t xml:space="preserve"> Comorbidity Index (DCI) during follow-up</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Mean (SD)</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6.22 (2.58)</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6.39 (2.65)</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Q1</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4</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Median</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6</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Q3</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8</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8</w:t>
            </w:r>
          </w:p>
        </w:tc>
      </w:tr>
      <w:tr w:rsidR="00400466" w:rsidRPr="00726FF4" w:rsidTr="006B5079">
        <w:trPr>
          <w:trHeight w:val="297"/>
        </w:trPr>
        <w:tc>
          <w:tcPr>
            <w:tcW w:w="8797" w:type="dxa"/>
            <w:gridSpan w:val="2"/>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color w:val="000000"/>
              </w:rPr>
            </w:pPr>
            <w:r w:rsidRPr="00726FF4">
              <w:rPr>
                <w:rFonts w:ascii="Times New Roman" w:eastAsia="Times New Roman" w:hAnsi="Times New Roman" w:cs="Times New Roman"/>
                <w:color w:val="000000"/>
              </w:rPr>
              <w:t>Count of distinct dispensed drugs used during follow-up</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 </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Mean (SD)</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12.45 (9.66)</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12.68 (9.80)</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Q1</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5</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Median</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11</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12</w:t>
            </w:r>
          </w:p>
        </w:tc>
      </w:tr>
      <w:tr w:rsidR="00400466" w:rsidRPr="00726FF4" w:rsidTr="006B5079">
        <w:trPr>
          <w:trHeight w:val="297"/>
        </w:trPr>
        <w:tc>
          <w:tcPr>
            <w:tcW w:w="2975" w:type="dxa"/>
            <w:tcBorders>
              <w:top w:val="nil"/>
              <w:left w:val="single" w:sz="4" w:space="0" w:color="auto"/>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 </w:t>
            </w:r>
          </w:p>
        </w:tc>
        <w:tc>
          <w:tcPr>
            <w:tcW w:w="5821" w:type="dxa"/>
            <w:tcBorders>
              <w:top w:val="nil"/>
              <w:left w:val="nil"/>
              <w:bottom w:val="nil"/>
              <w:right w:val="nil"/>
            </w:tcBorders>
            <w:shd w:val="clear" w:color="auto" w:fill="auto"/>
            <w:noWrap/>
            <w:vAlign w:val="bottom"/>
            <w:hideMark/>
          </w:tcPr>
          <w:p w:rsidR="00400466" w:rsidRPr="00726FF4" w:rsidRDefault="00400466" w:rsidP="006B5079">
            <w:pPr>
              <w:spacing w:after="0" w:line="240" w:lineRule="auto"/>
              <w:rPr>
                <w:rFonts w:ascii="Times New Roman" w:eastAsia="Times New Roman" w:hAnsi="Times New Roman" w:cs="Times New Roman"/>
              </w:rPr>
            </w:pPr>
            <w:r w:rsidRPr="00726FF4">
              <w:rPr>
                <w:rFonts w:ascii="Times New Roman" w:eastAsia="Times New Roman" w:hAnsi="Times New Roman" w:cs="Times New Roman"/>
              </w:rPr>
              <w:t>Q3</w:t>
            </w:r>
          </w:p>
        </w:tc>
        <w:tc>
          <w:tcPr>
            <w:tcW w:w="2377" w:type="dxa"/>
            <w:tcBorders>
              <w:top w:val="nil"/>
              <w:left w:val="single" w:sz="8" w:space="0" w:color="auto"/>
              <w:bottom w:val="nil"/>
              <w:right w:val="single" w:sz="8"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18</w:t>
            </w:r>
          </w:p>
        </w:tc>
        <w:tc>
          <w:tcPr>
            <w:tcW w:w="2640" w:type="dxa"/>
            <w:tcBorders>
              <w:top w:val="nil"/>
              <w:left w:val="nil"/>
              <w:bottom w:val="nil"/>
              <w:right w:val="single" w:sz="4" w:space="0" w:color="auto"/>
            </w:tcBorders>
            <w:shd w:val="clear" w:color="auto" w:fill="auto"/>
            <w:noWrap/>
            <w:vAlign w:val="bottom"/>
            <w:hideMark/>
          </w:tcPr>
          <w:p w:rsidR="00400466" w:rsidRPr="00726FF4" w:rsidRDefault="00400466" w:rsidP="006B5079">
            <w:pPr>
              <w:spacing w:after="0" w:line="240" w:lineRule="auto"/>
              <w:jc w:val="right"/>
              <w:rPr>
                <w:rFonts w:ascii="Times New Roman" w:eastAsia="Times New Roman" w:hAnsi="Times New Roman" w:cs="Times New Roman"/>
              </w:rPr>
            </w:pPr>
            <w:r w:rsidRPr="00726FF4">
              <w:rPr>
                <w:rFonts w:ascii="Times New Roman" w:eastAsia="Times New Roman" w:hAnsi="Times New Roman" w:cs="Times New Roman"/>
              </w:rPr>
              <w:t>18</w:t>
            </w:r>
          </w:p>
        </w:tc>
      </w:tr>
    </w:tbl>
    <w:p w:rsidR="00400466" w:rsidRDefault="00400466" w:rsidP="00400466">
      <w:pPr>
        <w:tabs>
          <w:tab w:val="left" w:pos="1534"/>
        </w:tabs>
      </w:pPr>
      <w:r>
        <w:rPr>
          <w:noProof/>
          <w:lang w:val="en-PH" w:eastAsia="en-PH"/>
        </w:rPr>
        <mc:AlternateContent>
          <mc:Choice Requires="wps">
            <w:drawing>
              <wp:anchor distT="0" distB="0" distL="114300" distR="114300" simplePos="0" relativeHeight="251662336" behindDoc="0" locked="0" layoutInCell="1" allowOverlap="1" wp14:anchorId="7BFD8B02" wp14:editId="48CAD884">
                <wp:simplePos x="0" y="0"/>
                <wp:positionH relativeFrom="margin">
                  <wp:posOffset>9525</wp:posOffset>
                </wp:positionH>
                <wp:positionV relativeFrom="paragraph">
                  <wp:posOffset>40005</wp:posOffset>
                </wp:positionV>
                <wp:extent cx="8743950" cy="2095500"/>
                <wp:effectExtent l="0" t="0" r="19050" b="19050"/>
                <wp:wrapNone/>
                <wp:docPr id="2"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B00-000002000000}"/>
                    </a:ext>
                  </a:extLst>
                </wp:docPr>
                <wp:cNvGraphicFramePr/>
                <a:graphic xmlns:a="http://schemas.openxmlformats.org/drawingml/2006/main">
                  <a:graphicData uri="http://schemas.microsoft.com/office/word/2010/wordprocessingShape">
                    <wps:wsp>
                      <wps:cNvSpPr txBox="1"/>
                      <wps:spPr>
                        <a:xfrm>
                          <a:off x="0" y="0"/>
                          <a:ext cx="8743950" cy="209550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400466" w:rsidRPr="00140B65" w:rsidRDefault="00400466" w:rsidP="00400466">
                            <w:pPr>
                              <w:tabs>
                                <w:tab w:val="left" w:pos="1534"/>
                              </w:tabs>
                              <w:rPr>
                                <w:rFonts w:ascii="Times New Roman" w:hAnsi="Times New Roman" w:cs="Times New Roman"/>
                              </w:rPr>
                            </w:pPr>
                            <w:r w:rsidRPr="00140B65">
                              <w:rPr>
                                <w:rFonts w:ascii="Times New Roman" w:hAnsi="Times New Roman" w:cs="Times New Roman"/>
                              </w:rPr>
                              <w:t xml:space="preserve">Abbreviations: </w:t>
                            </w:r>
                            <w:r>
                              <w:rPr>
                                <w:rFonts w:ascii="Times New Roman" w:hAnsi="Times New Roman" w:cs="Times New Roman"/>
                              </w:rPr>
                              <w:t xml:space="preserve">NDI- National Death Index, </w:t>
                            </w:r>
                            <w:r w:rsidRPr="00140B65">
                              <w:rPr>
                                <w:rFonts w:ascii="Times New Roman" w:hAnsi="Times New Roman" w:cs="Times New Roman"/>
                              </w:rPr>
                              <w:t>N - number, PPPY - per patient per year, SD - standard deviation, US - United States, Q - quartile, ED - emergency department.</w:t>
                            </w:r>
                          </w:p>
                          <w:p w:rsidR="00400466" w:rsidRPr="00140B65" w:rsidRDefault="00400466" w:rsidP="00400466">
                            <w:pPr>
                              <w:tabs>
                                <w:tab w:val="left" w:pos="1534"/>
                              </w:tabs>
                              <w:rPr>
                                <w:rFonts w:ascii="Times New Roman" w:hAnsi="Times New Roman" w:cs="Times New Roman"/>
                              </w:rPr>
                            </w:pPr>
                            <w:proofErr w:type="gramStart"/>
                            <w:r w:rsidRPr="00140B65">
                              <w:rPr>
                                <w:rFonts w:ascii="Times New Roman" w:hAnsi="Times New Roman" w:cs="Times New Roman"/>
                              </w:rPr>
                              <w:t>0</w:t>
                            </w:r>
                            <w:proofErr w:type="gramEnd"/>
                            <w:r w:rsidRPr="00140B65">
                              <w:rPr>
                                <w:rFonts w:ascii="Times New Roman" w:hAnsi="Times New Roman" w:cs="Times New Roman"/>
                              </w:rPr>
                              <w:t xml:space="preserve">: NDI-linkable cases include all individuals who were fully insured by Anthem during the study period and were eligible to be sent to the NDI for mortality/survival related analyses. The survival analyses are restricted to these patients, and include all of these patients except for a small subset of patient who were fully insured by Anthem during the study period, but at some point in the past were part of an "administrative service only" plan. </w:t>
                            </w:r>
                            <w:r w:rsidRPr="00140B65">
                              <w:rPr>
                                <w:rFonts w:ascii="Times New Roman" w:hAnsi="Times New Roman" w:cs="Times New Roman"/>
                              </w:rPr>
                              <w:br/>
                              <w:t xml:space="preserve">1: The cohort includes patients who had at least one ICD-9-CM or ICD-10 diagnosis code for ovarian cancer, were continuously enrolled in a health plan contributing data to the HIRD for at least six months, and were confirmed to have advanced ovarian cancer based on staging information from either a cancer registry or the HIRE Oncology data or met the predictive model algorithm for advanced stage ovarian cancer. </w:t>
                            </w:r>
                            <w:r w:rsidRPr="00140B65">
                              <w:rPr>
                                <w:rFonts w:ascii="Times New Roman" w:hAnsi="Times New Roman" w:cs="Times New Roman"/>
                              </w:rPr>
                              <w:br/>
                            </w:r>
                            <w:proofErr w:type="gramStart"/>
                            <w:r w:rsidRPr="00140B65">
                              <w:rPr>
                                <w:rFonts w:ascii="Times New Roman" w:hAnsi="Times New Roman" w:cs="Times New Roman"/>
                              </w:rPr>
                              <w:t>2</w:t>
                            </w:r>
                            <w:proofErr w:type="gramEnd"/>
                            <w:r w:rsidRPr="00140B65">
                              <w:rPr>
                                <w:rFonts w:ascii="Times New Roman" w:hAnsi="Times New Roman" w:cs="Times New Roman"/>
                              </w:rPr>
                              <w:t>: Incident cases are individuals for whom at least six months of data were available in the HIRD prior to the first diagnosis of ovarian cancer in claims.</w:t>
                            </w:r>
                            <w:r w:rsidRPr="00140B65">
                              <w:rPr>
                                <w:rFonts w:ascii="Times New Roman" w:hAnsi="Times New Roman" w:cs="Times New Roman"/>
                              </w:rPr>
                              <w:br/>
                            </w:r>
                            <w:proofErr w:type="gramStart"/>
                            <w:r w:rsidRPr="00140B65">
                              <w:rPr>
                                <w:rFonts w:ascii="Times New Roman" w:hAnsi="Times New Roman" w:cs="Times New Roman"/>
                              </w:rPr>
                              <w:t>3</w:t>
                            </w:r>
                            <w:proofErr w:type="gramEnd"/>
                            <w:r w:rsidRPr="00140B65">
                              <w:rPr>
                                <w:rFonts w:ascii="Times New Roman" w:hAnsi="Times New Roman" w:cs="Times New Roman"/>
                              </w:rPr>
                              <w:t>: Cases are defined as "advanced stage at diagnosis" if their advanced stage date (from cancer registry, HIRE Oncology, or predictive model) was within one month of their first cancer diagnosis in claims, otherwise they are defined as "progressed from early to advanced stage".</w:t>
                            </w:r>
                            <w:r w:rsidRPr="00140B65">
                              <w:rPr>
                                <w:rFonts w:ascii="Times New Roman" w:hAnsi="Times New Roman" w:cs="Times New Roman"/>
                              </w:rPr>
                              <w:br/>
                            </w:r>
                          </w:p>
                          <w:p w:rsidR="00400466" w:rsidRDefault="00400466" w:rsidP="00400466">
                            <w:pPr>
                              <w:pStyle w:val="NormalWeb"/>
                              <w:spacing w:before="0" w:beforeAutospacing="0" w:after="0" w:afterAutospacing="0"/>
                            </w:pPr>
                          </w:p>
                          <w:p w:rsidR="00400466" w:rsidRDefault="00400466" w:rsidP="00400466">
                            <w:pPr>
                              <w:pStyle w:val="NormalWeb"/>
                              <w:spacing w:before="0" w:beforeAutospacing="0" w:after="0" w:afterAutospacing="0"/>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FD8B02" id="_x0000_s1031" type="#_x0000_t202" style="position:absolute;margin-left:.75pt;margin-top:3.15pt;width:688.5pt;height:1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" fillcolor="white [3201]" strokecolor="#7f7f7f [1601]">
                <v:textbox>
                  <w:txbxContent>
                    <w:p w:rsidR="00400466" w:rsidRPr="00140B65" w:rsidRDefault="00400466" w:rsidP="00400466">
                      <w:pPr>
                        <w:tabs>
                          <w:tab w:val="left" w:pos="1534"/>
                        </w:tabs>
                        <w:rPr>
                          <w:rFonts w:ascii="Times New Roman" w:hAnsi="Times New Roman" w:cs="Times New Roman"/>
                        </w:rPr>
                      </w:pPr>
                      <w:r w:rsidRPr="00140B65">
                        <w:rPr>
                          <w:rFonts w:ascii="Times New Roman" w:hAnsi="Times New Roman" w:cs="Times New Roman"/>
                        </w:rPr>
                        <w:t xml:space="preserve">Abbreviations: </w:t>
                      </w:r>
                      <w:r>
                        <w:rPr>
                          <w:rFonts w:ascii="Times New Roman" w:hAnsi="Times New Roman" w:cs="Times New Roman"/>
                        </w:rPr>
                        <w:t xml:space="preserve">NDI- National Death Index, </w:t>
                      </w:r>
                      <w:r w:rsidRPr="00140B65">
                        <w:rPr>
                          <w:rFonts w:ascii="Times New Roman" w:hAnsi="Times New Roman" w:cs="Times New Roman"/>
                        </w:rPr>
                        <w:t>N - number, PPPY - per patient per year, SD - standard deviation, US - United States, Q - quartile, ED - emergency department.</w:t>
                      </w:r>
                    </w:p>
                    <w:p w:rsidR="00400466" w:rsidRPr="00140B65" w:rsidRDefault="00400466" w:rsidP="00400466">
                      <w:pPr>
                        <w:tabs>
                          <w:tab w:val="left" w:pos="1534"/>
                        </w:tabs>
                        <w:rPr>
                          <w:rFonts w:ascii="Times New Roman" w:hAnsi="Times New Roman" w:cs="Times New Roman"/>
                        </w:rPr>
                      </w:pPr>
                      <w:r w:rsidRPr="00140B65">
                        <w:rPr>
                          <w:rFonts w:ascii="Times New Roman" w:hAnsi="Times New Roman" w:cs="Times New Roman"/>
                        </w:rPr>
                        <w:t xml:space="preserve">0: NDI-linkable cases include all individuals who were fully insured by Anthem during the study period and were eligible to be sent to the NDI for mortality/survival related analyses. The survival analyses are restricted to these patients, and include all of these patients except for a small subset of patient who were fully insured by Anthem during the study period, but at some point in the past were part of an "administrative service only" plan. </w:t>
                      </w:r>
                      <w:r w:rsidRPr="00140B65">
                        <w:rPr>
                          <w:rFonts w:ascii="Times New Roman" w:hAnsi="Times New Roman" w:cs="Times New Roman"/>
                        </w:rPr>
                        <w:br/>
                        <w:t xml:space="preserve">1: The cohort includes patients who had at least one ICD-9-CM or ICD-10 diagnosis code for ovarian cancer, were continuously enrolled in a health plan contributing data to the HIRD for at least six months, and were confirmed to have advanced ovarian cancer based on staging information from either a cancer registry or the HIRE Oncology data or met the predictive model algorithm for advanced stage ovarian cancer. </w:t>
                      </w:r>
                      <w:r w:rsidRPr="00140B65">
                        <w:rPr>
                          <w:rFonts w:ascii="Times New Roman" w:hAnsi="Times New Roman" w:cs="Times New Roman"/>
                        </w:rPr>
                        <w:br/>
                        <w:t>2: Incident cases are individuals for whom at least six months of data were available in the HIRD prior to the first diagnosis of ovarian cancer in claims.</w:t>
                      </w:r>
                      <w:r w:rsidRPr="00140B65">
                        <w:rPr>
                          <w:rFonts w:ascii="Times New Roman" w:hAnsi="Times New Roman" w:cs="Times New Roman"/>
                        </w:rPr>
                        <w:br/>
                        <w:t>3: Cases are defined as "advanced stage at diagnosis" if their advanced stage date (from cancer registry, HIRE Oncology, or predictive model) was within one month of their first cancer diagnosis in claims, otherwise they are defined as "progressed from early to advanced stage".</w:t>
                      </w:r>
                      <w:r w:rsidRPr="00140B65">
                        <w:rPr>
                          <w:rFonts w:ascii="Times New Roman" w:hAnsi="Times New Roman" w:cs="Times New Roman"/>
                        </w:rPr>
                        <w:br/>
                      </w:r>
                    </w:p>
                    <w:p w:rsidR="00400466" w:rsidRDefault="00400466" w:rsidP="00400466">
                      <w:pPr>
                        <w:pStyle w:val="NormalWeb"/>
                        <w:spacing w:before="0" w:beforeAutospacing="0" w:after="0" w:afterAutospacing="0"/>
                      </w:pPr>
                    </w:p>
                    <w:p w:rsidR="00400466" w:rsidRDefault="00400466" w:rsidP="00400466">
                      <w:pPr>
                        <w:pStyle w:val="NormalWeb"/>
                        <w:spacing w:before="0" w:beforeAutospacing="0" w:after="0" w:afterAutospacing="0"/>
                      </w:pPr>
                    </w:p>
                  </w:txbxContent>
                </v:textbox>
                <w10:wrap anchorx="margin"/>
              </v:shape>
            </w:pict>
          </mc:Fallback>
        </mc:AlternateContent>
      </w:r>
    </w:p>
    <w:p w:rsidR="00400466" w:rsidRDefault="00400466" w:rsidP="00400466">
      <w:pPr>
        <w:tabs>
          <w:tab w:val="left" w:pos="1534"/>
        </w:tabs>
      </w:pPr>
    </w:p>
    <w:p w:rsidR="00400466" w:rsidRPr="00013688"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
    <w:p w:rsidR="00400466" w:rsidRDefault="00400466" w:rsidP="00400466">
      <w:pPr>
        <w:tabs>
          <w:tab w:val="left" w:pos="1534"/>
        </w:tabs>
      </w:pPr>
      <w:proofErr w:type="gramStart"/>
      <w:r w:rsidRPr="0029578A">
        <w:rPr>
          <w:rFonts w:ascii="Times New Roman" w:eastAsia="Times New Roman" w:hAnsi="Times New Roman" w:cs="Times New Roman"/>
          <w:b/>
          <w:bCs/>
          <w:color w:val="000000"/>
          <w:sz w:val="24"/>
          <w:szCs w:val="24"/>
        </w:rPr>
        <w:lastRenderedPageBreak/>
        <w:t>Supplemental Table 7.</w:t>
      </w:r>
      <w:proofErr w:type="gramEnd"/>
      <w:r w:rsidRPr="0029578A">
        <w:rPr>
          <w:rFonts w:ascii="Times New Roman" w:eastAsia="Times New Roman" w:hAnsi="Times New Roman" w:cs="Times New Roman"/>
          <w:b/>
          <w:bCs/>
          <w:color w:val="000000"/>
          <w:sz w:val="24"/>
          <w:szCs w:val="24"/>
        </w:rPr>
        <w:t xml:space="preserve"> Ovarian cancer overall survival, excluding last six months of follow-up (July-December 2017)</w:t>
      </w:r>
    </w:p>
    <w:tbl>
      <w:tblPr>
        <w:tblW w:w="12330" w:type="dxa"/>
        <w:tblLook w:val="04A0" w:firstRow="1" w:lastRow="0" w:firstColumn="1" w:lastColumn="0" w:noHBand="0" w:noVBand="1"/>
      </w:tblPr>
      <w:tblGrid>
        <w:gridCol w:w="2522"/>
        <w:gridCol w:w="1798"/>
        <w:gridCol w:w="2520"/>
        <w:gridCol w:w="2250"/>
        <w:gridCol w:w="3240"/>
      </w:tblGrid>
      <w:tr w:rsidR="00400466" w:rsidRPr="00FB3FA6" w:rsidTr="006B5079">
        <w:trPr>
          <w:trHeight w:val="300"/>
        </w:trPr>
        <w:tc>
          <w:tcPr>
            <w:tcW w:w="252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400466" w:rsidRPr="0029578A" w:rsidRDefault="00400466" w:rsidP="006B5079">
            <w:pPr>
              <w:spacing w:after="0" w:line="240" w:lineRule="auto"/>
              <w:jc w:val="center"/>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 </w:t>
            </w:r>
          </w:p>
        </w:tc>
        <w:tc>
          <w:tcPr>
            <w:tcW w:w="1798" w:type="dxa"/>
            <w:tcBorders>
              <w:top w:val="single" w:sz="8" w:space="0" w:color="auto"/>
              <w:left w:val="nil"/>
              <w:bottom w:val="single" w:sz="8" w:space="0" w:color="auto"/>
              <w:right w:val="single" w:sz="8" w:space="0" w:color="auto"/>
            </w:tcBorders>
            <w:shd w:val="clear" w:color="000000" w:fill="D9D9D9"/>
            <w:noWrap/>
            <w:vAlign w:val="center"/>
            <w:hideMark/>
          </w:tcPr>
          <w:p w:rsidR="00400466" w:rsidRPr="0029578A" w:rsidRDefault="00400466" w:rsidP="006B5079">
            <w:pPr>
              <w:spacing w:after="0" w:line="240" w:lineRule="auto"/>
              <w:jc w:val="center"/>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 xml:space="preserve">Estimate </w:t>
            </w:r>
          </w:p>
        </w:tc>
        <w:tc>
          <w:tcPr>
            <w:tcW w:w="2520" w:type="dxa"/>
            <w:tcBorders>
              <w:top w:val="single" w:sz="8" w:space="0" w:color="auto"/>
              <w:left w:val="nil"/>
              <w:bottom w:val="single" w:sz="8" w:space="0" w:color="auto"/>
              <w:right w:val="single" w:sz="8" w:space="0" w:color="auto"/>
            </w:tcBorders>
            <w:shd w:val="clear" w:color="000000" w:fill="D9D9D9"/>
            <w:noWrap/>
            <w:vAlign w:val="center"/>
            <w:hideMark/>
          </w:tcPr>
          <w:p w:rsidR="00400466" w:rsidRPr="0029578A" w:rsidRDefault="00400466" w:rsidP="006B5079">
            <w:pPr>
              <w:spacing w:after="0" w:line="240" w:lineRule="auto"/>
              <w:jc w:val="center"/>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95% CI</w:t>
            </w:r>
          </w:p>
        </w:tc>
        <w:tc>
          <w:tcPr>
            <w:tcW w:w="2250" w:type="dxa"/>
            <w:tcBorders>
              <w:top w:val="single" w:sz="8" w:space="0" w:color="auto"/>
              <w:left w:val="nil"/>
              <w:bottom w:val="single" w:sz="8" w:space="0" w:color="auto"/>
              <w:right w:val="single" w:sz="8" w:space="0" w:color="auto"/>
            </w:tcBorders>
            <w:shd w:val="clear" w:color="000000" w:fill="D9D9D9"/>
            <w:noWrap/>
            <w:vAlign w:val="center"/>
            <w:hideMark/>
          </w:tcPr>
          <w:p w:rsidR="00400466" w:rsidRPr="0029578A" w:rsidRDefault="00400466" w:rsidP="006B5079">
            <w:pPr>
              <w:spacing w:after="0" w:line="240" w:lineRule="auto"/>
              <w:jc w:val="center"/>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N of events</w:t>
            </w:r>
          </w:p>
        </w:tc>
        <w:tc>
          <w:tcPr>
            <w:tcW w:w="3240" w:type="dxa"/>
            <w:tcBorders>
              <w:top w:val="single" w:sz="8" w:space="0" w:color="auto"/>
              <w:left w:val="nil"/>
              <w:bottom w:val="single" w:sz="8" w:space="0" w:color="auto"/>
              <w:right w:val="single" w:sz="8" w:space="0" w:color="auto"/>
            </w:tcBorders>
            <w:shd w:val="clear" w:color="000000" w:fill="D9D9D9"/>
            <w:noWrap/>
            <w:vAlign w:val="center"/>
            <w:hideMark/>
          </w:tcPr>
          <w:p w:rsidR="00400466" w:rsidRPr="0029578A" w:rsidRDefault="00400466" w:rsidP="006B5079">
            <w:pPr>
              <w:spacing w:after="0" w:line="240" w:lineRule="auto"/>
              <w:jc w:val="center"/>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N remaining at risk</w:t>
            </w:r>
          </w:p>
        </w:tc>
      </w:tr>
      <w:tr w:rsidR="00400466" w:rsidRPr="00FB3FA6" w:rsidTr="006B5079">
        <w:trPr>
          <w:trHeight w:val="315"/>
        </w:trPr>
        <w:tc>
          <w:tcPr>
            <w:tcW w:w="2522" w:type="dxa"/>
            <w:tcBorders>
              <w:top w:val="nil"/>
              <w:left w:val="single" w:sz="8" w:space="0" w:color="auto"/>
              <w:bottom w:val="single" w:sz="8" w:space="0" w:color="auto"/>
              <w:right w:val="single" w:sz="8" w:space="0" w:color="auto"/>
            </w:tcBorders>
            <w:shd w:val="clear" w:color="auto" w:fill="auto"/>
            <w:noWrap/>
            <w:vAlign w:val="center"/>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Total number of events</w:t>
            </w:r>
          </w:p>
        </w:tc>
        <w:tc>
          <w:tcPr>
            <w:tcW w:w="1798"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n/a</w:t>
            </w:r>
          </w:p>
        </w:tc>
        <w:tc>
          <w:tcPr>
            <w:tcW w:w="252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n/a</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2968</w:t>
            </w:r>
          </w:p>
        </w:tc>
        <w:tc>
          <w:tcPr>
            <w:tcW w:w="3240" w:type="dxa"/>
            <w:tcBorders>
              <w:top w:val="single" w:sz="4" w:space="0" w:color="000000"/>
              <w:left w:val="nil"/>
              <w:bottom w:val="single" w:sz="4" w:space="0" w:color="000000"/>
              <w:right w:val="single" w:sz="4" w:space="0" w:color="000000"/>
            </w:tcBorders>
            <w:shd w:val="clear" w:color="auto" w:fill="auto"/>
            <w:vAlign w:val="bottom"/>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5165</w:t>
            </w:r>
          </w:p>
        </w:tc>
      </w:tr>
      <w:tr w:rsidR="00400466" w:rsidRPr="00FB3FA6" w:rsidTr="006B5079">
        <w:trPr>
          <w:trHeight w:val="315"/>
        </w:trPr>
        <w:tc>
          <w:tcPr>
            <w:tcW w:w="2522" w:type="dxa"/>
            <w:tcBorders>
              <w:top w:val="nil"/>
              <w:left w:val="single" w:sz="8" w:space="0" w:color="auto"/>
              <w:bottom w:val="single" w:sz="8" w:space="0" w:color="auto"/>
              <w:right w:val="single" w:sz="8" w:space="0" w:color="auto"/>
            </w:tcBorders>
            <w:shd w:val="clear" w:color="auto" w:fill="auto"/>
            <w:noWrap/>
            <w:vAlign w:val="center"/>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Median OS (years)</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4.282</w:t>
            </w:r>
          </w:p>
        </w:tc>
        <w:tc>
          <w:tcPr>
            <w:tcW w:w="2520" w:type="dxa"/>
            <w:tcBorders>
              <w:top w:val="single" w:sz="4" w:space="0" w:color="000000"/>
              <w:left w:val="nil"/>
              <w:bottom w:val="single" w:sz="4" w:space="0" w:color="000000"/>
              <w:right w:val="single" w:sz="4" w:space="0" w:color="000000"/>
            </w:tcBorders>
            <w:shd w:val="clear" w:color="auto" w:fill="auto"/>
            <w:vAlign w:val="bottom"/>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(4.049- 4.674)</w:t>
            </w:r>
          </w:p>
        </w:tc>
        <w:tc>
          <w:tcPr>
            <w:tcW w:w="225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n/a</w:t>
            </w:r>
          </w:p>
        </w:tc>
        <w:tc>
          <w:tcPr>
            <w:tcW w:w="324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n/a</w:t>
            </w:r>
          </w:p>
        </w:tc>
      </w:tr>
      <w:tr w:rsidR="00400466" w:rsidRPr="00FB3FA6" w:rsidTr="006B5079">
        <w:trPr>
          <w:trHeight w:val="315"/>
        </w:trPr>
        <w:tc>
          <w:tcPr>
            <w:tcW w:w="2522" w:type="dxa"/>
            <w:tcBorders>
              <w:top w:val="nil"/>
              <w:left w:val="single" w:sz="8" w:space="0" w:color="auto"/>
              <w:bottom w:val="single" w:sz="8" w:space="0" w:color="auto"/>
              <w:right w:val="single" w:sz="8" w:space="0" w:color="auto"/>
            </w:tcBorders>
            <w:shd w:val="clear" w:color="auto" w:fill="auto"/>
            <w:noWrap/>
            <w:vAlign w:val="center"/>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1-year survival rate</w:t>
            </w:r>
            <w:r w:rsidRPr="0029578A">
              <w:rPr>
                <w:rFonts w:ascii="Calibri" w:eastAsia="Times New Roman" w:hAnsi="Calibri" w:cs="Calibri"/>
                <w:color w:val="000000"/>
                <w:sz w:val="16"/>
                <w:szCs w:val="16"/>
              </w:rPr>
              <w:t>   </w:t>
            </w:r>
          </w:p>
        </w:tc>
        <w:tc>
          <w:tcPr>
            <w:tcW w:w="1798"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78.2%</w:t>
            </w:r>
          </w:p>
        </w:tc>
        <w:tc>
          <w:tcPr>
            <w:tcW w:w="252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77.3%-79.2%</w:t>
            </w:r>
          </w:p>
        </w:tc>
        <w:tc>
          <w:tcPr>
            <w:tcW w:w="225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1614</w:t>
            </w:r>
          </w:p>
        </w:tc>
        <w:tc>
          <w:tcPr>
            <w:tcW w:w="324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4840</w:t>
            </w:r>
          </w:p>
        </w:tc>
      </w:tr>
      <w:tr w:rsidR="00400466" w:rsidRPr="00FB3FA6" w:rsidTr="006B5079">
        <w:trPr>
          <w:trHeight w:val="315"/>
        </w:trPr>
        <w:tc>
          <w:tcPr>
            <w:tcW w:w="2522" w:type="dxa"/>
            <w:tcBorders>
              <w:top w:val="nil"/>
              <w:left w:val="single" w:sz="8" w:space="0" w:color="auto"/>
              <w:bottom w:val="single" w:sz="8" w:space="0" w:color="auto"/>
              <w:right w:val="single" w:sz="8" w:space="0" w:color="auto"/>
            </w:tcBorders>
            <w:shd w:val="clear" w:color="auto" w:fill="auto"/>
            <w:noWrap/>
            <w:vAlign w:val="center"/>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3-year survival rate</w:t>
            </w:r>
          </w:p>
        </w:tc>
        <w:tc>
          <w:tcPr>
            <w:tcW w:w="1798"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58.2%</w:t>
            </w:r>
          </w:p>
        </w:tc>
        <w:tc>
          <w:tcPr>
            <w:tcW w:w="252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56.9%-59.5%</w:t>
            </w:r>
          </w:p>
        </w:tc>
        <w:tc>
          <w:tcPr>
            <w:tcW w:w="225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2586</w:t>
            </w:r>
          </w:p>
        </w:tc>
        <w:tc>
          <w:tcPr>
            <w:tcW w:w="324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1987</w:t>
            </w:r>
          </w:p>
        </w:tc>
      </w:tr>
      <w:tr w:rsidR="00400466" w:rsidRPr="00245BCE" w:rsidTr="006B5079">
        <w:trPr>
          <w:trHeight w:val="315"/>
        </w:trPr>
        <w:tc>
          <w:tcPr>
            <w:tcW w:w="2522" w:type="dxa"/>
            <w:tcBorders>
              <w:top w:val="nil"/>
              <w:left w:val="single" w:sz="8" w:space="0" w:color="auto"/>
              <w:bottom w:val="single" w:sz="8" w:space="0" w:color="auto"/>
              <w:right w:val="single" w:sz="8" w:space="0" w:color="auto"/>
            </w:tcBorders>
            <w:shd w:val="clear" w:color="auto" w:fill="auto"/>
            <w:noWrap/>
            <w:vAlign w:val="center"/>
            <w:hideMark/>
          </w:tcPr>
          <w:p w:rsidR="00400466" w:rsidRPr="0029578A" w:rsidRDefault="00400466" w:rsidP="006B5079">
            <w:pPr>
              <w:spacing w:after="0" w:line="240" w:lineRule="auto"/>
              <w:rPr>
                <w:rFonts w:ascii="Times New Roman" w:eastAsia="Times New Roman" w:hAnsi="Times New Roman" w:cs="Times New Roman"/>
                <w:b/>
                <w:bCs/>
                <w:color w:val="000000"/>
              </w:rPr>
            </w:pPr>
            <w:r w:rsidRPr="0029578A">
              <w:rPr>
                <w:rFonts w:ascii="Times New Roman" w:eastAsia="Times New Roman" w:hAnsi="Times New Roman" w:cs="Times New Roman"/>
                <w:b/>
                <w:bCs/>
                <w:color w:val="000000"/>
              </w:rPr>
              <w:t>5-year survival rate</w:t>
            </w:r>
          </w:p>
        </w:tc>
        <w:tc>
          <w:tcPr>
            <w:tcW w:w="1798"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46.8%</w:t>
            </w:r>
          </w:p>
        </w:tc>
        <w:tc>
          <w:tcPr>
            <w:tcW w:w="252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45.1%-48.4%</w:t>
            </w:r>
          </w:p>
        </w:tc>
        <w:tc>
          <w:tcPr>
            <w:tcW w:w="225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2880</w:t>
            </w:r>
          </w:p>
        </w:tc>
        <w:tc>
          <w:tcPr>
            <w:tcW w:w="3240" w:type="dxa"/>
            <w:tcBorders>
              <w:top w:val="nil"/>
              <w:left w:val="nil"/>
              <w:bottom w:val="single" w:sz="8" w:space="0" w:color="auto"/>
              <w:right w:val="single" w:sz="8" w:space="0" w:color="auto"/>
            </w:tcBorders>
            <w:shd w:val="clear" w:color="000000" w:fill="FFFFFF"/>
            <w:noWrap/>
            <w:vAlign w:val="center"/>
            <w:hideMark/>
          </w:tcPr>
          <w:p w:rsidR="00400466" w:rsidRPr="0029578A" w:rsidRDefault="00400466" w:rsidP="006B5079">
            <w:pPr>
              <w:spacing w:after="0" w:line="240" w:lineRule="auto"/>
              <w:jc w:val="center"/>
              <w:rPr>
                <w:rFonts w:ascii="Times New Roman" w:eastAsia="Times New Roman" w:hAnsi="Times New Roman" w:cs="Times New Roman"/>
                <w:color w:val="000000"/>
              </w:rPr>
            </w:pPr>
            <w:r w:rsidRPr="0029578A">
              <w:rPr>
                <w:rFonts w:ascii="Times New Roman" w:eastAsia="Times New Roman" w:hAnsi="Times New Roman" w:cs="Times New Roman"/>
                <w:color w:val="000000"/>
              </w:rPr>
              <w:t>797</w:t>
            </w:r>
          </w:p>
        </w:tc>
      </w:tr>
    </w:tbl>
    <w:p w:rsidR="00400466" w:rsidRPr="0029578A" w:rsidRDefault="00400466" w:rsidP="00400466">
      <w:pPr>
        <w:tabs>
          <w:tab w:val="left" w:pos="1534"/>
        </w:tabs>
        <w:rPr>
          <w:rFonts w:ascii="Times New Roman" w:hAnsi="Times New Roman" w:cs="Times New Roman"/>
        </w:rPr>
      </w:pPr>
      <w:r>
        <w:rPr>
          <w:noProof/>
          <w:lang w:val="en-PH" w:eastAsia="en-PH"/>
        </w:rPr>
        <mc:AlternateContent>
          <mc:Choice Requires="wps">
            <w:drawing>
              <wp:anchor distT="0" distB="0" distL="114300" distR="114300" simplePos="0" relativeHeight="251665408" behindDoc="0" locked="0" layoutInCell="1" allowOverlap="1" wp14:anchorId="28E1257C" wp14:editId="6067BE3E">
                <wp:simplePos x="0" y="0"/>
                <wp:positionH relativeFrom="margin">
                  <wp:posOffset>0</wp:posOffset>
                </wp:positionH>
                <wp:positionV relativeFrom="paragraph">
                  <wp:posOffset>18415</wp:posOffset>
                </wp:positionV>
                <wp:extent cx="7810500" cy="285750"/>
                <wp:effectExtent l="0" t="0" r="19050" b="19050"/>
                <wp:wrapNone/>
                <wp:docPr id="14" name="TextBox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B00-000002000000}"/>
                    </a:ext>
                  </a:extLst>
                </wp:docPr>
                <wp:cNvGraphicFramePr/>
                <a:graphic xmlns:a="http://schemas.openxmlformats.org/drawingml/2006/main">
                  <a:graphicData uri="http://schemas.microsoft.com/office/word/2010/wordprocessingShape">
                    <wps:wsp>
                      <wps:cNvSpPr txBox="1"/>
                      <wps:spPr>
                        <a:xfrm>
                          <a:off x="0" y="0"/>
                          <a:ext cx="7810500" cy="2857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rsidR="00400466" w:rsidRPr="0029578A" w:rsidRDefault="00400466" w:rsidP="00400466">
                            <w:pPr>
                              <w:tabs>
                                <w:tab w:val="left" w:pos="1534"/>
                              </w:tabs>
                              <w:rPr>
                                <w:rFonts w:ascii="Times New Roman" w:hAnsi="Times New Roman" w:cs="Times New Roman"/>
                              </w:rPr>
                            </w:pPr>
                            <w:r w:rsidRPr="00140B65">
                              <w:rPr>
                                <w:rFonts w:ascii="Times New Roman" w:hAnsi="Times New Roman" w:cs="Times New Roman"/>
                              </w:rPr>
                              <w:t>A</w:t>
                            </w:r>
                            <w:r w:rsidRPr="0029578A">
                              <w:rPr>
                                <w:rFonts w:ascii="Times New Roman" w:hAnsi="Times New Roman" w:cs="Times New Roman"/>
                              </w:rPr>
                              <w:t>bbreviations:</w:t>
                            </w:r>
                            <w:r>
                              <w:rPr>
                                <w:rFonts w:ascii="Times New Roman" w:hAnsi="Times New Roman" w:cs="Times New Roman"/>
                              </w:rPr>
                              <w:t xml:space="preserve"> </w:t>
                            </w:r>
                            <w:r w:rsidRPr="0029578A">
                              <w:rPr>
                                <w:rFonts w:ascii="Times New Roman" w:hAnsi="Times New Roman" w:cs="Times New Roman"/>
                              </w:rPr>
                              <w:t xml:space="preserve"> </w:t>
                            </w:r>
                            <w:r>
                              <w:rPr>
                                <w:rFonts w:ascii="Times New Roman" w:hAnsi="Times New Roman" w:cs="Times New Roman"/>
                              </w:rPr>
                              <w:t>CI, confidence interval; N, number; OS, overall survival.</w:t>
                            </w:r>
                            <w:r w:rsidRPr="00702A0B">
                              <w:rPr>
                                <w:noProof/>
                              </w:rPr>
                              <w:t xml:space="preserve"> </w:t>
                            </w:r>
                          </w:p>
                          <w:p w:rsidR="00400466" w:rsidRPr="00140B65" w:rsidRDefault="00400466" w:rsidP="00400466">
                            <w:pPr>
                              <w:tabs>
                                <w:tab w:val="left" w:pos="1534"/>
                              </w:tabs>
                              <w:rPr>
                                <w:rFonts w:ascii="Times New Roman" w:hAnsi="Times New Roman" w:cs="Times New Roman"/>
                              </w:rPr>
                            </w:pPr>
                            <w:r w:rsidRPr="00140B65">
                              <w:rPr>
                                <w:rFonts w:ascii="Times New Roman" w:hAnsi="Times New Roman" w:cs="Times New Roman"/>
                              </w:rPr>
                              <w:br/>
                            </w:r>
                          </w:p>
                          <w:p w:rsidR="00400466" w:rsidRDefault="00400466" w:rsidP="00400466">
                            <w:pPr>
                              <w:pStyle w:val="NormalWeb"/>
                              <w:spacing w:before="0" w:beforeAutospacing="0" w:after="0" w:afterAutospacing="0"/>
                            </w:pPr>
                          </w:p>
                          <w:p w:rsidR="00400466" w:rsidRDefault="00400466" w:rsidP="00400466">
                            <w:pPr>
                              <w:pStyle w:val="NormalWeb"/>
                              <w:spacing w:before="0" w:beforeAutospacing="0" w:after="0" w:afterAutospacing="0"/>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E1257C" id="_x0000_s1032" type="#_x0000_t202" style="position:absolute;margin-left:0;margin-top:1.45pt;width:615pt;height:2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" fillcolor="white [3201]" strokecolor="#7f7f7f [1601]">
                <v:textbox>
                  <w:txbxContent>
                    <w:p w:rsidR="00400466" w:rsidRPr="0029578A" w:rsidRDefault="00400466" w:rsidP="00400466">
                      <w:pPr>
                        <w:tabs>
                          <w:tab w:val="left" w:pos="1534"/>
                        </w:tabs>
                        <w:rPr>
                          <w:rFonts w:ascii="Times New Roman" w:hAnsi="Times New Roman" w:cs="Times New Roman"/>
                        </w:rPr>
                      </w:pPr>
                      <w:r w:rsidRPr="00140B65">
                        <w:rPr>
                          <w:rFonts w:ascii="Times New Roman" w:hAnsi="Times New Roman" w:cs="Times New Roman"/>
                        </w:rPr>
                        <w:t>A</w:t>
                      </w:r>
                      <w:r w:rsidRPr="0029578A">
                        <w:rPr>
                          <w:rFonts w:ascii="Times New Roman" w:hAnsi="Times New Roman" w:cs="Times New Roman"/>
                        </w:rPr>
                        <w:t>bbreviations:</w:t>
                      </w:r>
                      <w:r>
                        <w:rPr>
                          <w:rFonts w:ascii="Times New Roman" w:hAnsi="Times New Roman" w:cs="Times New Roman"/>
                        </w:rPr>
                        <w:t xml:space="preserve"> </w:t>
                      </w:r>
                      <w:r w:rsidRPr="0029578A">
                        <w:rPr>
                          <w:rFonts w:ascii="Times New Roman" w:hAnsi="Times New Roman" w:cs="Times New Roman"/>
                        </w:rPr>
                        <w:t xml:space="preserve"> </w:t>
                      </w:r>
                      <w:r>
                        <w:rPr>
                          <w:rFonts w:ascii="Times New Roman" w:hAnsi="Times New Roman" w:cs="Times New Roman"/>
                        </w:rPr>
                        <w:t>CI, confidence interval; N, number; OS, overall survival.</w:t>
                      </w:r>
                      <w:r w:rsidRPr="00702A0B">
                        <w:rPr>
                          <w:noProof/>
                        </w:rPr>
                        <w:t xml:space="preserve"> </w:t>
                      </w:r>
                    </w:p>
                    <w:p w:rsidR="00400466" w:rsidRPr="00140B65" w:rsidRDefault="00400466" w:rsidP="00400466">
                      <w:pPr>
                        <w:tabs>
                          <w:tab w:val="left" w:pos="1534"/>
                        </w:tabs>
                        <w:rPr>
                          <w:rFonts w:ascii="Times New Roman" w:hAnsi="Times New Roman" w:cs="Times New Roman"/>
                        </w:rPr>
                      </w:pPr>
                      <w:r w:rsidRPr="00140B65">
                        <w:rPr>
                          <w:rFonts w:ascii="Times New Roman" w:hAnsi="Times New Roman" w:cs="Times New Roman"/>
                        </w:rPr>
                        <w:br/>
                      </w:r>
                    </w:p>
                    <w:p w:rsidR="00400466" w:rsidRDefault="00400466" w:rsidP="00400466">
                      <w:pPr>
                        <w:pStyle w:val="NormalWeb"/>
                        <w:spacing w:before="0" w:beforeAutospacing="0" w:after="0" w:afterAutospacing="0"/>
                      </w:pPr>
                    </w:p>
                    <w:p w:rsidR="00400466" w:rsidRDefault="00400466" w:rsidP="00400466">
                      <w:pPr>
                        <w:pStyle w:val="NormalWeb"/>
                        <w:spacing w:before="0" w:beforeAutospacing="0" w:after="0" w:afterAutospacing="0"/>
                      </w:pPr>
                    </w:p>
                  </w:txbxContent>
                </v:textbox>
                <w10:wrap anchorx="margin"/>
              </v:shape>
            </w:pict>
          </mc:Fallback>
        </mc:AlternateContent>
      </w:r>
    </w:p>
    <w:p w:rsidR="007F1D1C" w:rsidRDefault="007F1D1C"/>
    <w:sectPr w:rsidR="007F1D1C" w:rsidSect="006740C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724DC"/>
    <w:multiLevelType w:val="hybridMultilevel"/>
    <w:tmpl w:val="AA96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A9017C"/>
    <w:multiLevelType w:val="hybridMultilevel"/>
    <w:tmpl w:val="C002A966"/>
    <w:lvl w:ilvl="0" w:tplc="C4B626C6">
      <w:start w:val="3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323AEA"/>
    <w:multiLevelType w:val="hybridMultilevel"/>
    <w:tmpl w:val="E01C4382"/>
    <w:lvl w:ilvl="0" w:tplc="7222FCEE">
      <w:start w:val="1"/>
      <w:numFmt w:val="bullet"/>
      <w:lvlRestart w:val="0"/>
      <w:pStyle w:val="List1withbullet"/>
      <w:lvlText w:val=""/>
      <w:lvlJc w:val="left"/>
      <w:pPr>
        <w:tabs>
          <w:tab w:val="num" w:pos="566"/>
        </w:tabs>
        <w:ind w:left="566" w:hanging="283"/>
      </w:pPr>
      <w:rPr>
        <w:rFonts w:ascii="Symbol" w:hAnsi="Symbol" w:hint="default"/>
        <w:color w:val="auto"/>
        <w:sz w:val="24"/>
      </w:rPr>
    </w:lvl>
    <w:lvl w:ilvl="1" w:tplc="04090003">
      <w:start w:val="1"/>
      <w:numFmt w:val="bullet"/>
      <w:lvlText w:val="o"/>
      <w:lvlJc w:val="left"/>
      <w:pPr>
        <w:tabs>
          <w:tab w:val="num" w:pos="1723"/>
        </w:tabs>
        <w:ind w:left="1723" w:hanging="360"/>
      </w:pPr>
      <w:rPr>
        <w:rFonts w:ascii="Courier New" w:hAnsi="Courier New" w:hint="default"/>
      </w:rPr>
    </w:lvl>
    <w:lvl w:ilvl="2" w:tplc="04090005">
      <w:start w:val="1"/>
      <w:numFmt w:val="bullet"/>
      <w:lvlText w:val=""/>
      <w:lvlJc w:val="left"/>
      <w:pPr>
        <w:tabs>
          <w:tab w:val="num" w:pos="2443"/>
        </w:tabs>
        <w:ind w:left="2443" w:hanging="360"/>
      </w:pPr>
      <w:rPr>
        <w:rFonts w:ascii="Wingdings" w:hAnsi="Wingdings" w:hint="default"/>
      </w:rPr>
    </w:lvl>
    <w:lvl w:ilvl="3" w:tplc="0409000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
    <w:nsid w:val="27D0179E"/>
    <w:multiLevelType w:val="hybridMultilevel"/>
    <w:tmpl w:val="BE3C8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4E02B0"/>
    <w:multiLevelType w:val="hybridMultilevel"/>
    <w:tmpl w:val="975A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0B64B4"/>
    <w:multiLevelType w:val="hybridMultilevel"/>
    <w:tmpl w:val="63F65B8C"/>
    <w:lvl w:ilvl="0" w:tplc="7CB81A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1B567C"/>
    <w:multiLevelType w:val="hybridMultilevel"/>
    <w:tmpl w:val="36A0060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384273C2"/>
    <w:multiLevelType w:val="hybridMultilevel"/>
    <w:tmpl w:val="924042EE"/>
    <w:lvl w:ilvl="0" w:tplc="04090001">
      <w:start w:val="1"/>
      <w:numFmt w:val="bullet"/>
      <w:lvlText w:val=""/>
      <w:lvlJc w:val="left"/>
      <w:pPr>
        <w:ind w:left="922" w:hanging="360"/>
      </w:pPr>
      <w:rPr>
        <w:rFonts w:ascii="Symbol" w:hAnsi="Symbol" w:hint="default"/>
      </w:rPr>
    </w:lvl>
    <w:lvl w:ilvl="1" w:tplc="04090001">
      <w:start w:val="1"/>
      <w:numFmt w:val="bullet"/>
      <w:lvlText w:val=""/>
      <w:lvlJc w:val="left"/>
      <w:pPr>
        <w:ind w:left="1642" w:hanging="360"/>
      </w:pPr>
      <w:rPr>
        <w:rFonts w:ascii="Symbol" w:hAnsi="Symbol"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8">
    <w:nsid w:val="3CE60560"/>
    <w:multiLevelType w:val="hybridMultilevel"/>
    <w:tmpl w:val="D8AE4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3657E0"/>
    <w:multiLevelType w:val="hybridMultilevel"/>
    <w:tmpl w:val="A6A69A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EDC78B5"/>
    <w:multiLevelType w:val="hybridMultilevel"/>
    <w:tmpl w:val="179AF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A26432"/>
    <w:multiLevelType w:val="hybridMultilevel"/>
    <w:tmpl w:val="9BE07C7E"/>
    <w:lvl w:ilvl="0" w:tplc="70303BE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0D628F"/>
    <w:multiLevelType w:val="multilevel"/>
    <w:tmpl w:val="29E22454"/>
    <w:lvl w:ilvl="0">
      <w:start w:val="1"/>
      <w:numFmt w:val="decimal"/>
      <w:pStyle w:val="Heading1"/>
      <w:lvlText w:val="%1"/>
      <w:lvlJc w:val="left"/>
      <w:pPr>
        <w:tabs>
          <w:tab w:val="num" w:pos="2016"/>
        </w:tabs>
        <w:ind w:left="2016" w:hanging="2016"/>
      </w:pPr>
      <w:rPr>
        <w:rFonts w:hint="default"/>
      </w:rPr>
    </w:lvl>
    <w:lvl w:ilvl="1">
      <w:start w:val="1"/>
      <w:numFmt w:val="decimal"/>
      <w:pStyle w:val="Heading2"/>
      <w:lvlText w:val="%1.%2"/>
      <w:lvlJc w:val="left"/>
      <w:pPr>
        <w:tabs>
          <w:tab w:val="num" w:pos="2016"/>
        </w:tabs>
        <w:ind w:left="2016" w:hanging="2016"/>
      </w:pPr>
      <w:rPr>
        <w:rFonts w:hint="default"/>
      </w:rPr>
    </w:lvl>
    <w:lvl w:ilvl="2">
      <w:start w:val="1"/>
      <w:numFmt w:val="decimal"/>
      <w:pStyle w:val="Heading3"/>
      <w:lvlText w:val="%1.%2.%3"/>
      <w:lvlJc w:val="left"/>
      <w:pPr>
        <w:tabs>
          <w:tab w:val="num" w:pos="2016"/>
        </w:tabs>
        <w:ind w:left="2016" w:hanging="2016"/>
      </w:pPr>
      <w:rPr>
        <w:rFonts w:hint="default"/>
      </w:rPr>
    </w:lvl>
    <w:lvl w:ilvl="3">
      <w:start w:val="1"/>
      <w:numFmt w:val="decimal"/>
      <w:pStyle w:val="Heading4"/>
      <w:lvlText w:val="%1.%2.%3.%4"/>
      <w:lvlJc w:val="left"/>
      <w:pPr>
        <w:tabs>
          <w:tab w:val="num" w:pos="2016"/>
        </w:tabs>
        <w:ind w:left="2016" w:hanging="2016"/>
      </w:pPr>
      <w:rPr>
        <w:rFonts w:hint="default"/>
      </w:rPr>
    </w:lvl>
    <w:lvl w:ilvl="4">
      <w:start w:val="1"/>
      <w:numFmt w:val="decimal"/>
      <w:pStyle w:val="Heading5"/>
      <w:lvlText w:val="%1.%2.%3.%4.%5"/>
      <w:lvlJc w:val="left"/>
      <w:pPr>
        <w:tabs>
          <w:tab w:val="num" w:pos="2016"/>
        </w:tabs>
        <w:ind w:left="2016" w:hanging="2016"/>
      </w:pPr>
      <w:rPr>
        <w:rFonts w:hint="default"/>
      </w:rPr>
    </w:lvl>
    <w:lvl w:ilvl="5">
      <w:start w:val="1"/>
      <w:numFmt w:val="decimal"/>
      <w:pStyle w:val="Heading6"/>
      <w:lvlText w:val="%1.%2.%3.%4.%5.%6"/>
      <w:lvlJc w:val="left"/>
      <w:pPr>
        <w:tabs>
          <w:tab w:val="num" w:pos="2016"/>
        </w:tabs>
        <w:ind w:left="2016" w:hanging="2016"/>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num>
  <w:num w:numId="2">
    <w:abstractNumId w:val="8"/>
  </w:num>
  <w:num w:numId="3">
    <w:abstractNumId w:val="3"/>
  </w:num>
  <w:num w:numId="4">
    <w:abstractNumId w:val="7"/>
  </w:num>
  <w:num w:numId="5">
    <w:abstractNumId w:val="2"/>
  </w:num>
  <w:num w:numId="6">
    <w:abstractNumId w:val="6"/>
  </w:num>
  <w:num w:numId="7">
    <w:abstractNumId w:val="9"/>
  </w:num>
  <w:num w:numId="8">
    <w:abstractNumId w:val="0"/>
  </w:num>
  <w:num w:numId="9">
    <w:abstractNumId w:val="12"/>
  </w:num>
  <w:num w:numId="10">
    <w:abstractNumId w:val="4"/>
  </w:num>
  <w:num w:numId="11">
    <w:abstractNumId w:val="11"/>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400466"/>
    <w:rsid w:val="0032402E"/>
    <w:rsid w:val="00400466"/>
    <w:rsid w:val="007F1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66"/>
  </w:style>
  <w:style w:type="paragraph" w:styleId="Heading1">
    <w:name w:val="heading 1"/>
    <w:basedOn w:val="BodyText"/>
    <w:next w:val="BodyText"/>
    <w:link w:val="Heading1Char"/>
    <w:qFormat/>
    <w:rsid w:val="00400466"/>
    <w:pPr>
      <w:keepNext/>
      <w:keepLines/>
      <w:numPr>
        <w:numId w:val="9"/>
      </w:numPr>
      <w:outlineLvl w:val="0"/>
    </w:pPr>
    <w:rPr>
      <w:b/>
      <w:sz w:val="28"/>
    </w:rPr>
  </w:style>
  <w:style w:type="paragraph" w:styleId="Heading2">
    <w:name w:val="heading 2"/>
    <w:basedOn w:val="Heading1"/>
    <w:next w:val="BodyText"/>
    <w:link w:val="Heading2Char"/>
    <w:qFormat/>
    <w:rsid w:val="00400466"/>
    <w:pPr>
      <w:numPr>
        <w:ilvl w:val="1"/>
      </w:numPr>
      <w:outlineLvl w:val="1"/>
    </w:pPr>
  </w:style>
  <w:style w:type="paragraph" w:styleId="Heading3">
    <w:name w:val="heading 3"/>
    <w:basedOn w:val="Heading1"/>
    <w:next w:val="BodyText"/>
    <w:link w:val="Heading3Char"/>
    <w:qFormat/>
    <w:rsid w:val="00400466"/>
    <w:pPr>
      <w:numPr>
        <w:ilvl w:val="2"/>
      </w:numPr>
      <w:outlineLvl w:val="2"/>
    </w:pPr>
  </w:style>
  <w:style w:type="paragraph" w:styleId="Heading4">
    <w:name w:val="heading 4"/>
    <w:basedOn w:val="Heading1"/>
    <w:next w:val="BodyText"/>
    <w:link w:val="Heading4Char"/>
    <w:qFormat/>
    <w:rsid w:val="00400466"/>
    <w:pPr>
      <w:numPr>
        <w:ilvl w:val="3"/>
      </w:numPr>
      <w:outlineLvl w:val="3"/>
    </w:pPr>
  </w:style>
  <w:style w:type="paragraph" w:styleId="Heading5">
    <w:name w:val="heading 5"/>
    <w:basedOn w:val="Heading1"/>
    <w:next w:val="BodyText"/>
    <w:link w:val="Heading5Char"/>
    <w:qFormat/>
    <w:rsid w:val="00400466"/>
    <w:pPr>
      <w:numPr>
        <w:ilvl w:val="4"/>
      </w:numPr>
      <w:outlineLvl w:val="4"/>
    </w:pPr>
  </w:style>
  <w:style w:type="paragraph" w:styleId="Heading6">
    <w:name w:val="heading 6"/>
    <w:basedOn w:val="Heading1"/>
    <w:next w:val="BodyText"/>
    <w:link w:val="Heading6Char"/>
    <w:qFormat/>
    <w:rsid w:val="00400466"/>
    <w:pPr>
      <w:numPr>
        <w:ilvl w:val="5"/>
      </w:numPr>
      <w:outlineLvl w:val="5"/>
    </w:pPr>
  </w:style>
  <w:style w:type="paragraph" w:styleId="Heading7">
    <w:name w:val="heading 7"/>
    <w:aliases w:val="not allowed"/>
    <w:basedOn w:val="Normal"/>
    <w:next w:val="Normal"/>
    <w:link w:val="Heading7Char"/>
    <w:qFormat/>
    <w:rsid w:val="00400466"/>
    <w:pPr>
      <w:numPr>
        <w:ilvl w:val="6"/>
        <w:numId w:val="9"/>
      </w:numPr>
      <w:spacing w:after="0" w:line="240" w:lineRule="auto"/>
      <w:jc w:val="both"/>
      <w:outlineLvl w:val="6"/>
    </w:pPr>
    <w:rPr>
      <w:rFonts w:ascii="Symbol" w:eastAsia="Times New Roman" w:hAnsi="Symbol" w:cs="Times New Roman"/>
      <w:color w:val="00FF00"/>
      <w:sz w:val="24"/>
      <w:szCs w:val="20"/>
    </w:rPr>
  </w:style>
  <w:style w:type="paragraph" w:styleId="Heading8">
    <w:name w:val="heading 8"/>
    <w:aliases w:val="do not use"/>
    <w:basedOn w:val="Normal"/>
    <w:next w:val="Normal"/>
    <w:link w:val="Heading8Char"/>
    <w:qFormat/>
    <w:rsid w:val="00400466"/>
    <w:pPr>
      <w:numPr>
        <w:ilvl w:val="7"/>
        <w:numId w:val="9"/>
      </w:numPr>
      <w:spacing w:after="0" w:line="240" w:lineRule="auto"/>
      <w:jc w:val="both"/>
      <w:outlineLvl w:val="7"/>
    </w:pPr>
    <w:rPr>
      <w:rFonts w:ascii="Symbol" w:eastAsia="Times New Roman" w:hAnsi="Symbol" w:cs="Times New Roman"/>
      <w:color w:val="00FF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466"/>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400466"/>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400466"/>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400466"/>
    <w:rPr>
      <w:rFonts w:ascii="Times New Roman" w:eastAsia="Times New Roman" w:hAnsi="Times New Roman" w:cs="Times New Roman"/>
      <w:b/>
      <w:sz w:val="28"/>
      <w:szCs w:val="20"/>
    </w:rPr>
  </w:style>
  <w:style w:type="character" w:customStyle="1" w:styleId="Heading5Char">
    <w:name w:val="Heading 5 Char"/>
    <w:basedOn w:val="DefaultParagraphFont"/>
    <w:link w:val="Heading5"/>
    <w:rsid w:val="00400466"/>
    <w:rPr>
      <w:rFonts w:ascii="Times New Roman" w:eastAsia="Times New Roman" w:hAnsi="Times New Roman" w:cs="Times New Roman"/>
      <w:b/>
      <w:sz w:val="28"/>
      <w:szCs w:val="20"/>
    </w:rPr>
  </w:style>
  <w:style w:type="character" w:customStyle="1" w:styleId="Heading6Char">
    <w:name w:val="Heading 6 Char"/>
    <w:basedOn w:val="DefaultParagraphFont"/>
    <w:link w:val="Heading6"/>
    <w:rsid w:val="00400466"/>
    <w:rPr>
      <w:rFonts w:ascii="Times New Roman" w:eastAsia="Times New Roman" w:hAnsi="Times New Roman" w:cs="Times New Roman"/>
      <w:b/>
      <w:sz w:val="28"/>
      <w:szCs w:val="20"/>
    </w:rPr>
  </w:style>
  <w:style w:type="character" w:customStyle="1" w:styleId="Heading7Char">
    <w:name w:val="Heading 7 Char"/>
    <w:aliases w:val="not allowed Char"/>
    <w:basedOn w:val="DefaultParagraphFont"/>
    <w:link w:val="Heading7"/>
    <w:rsid w:val="00400466"/>
    <w:rPr>
      <w:rFonts w:ascii="Symbol" w:eastAsia="Times New Roman" w:hAnsi="Symbol" w:cs="Times New Roman"/>
      <w:color w:val="00FF00"/>
      <w:sz w:val="24"/>
      <w:szCs w:val="20"/>
    </w:rPr>
  </w:style>
  <w:style w:type="character" w:customStyle="1" w:styleId="Heading8Char">
    <w:name w:val="Heading 8 Char"/>
    <w:aliases w:val="do not use Char"/>
    <w:basedOn w:val="DefaultParagraphFont"/>
    <w:link w:val="Heading8"/>
    <w:rsid w:val="00400466"/>
    <w:rPr>
      <w:rFonts w:ascii="Symbol" w:eastAsia="Times New Roman" w:hAnsi="Symbol" w:cs="Times New Roman"/>
      <w:color w:val="00FF00"/>
      <w:sz w:val="24"/>
      <w:szCs w:val="20"/>
    </w:rPr>
  </w:style>
  <w:style w:type="paragraph" w:styleId="BodyText">
    <w:name w:val="Body Text"/>
    <w:basedOn w:val="Normal"/>
    <w:link w:val="BodyTextChar"/>
    <w:rsid w:val="00400466"/>
    <w:pPr>
      <w:spacing w:before="240"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00466"/>
    <w:rPr>
      <w:rFonts w:ascii="Times New Roman" w:eastAsia="Times New Roman" w:hAnsi="Times New Roman" w:cs="Times New Roman"/>
      <w:sz w:val="24"/>
      <w:szCs w:val="20"/>
    </w:rPr>
  </w:style>
  <w:style w:type="character" w:styleId="Hyperlink">
    <w:name w:val="Hyperlink"/>
    <w:basedOn w:val="DefaultParagraphFont"/>
    <w:uiPriority w:val="99"/>
    <w:unhideWhenUsed/>
    <w:rsid w:val="00400466"/>
    <w:rPr>
      <w:color w:val="0563C1" w:themeColor="hyperlink"/>
      <w:u w:val="single"/>
    </w:rPr>
  </w:style>
  <w:style w:type="paragraph" w:customStyle="1" w:styleId="List1withbullet">
    <w:name w:val="List 1 with bullet"/>
    <w:basedOn w:val="BodyText"/>
    <w:next w:val="Normal"/>
    <w:rsid w:val="00400466"/>
    <w:pPr>
      <w:numPr>
        <w:numId w:val="5"/>
      </w:numPr>
      <w:spacing w:before="120"/>
    </w:pPr>
  </w:style>
  <w:style w:type="paragraph" w:customStyle="1" w:styleId="EndNoteBibliography">
    <w:name w:val="EndNote Bibliography"/>
    <w:basedOn w:val="Normal"/>
    <w:link w:val="EndNoteBibliographyChar"/>
    <w:rsid w:val="00400466"/>
    <w:pPr>
      <w:spacing w:before="240" w:after="0" w:line="240" w:lineRule="auto"/>
      <w:jc w:val="both"/>
    </w:pPr>
    <w:rPr>
      <w:rFonts w:ascii="Calibri" w:eastAsia="Times New Roman" w:hAnsi="Calibri" w:cs="Calibri"/>
      <w:noProof/>
      <w:sz w:val="24"/>
      <w:szCs w:val="20"/>
    </w:rPr>
  </w:style>
  <w:style w:type="character" w:customStyle="1" w:styleId="EndNoteBibliographyChar">
    <w:name w:val="EndNote Bibliography Char"/>
    <w:basedOn w:val="BodyTextChar"/>
    <w:link w:val="EndNoteBibliography"/>
    <w:rsid w:val="00400466"/>
    <w:rPr>
      <w:rFonts w:ascii="Calibri" w:eastAsia="Times New Roman" w:hAnsi="Calibri" w:cs="Calibri"/>
      <w:noProof/>
      <w:sz w:val="24"/>
      <w:szCs w:val="20"/>
    </w:rPr>
  </w:style>
  <w:style w:type="table" w:styleId="TableGrid">
    <w:name w:val="Table Grid"/>
    <w:basedOn w:val="TableNormal"/>
    <w:rsid w:val="00400466"/>
    <w:pPr>
      <w:spacing w:before="240" w:after="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Char"/>
    <w:rsid w:val="00400466"/>
    <w:pPr>
      <w:spacing w:after="240" w:line="240" w:lineRule="auto"/>
    </w:pPr>
    <w:rPr>
      <w:rFonts w:ascii="Times New Roman" w:eastAsia="Times New Roman" w:hAnsi="Times New Roman" w:cs="Times New Roman"/>
      <w:sz w:val="24"/>
      <w:szCs w:val="24"/>
    </w:rPr>
  </w:style>
  <w:style w:type="character" w:customStyle="1" w:styleId="ParagraphChar">
    <w:name w:val="Paragraph Char"/>
    <w:link w:val="Paragraph"/>
    <w:rsid w:val="00400466"/>
    <w:rPr>
      <w:rFonts w:ascii="Times New Roman" w:eastAsia="Times New Roman" w:hAnsi="Times New Roman" w:cs="Times New Roman"/>
      <w:sz w:val="24"/>
      <w:szCs w:val="24"/>
    </w:rPr>
  </w:style>
  <w:style w:type="paragraph" w:styleId="ListParagraph">
    <w:name w:val="List Paragraph"/>
    <w:basedOn w:val="Normal"/>
    <w:uiPriority w:val="34"/>
    <w:qFormat/>
    <w:rsid w:val="00400466"/>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00466"/>
    <w:pPr>
      <w:spacing w:before="100" w:beforeAutospacing="1" w:after="100" w:afterAutospacing="1" w:line="240" w:lineRule="auto"/>
    </w:pPr>
    <w:rPr>
      <w:rFonts w:ascii="Times New Roman" w:eastAsiaTheme="minorEastAsia" w:hAnsi="Times New Roman" w:cs="Times New Roman"/>
      <w:sz w:val="24"/>
      <w:szCs w:val="24"/>
    </w:rPr>
  </w:style>
  <w:style w:type="character" w:styleId="FollowedHyperlink">
    <w:name w:val="FollowedHyperlink"/>
    <w:basedOn w:val="DefaultParagraphFont"/>
    <w:uiPriority w:val="99"/>
    <w:semiHidden/>
    <w:unhideWhenUsed/>
    <w:rsid w:val="00400466"/>
    <w:rPr>
      <w:color w:val="954F72" w:themeColor="followedHyperlink"/>
      <w:u w:val="single"/>
    </w:rPr>
  </w:style>
  <w:style w:type="paragraph" w:customStyle="1" w:styleId="EndNoteBibliographyTitle">
    <w:name w:val="EndNote Bibliography Title"/>
    <w:basedOn w:val="Normal"/>
    <w:link w:val="EndNoteBibliographyTitleChar"/>
    <w:rsid w:val="0040046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00466"/>
    <w:rPr>
      <w:rFonts w:ascii="Calibri" w:hAnsi="Calibri" w:cs="Calibri"/>
      <w:noProof/>
    </w:rPr>
  </w:style>
  <w:style w:type="paragraph" w:styleId="Header">
    <w:name w:val="header"/>
    <w:basedOn w:val="Normal"/>
    <w:link w:val="HeaderChar"/>
    <w:uiPriority w:val="99"/>
    <w:unhideWhenUsed/>
    <w:rsid w:val="00400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466"/>
  </w:style>
  <w:style w:type="paragraph" w:styleId="Footer">
    <w:name w:val="footer"/>
    <w:basedOn w:val="Normal"/>
    <w:link w:val="FooterChar"/>
    <w:uiPriority w:val="99"/>
    <w:unhideWhenUsed/>
    <w:rsid w:val="00400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466"/>
  </w:style>
  <w:style w:type="table" w:customStyle="1" w:styleId="PlainTable2">
    <w:name w:val="Plain Table 2"/>
    <w:basedOn w:val="TableNormal"/>
    <w:uiPriority w:val="42"/>
    <w:rsid w:val="00400466"/>
    <w:pPr>
      <w:spacing w:before="240" w:after="0" w:line="240" w:lineRule="auto"/>
      <w:jc w:val="both"/>
    </w:pPr>
    <w:rPr>
      <w:rFonts w:ascii="Times New Roman" w:eastAsia="Times New Roman" w:hAnsi="Times New Roman" w:cs="Times New Roman"/>
      <w:sz w:val="20"/>
      <w:szCs w:val="20"/>
      <w:lang w:val="de-DE"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400466"/>
    <w:rPr>
      <w:sz w:val="16"/>
      <w:szCs w:val="16"/>
    </w:rPr>
  </w:style>
  <w:style w:type="paragraph" w:styleId="CommentText">
    <w:name w:val="annotation text"/>
    <w:basedOn w:val="Normal"/>
    <w:link w:val="CommentTextChar"/>
    <w:uiPriority w:val="99"/>
    <w:unhideWhenUsed/>
    <w:rsid w:val="00400466"/>
    <w:pPr>
      <w:spacing w:line="240" w:lineRule="auto"/>
    </w:pPr>
    <w:rPr>
      <w:sz w:val="20"/>
      <w:szCs w:val="20"/>
    </w:rPr>
  </w:style>
  <w:style w:type="character" w:customStyle="1" w:styleId="CommentTextChar">
    <w:name w:val="Comment Text Char"/>
    <w:basedOn w:val="DefaultParagraphFont"/>
    <w:link w:val="CommentText"/>
    <w:uiPriority w:val="99"/>
    <w:rsid w:val="00400466"/>
    <w:rPr>
      <w:sz w:val="20"/>
      <w:szCs w:val="20"/>
    </w:rPr>
  </w:style>
  <w:style w:type="paragraph" w:styleId="CommentSubject">
    <w:name w:val="annotation subject"/>
    <w:basedOn w:val="CommentText"/>
    <w:next w:val="CommentText"/>
    <w:link w:val="CommentSubjectChar"/>
    <w:uiPriority w:val="99"/>
    <w:semiHidden/>
    <w:unhideWhenUsed/>
    <w:rsid w:val="00400466"/>
    <w:rPr>
      <w:b/>
      <w:bCs/>
    </w:rPr>
  </w:style>
  <w:style w:type="character" w:customStyle="1" w:styleId="CommentSubjectChar">
    <w:name w:val="Comment Subject Char"/>
    <w:basedOn w:val="CommentTextChar"/>
    <w:link w:val="CommentSubject"/>
    <w:uiPriority w:val="99"/>
    <w:semiHidden/>
    <w:rsid w:val="00400466"/>
    <w:rPr>
      <w:b/>
      <w:bCs/>
      <w:sz w:val="20"/>
      <w:szCs w:val="20"/>
    </w:rPr>
  </w:style>
  <w:style w:type="paragraph" w:styleId="BalloonText">
    <w:name w:val="Balloon Text"/>
    <w:basedOn w:val="Normal"/>
    <w:link w:val="BalloonTextChar"/>
    <w:uiPriority w:val="99"/>
    <w:semiHidden/>
    <w:unhideWhenUsed/>
    <w:rsid w:val="0040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466"/>
    <w:rPr>
      <w:rFonts w:ascii="Segoe UI" w:hAnsi="Segoe UI" w:cs="Segoe UI"/>
      <w:sz w:val="18"/>
      <w:szCs w:val="18"/>
    </w:rPr>
  </w:style>
  <w:style w:type="paragraph" w:styleId="Revision">
    <w:name w:val="Revision"/>
    <w:hidden/>
    <w:uiPriority w:val="99"/>
    <w:semiHidden/>
    <w:rsid w:val="00400466"/>
    <w:pPr>
      <w:spacing w:after="0" w:line="240" w:lineRule="auto"/>
    </w:pPr>
  </w:style>
  <w:style w:type="character" w:styleId="LineNumber">
    <w:name w:val="line number"/>
    <w:basedOn w:val="DefaultParagraphFont"/>
    <w:uiPriority w:val="99"/>
    <w:semiHidden/>
    <w:unhideWhenUsed/>
    <w:rsid w:val="00400466"/>
  </w:style>
  <w:style w:type="paragraph" w:customStyle="1" w:styleId="TextAfterHeading1">
    <w:name w:val="Text After Heading 1"/>
    <w:next w:val="Heading2"/>
    <w:link w:val="TextAfterHeading1Char"/>
    <w:qFormat/>
    <w:rsid w:val="00400466"/>
    <w:pPr>
      <w:tabs>
        <w:tab w:val="left" w:pos="567"/>
      </w:tabs>
      <w:spacing w:after="0" w:line="276" w:lineRule="auto"/>
      <w:ind w:left="720"/>
      <w:jc w:val="both"/>
    </w:pPr>
    <w:rPr>
      <w:rFonts w:ascii="Calibri" w:eastAsia="Times New Roman" w:hAnsi="Calibri" w:cs="Arial"/>
      <w:color w:val="000000"/>
      <w:szCs w:val="21"/>
    </w:rPr>
  </w:style>
  <w:style w:type="character" w:customStyle="1" w:styleId="TextAfterHeading1Char">
    <w:name w:val="Text After Heading 1 Char"/>
    <w:link w:val="TextAfterHeading1"/>
    <w:rsid w:val="00400466"/>
    <w:rPr>
      <w:rFonts w:ascii="Calibri" w:eastAsia="Times New Roman" w:hAnsi="Calibri" w:cs="Arial"/>
      <w:color w:val="00000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66"/>
  </w:style>
  <w:style w:type="paragraph" w:styleId="Heading1">
    <w:name w:val="heading 1"/>
    <w:basedOn w:val="BodyText"/>
    <w:next w:val="BodyText"/>
    <w:link w:val="Heading1Char"/>
    <w:qFormat/>
    <w:rsid w:val="00400466"/>
    <w:pPr>
      <w:keepNext/>
      <w:keepLines/>
      <w:numPr>
        <w:numId w:val="9"/>
      </w:numPr>
      <w:outlineLvl w:val="0"/>
    </w:pPr>
    <w:rPr>
      <w:b/>
      <w:sz w:val="28"/>
    </w:rPr>
  </w:style>
  <w:style w:type="paragraph" w:styleId="Heading2">
    <w:name w:val="heading 2"/>
    <w:basedOn w:val="Heading1"/>
    <w:next w:val="BodyText"/>
    <w:link w:val="Heading2Char"/>
    <w:qFormat/>
    <w:rsid w:val="00400466"/>
    <w:pPr>
      <w:numPr>
        <w:ilvl w:val="1"/>
      </w:numPr>
      <w:outlineLvl w:val="1"/>
    </w:pPr>
  </w:style>
  <w:style w:type="paragraph" w:styleId="Heading3">
    <w:name w:val="heading 3"/>
    <w:basedOn w:val="Heading1"/>
    <w:next w:val="BodyText"/>
    <w:link w:val="Heading3Char"/>
    <w:qFormat/>
    <w:rsid w:val="00400466"/>
    <w:pPr>
      <w:numPr>
        <w:ilvl w:val="2"/>
      </w:numPr>
      <w:outlineLvl w:val="2"/>
    </w:pPr>
  </w:style>
  <w:style w:type="paragraph" w:styleId="Heading4">
    <w:name w:val="heading 4"/>
    <w:basedOn w:val="Heading1"/>
    <w:next w:val="BodyText"/>
    <w:link w:val="Heading4Char"/>
    <w:qFormat/>
    <w:rsid w:val="00400466"/>
    <w:pPr>
      <w:numPr>
        <w:ilvl w:val="3"/>
      </w:numPr>
      <w:outlineLvl w:val="3"/>
    </w:pPr>
  </w:style>
  <w:style w:type="paragraph" w:styleId="Heading5">
    <w:name w:val="heading 5"/>
    <w:basedOn w:val="Heading1"/>
    <w:next w:val="BodyText"/>
    <w:link w:val="Heading5Char"/>
    <w:qFormat/>
    <w:rsid w:val="00400466"/>
    <w:pPr>
      <w:numPr>
        <w:ilvl w:val="4"/>
      </w:numPr>
      <w:outlineLvl w:val="4"/>
    </w:pPr>
  </w:style>
  <w:style w:type="paragraph" w:styleId="Heading6">
    <w:name w:val="heading 6"/>
    <w:basedOn w:val="Heading1"/>
    <w:next w:val="BodyText"/>
    <w:link w:val="Heading6Char"/>
    <w:qFormat/>
    <w:rsid w:val="00400466"/>
    <w:pPr>
      <w:numPr>
        <w:ilvl w:val="5"/>
      </w:numPr>
      <w:outlineLvl w:val="5"/>
    </w:pPr>
  </w:style>
  <w:style w:type="paragraph" w:styleId="Heading7">
    <w:name w:val="heading 7"/>
    <w:aliases w:val="not allowed"/>
    <w:basedOn w:val="Normal"/>
    <w:next w:val="Normal"/>
    <w:link w:val="Heading7Char"/>
    <w:qFormat/>
    <w:rsid w:val="00400466"/>
    <w:pPr>
      <w:numPr>
        <w:ilvl w:val="6"/>
        <w:numId w:val="9"/>
      </w:numPr>
      <w:spacing w:after="0" w:line="240" w:lineRule="auto"/>
      <w:jc w:val="both"/>
      <w:outlineLvl w:val="6"/>
    </w:pPr>
    <w:rPr>
      <w:rFonts w:ascii="Symbol" w:eastAsia="Times New Roman" w:hAnsi="Symbol" w:cs="Times New Roman"/>
      <w:color w:val="00FF00"/>
      <w:sz w:val="24"/>
      <w:szCs w:val="20"/>
    </w:rPr>
  </w:style>
  <w:style w:type="paragraph" w:styleId="Heading8">
    <w:name w:val="heading 8"/>
    <w:aliases w:val="do not use"/>
    <w:basedOn w:val="Normal"/>
    <w:next w:val="Normal"/>
    <w:link w:val="Heading8Char"/>
    <w:qFormat/>
    <w:rsid w:val="00400466"/>
    <w:pPr>
      <w:numPr>
        <w:ilvl w:val="7"/>
        <w:numId w:val="9"/>
      </w:numPr>
      <w:spacing w:after="0" w:line="240" w:lineRule="auto"/>
      <w:jc w:val="both"/>
      <w:outlineLvl w:val="7"/>
    </w:pPr>
    <w:rPr>
      <w:rFonts w:ascii="Symbol" w:eastAsia="Times New Roman" w:hAnsi="Symbol" w:cs="Times New Roman"/>
      <w:color w:val="00FF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466"/>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400466"/>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400466"/>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400466"/>
    <w:rPr>
      <w:rFonts w:ascii="Times New Roman" w:eastAsia="Times New Roman" w:hAnsi="Times New Roman" w:cs="Times New Roman"/>
      <w:b/>
      <w:sz w:val="28"/>
      <w:szCs w:val="20"/>
    </w:rPr>
  </w:style>
  <w:style w:type="character" w:customStyle="1" w:styleId="Heading5Char">
    <w:name w:val="Heading 5 Char"/>
    <w:basedOn w:val="DefaultParagraphFont"/>
    <w:link w:val="Heading5"/>
    <w:rsid w:val="00400466"/>
    <w:rPr>
      <w:rFonts w:ascii="Times New Roman" w:eastAsia="Times New Roman" w:hAnsi="Times New Roman" w:cs="Times New Roman"/>
      <w:b/>
      <w:sz w:val="28"/>
      <w:szCs w:val="20"/>
    </w:rPr>
  </w:style>
  <w:style w:type="character" w:customStyle="1" w:styleId="Heading6Char">
    <w:name w:val="Heading 6 Char"/>
    <w:basedOn w:val="DefaultParagraphFont"/>
    <w:link w:val="Heading6"/>
    <w:rsid w:val="00400466"/>
    <w:rPr>
      <w:rFonts w:ascii="Times New Roman" w:eastAsia="Times New Roman" w:hAnsi="Times New Roman" w:cs="Times New Roman"/>
      <w:b/>
      <w:sz w:val="28"/>
      <w:szCs w:val="20"/>
    </w:rPr>
  </w:style>
  <w:style w:type="character" w:customStyle="1" w:styleId="Heading7Char">
    <w:name w:val="Heading 7 Char"/>
    <w:aliases w:val="not allowed Char"/>
    <w:basedOn w:val="DefaultParagraphFont"/>
    <w:link w:val="Heading7"/>
    <w:rsid w:val="00400466"/>
    <w:rPr>
      <w:rFonts w:ascii="Symbol" w:eastAsia="Times New Roman" w:hAnsi="Symbol" w:cs="Times New Roman"/>
      <w:color w:val="00FF00"/>
      <w:sz w:val="24"/>
      <w:szCs w:val="20"/>
    </w:rPr>
  </w:style>
  <w:style w:type="character" w:customStyle="1" w:styleId="Heading8Char">
    <w:name w:val="Heading 8 Char"/>
    <w:aliases w:val="do not use Char"/>
    <w:basedOn w:val="DefaultParagraphFont"/>
    <w:link w:val="Heading8"/>
    <w:rsid w:val="00400466"/>
    <w:rPr>
      <w:rFonts w:ascii="Symbol" w:eastAsia="Times New Roman" w:hAnsi="Symbol" w:cs="Times New Roman"/>
      <w:color w:val="00FF00"/>
      <w:sz w:val="24"/>
      <w:szCs w:val="20"/>
    </w:rPr>
  </w:style>
  <w:style w:type="paragraph" w:styleId="BodyText">
    <w:name w:val="Body Text"/>
    <w:basedOn w:val="Normal"/>
    <w:link w:val="BodyTextChar"/>
    <w:rsid w:val="00400466"/>
    <w:pPr>
      <w:spacing w:before="240"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00466"/>
    <w:rPr>
      <w:rFonts w:ascii="Times New Roman" w:eastAsia="Times New Roman" w:hAnsi="Times New Roman" w:cs="Times New Roman"/>
      <w:sz w:val="24"/>
      <w:szCs w:val="20"/>
    </w:rPr>
  </w:style>
  <w:style w:type="character" w:styleId="Hyperlink">
    <w:name w:val="Hyperlink"/>
    <w:basedOn w:val="DefaultParagraphFont"/>
    <w:uiPriority w:val="99"/>
    <w:unhideWhenUsed/>
    <w:rsid w:val="00400466"/>
    <w:rPr>
      <w:color w:val="0563C1" w:themeColor="hyperlink"/>
      <w:u w:val="single"/>
    </w:rPr>
  </w:style>
  <w:style w:type="paragraph" w:customStyle="1" w:styleId="List1withbullet">
    <w:name w:val="List 1 with bullet"/>
    <w:basedOn w:val="BodyText"/>
    <w:next w:val="Normal"/>
    <w:rsid w:val="00400466"/>
    <w:pPr>
      <w:numPr>
        <w:numId w:val="5"/>
      </w:numPr>
      <w:spacing w:before="120"/>
    </w:pPr>
  </w:style>
  <w:style w:type="paragraph" w:customStyle="1" w:styleId="EndNoteBibliography">
    <w:name w:val="EndNote Bibliography"/>
    <w:basedOn w:val="Normal"/>
    <w:link w:val="EndNoteBibliographyChar"/>
    <w:rsid w:val="00400466"/>
    <w:pPr>
      <w:spacing w:before="240" w:after="0" w:line="240" w:lineRule="auto"/>
      <w:jc w:val="both"/>
    </w:pPr>
    <w:rPr>
      <w:rFonts w:ascii="Calibri" w:eastAsia="Times New Roman" w:hAnsi="Calibri" w:cs="Calibri"/>
      <w:noProof/>
      <w:sz w:val="24"/>
      <w:szCs w:val="20"/>
    </w:rPr>
  </w:style>
  <w:style w:type="character" w:customStyle="1" w:styleId="EndNoteBibliographyChar">
    <w:name w:val="EndNote Bibliography Char"/>
    <w:basedOn w:val="BodyTextChar"/>
    <w:link w:val="EndNoteBibliography"/>
    <w:rsid w:val="00400466"/>
    <w:rPr>
      <w:rFonts w:ascii="Calibri" w:eastAsia="Times New Roman" w:hAnsi="Calibri" w:cs="Calibri"/>
      <w:noProof/>
      <w:sz w:val="24"/>
      <w:szCs w:val="20"/>
    </w:rPr>
  </w:style>
  <w:style w:type="table" w:styleId="TableGrid">
    <w:name w:val="Table Grid"/>
    <w:basedOn w:val="TableNormal"/>
    <w:rsid w:val="00400466"/>
    <w:pPr>
      <w:spacing w:before="240" w:after="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Char"/>
    <w:rsid w:val="00400466"/>
    <w:pPr>
      <w:spacing w:after="240" w:line="240" w:lineRule="auto"/>
    </w:pPr>
    <w:rPr>
      <w:rFonts w:ascii="Times New Roman" w:eastAsia="Times New Roman" w:hAnsi="Times New Roman" w:cs="Times New Roman"/>
      <w:sz w:val="24"/>
      <w:szCs w:val="24"/>
    </w:rPr>
  </w:style>
  <w:style w:type="character" w:customStyle="1" w:styleId="ParagraphChar">
    <w:name w:val="Paragraph Char"/>
    <w:link w:val="Paragraph"/>
    <w:rsid w:val="00400466"/>
    <w:rPr>
      <w:rFonts w:ascii="Times New Roman" w:eastAsia="Times New Roman" w:hAnsi="Times New Roman" w:cs="Times New Roman"/>
      <w:sz w:val="24"/>
      <w:szCs w:val="24"/>
    </w:rPr>
  </w:style>
  <w:style w:type="paragraph" w:styleId="ListParagraph">
    <w:name w:val="List Paragraph"/>
    <w:basedOn w:val="Normal"/>
    <w:uiPriority w:val="34"/>
    <w:qFormat/>
    <w:rsid w:val="00400466"/>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00466"/>
    <w:pPr>
      <w:spacing w:before="100" w:beforeAutospacing="1" w:after="100" w:afterAutospacing="1" w:line="240" w:lineRule="auto"/>
    </w:pPr>
    <w:rPr>
      <w:rFonts w:ascii="Times New Roman" w:eastAsiaTheme="minorEastAsia" w:hAnsi="Times New Roman" w:cs="Times New Roman"/>
      <w:sz w:val="24"/>
      <w:szCs w:val="24"/>
    </w:rPr>
  </w:style>
  <w:style w:type="character" w:styleId="FollowedHyperlink">
    <w:name w:val="FollowedHyperlink"/>
    <w:basedOn w:val="DefaultParagraphFont"/>
    <w:uiPriority w:val="99"/>
    <w:semiHidden/>
    <w:unhideWhenUsed/>
    <w:rsid w:val="00400466"/>
    <w:rPr>
      <w:color w:val="954F72" w:themeColor="followedHyperlink"/>
      <w:u w:val="single"/>
    </w:rPr>
  </w:style>
  <w:style w:type="paragraph" w:customStyle="1" w:styleId="EndNoteBibliographyTitle">
    <w:name w:val="EndNote Bibliography Title"/>
    <w:basedOn w:val="Normal"/>
    <w:link w:val="EndNoteBibliographyTitleChar"/>
    <w:rsid w:val="0040046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00466"/>
    <w:rPr>
      <w:rFonts w:ascii="Calibri" w:hAnsi="Calibri" w:cs="Calibri"/>
      <w:noProof/>
    </w:rPr>
  </w:style>
  <w:style w:type="paragraph" w:styleId="Header">
    <w:name w:val="header"/>
    <w:basedOn w:val="Normal"/>
    <w:link w:val="HeaderChar"/>
    <w:uiPriority w:val="99"/>
    <w:unhideWhenUsed/>
    <w:rsid w:val="00400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466"/>
  </w:style>
  <w:style w:type="paragraph" w:styleId="Footer">
    <w:name w:val="footer"/>
    <w:basedOn w:val="Normal"/>
    <w:link w:val="FooterChar"/>
    <w:uiPriority w:val="99"/>
    <w:unhideWhenUsed/>
    <w:rsid w:val="00400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466"/>
  </w:style>
  <w:style w:type="table" w:customStyle="1" w:styleId="PlainTable2">
    <w:name w:val="Plain Table 2"/>
    <w:basedOn w:val="TableNormal"/>
    <w:uiPriority w:val="42"/>
    <w:rsid w:val="00400466"/>
    <w:pPr>
      <w:spacing w:before="240" w:after="0" w:line="240" w:lineRule="auto"/>
      <w:jc w:val="both"/>
    </w:pPr>
    <w:rPr>
      <w:rFonts w:ascii="Times New Roman" w:eastAsia="Times New Roman" w:hAnsi="Times New Roman" w:cs="Times New Roman"/>
      <w:sz w:val="20"/>
      <w:szCs w:val="20"/>
      <w:lang w:val="de-DE"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400466"/>
    <w:rPr>
      <w:sz w:val="16"/>
      <w:szCs w:val="16"/>
    </w:rPr>
  </w:style>
  <w:style w:type="paragraph" w:styleId="CommentText">
    <w:name w:val="annotation text"/>
    <w:basedOn w:val="Normal"/>
    <w:link w:val="CommentTextChar"/>
    <w:uiPriority w:val="99"/>
    <w:unhideWhenUsed/>
    <w:rsid w:val="00400466"/>
    <w:pPr>
      <w:spacing w:line="240" w:lineRule="auto"/>
    </w:pPr>
    <w:rPr>
      <w:sz w:val="20"/>
      <w:szCs w:val="20"/>
    </w:rPr>
  </w:style>
  <w:style w:type="character" w:customStyle="1" w:styleId="CommentTextChar">
    <w:name w:val="Comment Text Char"/>
    <w:basedOn w:val="DefaultParagraphFont"/>
    <w:link w:val="CommentText"/>
    <w:uiPriority w:val="99"/>
    <w:rsid w:val="00400466"/>
    <w:rPr>
      <w:sz w:val="20"/>
      <w:szCs w:val="20"/>
    </w:rPr>
  </w:style>
  <w:style w:type="paragraph" w:styleId="CommentSubject">
    <w:name w:val="annotation subject"/>
    <w:basedOn w:val="CommentText"/>
    <w:next w:val="CommentText"/>
    <w:link w:val="CommentSubjectChar"/>
    <w:uiPriority w:val="99"/>
    <w:semiHidden/>
    <w:unhideWhenUsed/>
    <w:rsid w:val="00400466"/>
    <w:rPr>
      <w:b/>
      <w:bCs/>
    </w:rPr>
  </w:style>
  <w:style w:type="character" w:customStyle="1" w:styleId="CommentSubjectChar">
    <w:name w:val="Comment Subject Char"/>
    <w:basedOn w:val="CommentTextChar"/>
    <w:link w:val="CommentSubject"/>
    <w:uiPriority w:val="99"/>
    <w:semiHidden/>
    <w:rsid w:val="00400466"/>
    <w:rPr>
      <w:b/>
      <w:bCs/>
      <w:sz w:val="20"/>
      <w:szCs w:val="20"/>
    </w:rPr>
  </w:style>
  <w:style w:type="paragraph" w:styleId="BalloonText">
    <w:name w:val="Balloon Text"/>
    <w:basedOn w:val="Normal"/>
    <w:link w:val="BalloonTextChar"/>
    <w:uiPriority w:val="99"/>
    <w:semiHidden/>
    <w:unhideWhenUsed/>
    <w:rsid w:val="0040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466"/>
    <w:rPr>
      <w:rFonts w:ascii="Segoe UI" w:hAnsi="Segoe UI" w:cs="Segoe UI"/>
      <w:sz w:val="18"/>
      <w:szCs w:val="18"/>
    </w:rPr>
  </w:style>
  <w:style w:type="paragraph" w:styleId="Revision">
    <w:name w:val="Revision"/>
    <w:hidden/>
    <w:uiPriority w:val="99"/>
    <w:semiHidden/>
    <w:rsid w:val="00400466"/>
    <w:pPr>
      <w:spacing w:after="0" w:line="240" w:lineRule="auto"/>
    </w:pPr>
  </w:style>
  <w:style w:type="character" w:styleId="LineNumber">
    <w:name w:val="line number"/>
    <w:basedOn w:val="DefaultParagraphFont"/>
    <w:uiPriority w:val="99"/>
    <w:semiHidden/>
    <w:unhideWhenUsed/>
    <w:rsid w:val="00400466"/>
  </w:style>
  <w:style w:type="paragraph" w:customStyle="1" w:styleId="TextAfterHeading1">
    <w:name w:val="Text After Heading 1"/>
    <w:next w:val="Heading2"/>
    <w:link w:val="TextAfterHeading1Char"/>
    <w:qFormat/>
    <w:rsid w:val="00400466"/>
    <w:pPr>
      <w:tabs>
        <w:tab w:val="left" w:pos="567"/>
      </w:tabs>
      <w:spacing w:after="0" w:line="276" w:lineRule="auto"/>
      <w:ind w:left="720"/>
      <w:jc w:val="both"/>
    </w:pPr>
    <w:rPr>
      <w:rFonts w:ascii="Calibri" w:eastAsia="Times New Roman" w:hAnsi="Calibri" w:cs="Arial"/>
      <w:color w:val="000000"/>
      <w:szCs w:val="21"/>
    </w:rPr>
  </w:style>
  <w:style w:type="character" w:customStyle="1" w:styleId="TextAfterHeading1Char">
    <w:name w:val="Text After Heading 1 Char"/>
    <w:link w:val="TextAfterHeading1"/>
    <w:rsid w:val="00400466"/>
    <w:rPr>
      <w:rFonts w:ascii="Calibri" w:eastAsia="Times New Roman" w:hAnsi="Calibri" w:cs="Arial"/>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1586</Words>
  <Characters>8915</Characters>
  <Application>Microsoft Office Word</Application>
  <DocSecurity>0</DocSecurity>
  <Lines>1273</Lines>
  <Paragraphs>1050</Paragraphs>
  <ScaleCrop>false</ScaleCrop>
  <HeadingPairs>
    <vt:vector size="2" baseType="variant">
      <vt:variant>
        <vt:lpstr>Title</vt:lpstr>
      </vt:variant>
      <vt:variant>
        <vt:i4>1</vt:i4>
      </vt:variant>
    </vt:vector>
  </HeadingPairs>
  <TitlesOfParts>
    <vt:vector size="1" baseType="lpstr">
      <vt:lpstr/>
    </vt:vector>
  </TitlesOfParts>
  <Company>HealthCore Inc.</Company>
  <LinksUpToDate>false</LinksUpToDate>
  <CharactersWithSpaces>9451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Beachler, Daniel</dc:creator>
  <cp:keywords/>
  <dc:description/>
  <cp:lastModifiedBy>MCALORING</cp:lastModifiedBy>
  <cp:revision>2</cp:revision>
  <dcterms:created xsi:type="dcterms:W3CDTF">2020-06-10T15:47:00Z</dcterms:created>
  <dcterms:modified xsi:type="dcterms:W3CDTF">2020-08-01T14:46:00Z</dcterms:modified>
</cp:coreProperties>
</file>