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35C45" w14:textId="4B3FE198" w:rsidR="00287B8C" w:rsidRDefault="00287B8C" w:rsidP="00EE4864">
      <w:pPr>
        <w:spacing w:line="360" w:lineRule="auto"/>
        <w:rPr>
          <w:rFonts w:ascii="Times New Roman" w:eastAsia="楷体" w:hAnsi="Times New Roman"/>
          <w:b/>
          <w:bCs/>
          <w:sz w:val="24"/>
          <w:szCs w:val="28"/>
        </w:rPr>
      </w:pPr>
      <w:r w:rsidRPr="00287B8C">
        <w:rPr>
          <w:rFonts w:ascii="Times New Roman" w:eastAsia="楷体" w:hAnsi="Times New Roman"/>
          <w:b/>
          <w:bCs/>
          <w:sz w:val="24"/>
          <w:szCs w:val="28"/>
        </w:rPr>
        <w:t xml:space="preserve">Manuscript </w:t>
      </w:r>
      <w:r w:rsidR="009A6B2C" w:rsidRPr="009A6B2C">
        <w:rPr>
          <w:rFonts w:ascii="Times New Roman" w:eastAsia="楷体" w:hAnsi="Times New Roman"/>
          <w:b/>
          <w:bCs/>
          <w:sz w:val="24"/>
          <w:szCs w:val="28"/>
        </w:rPr>
        <w:t>JOVR-D-21-00414R1</w:t>
      </w:r>
    </w:p>
    <w:p w14:paraId="05688796" w14:textId="55B3FB7F" w:rsidR="00287B8C" w:rsidRDefault="00287B8C" w:rsidP="00EE4864">
      <w:pPr>
        <w:spacing w:line="360" w:lineRule="auto"/>
        <w:rPr>
          <w:rFonts w:ascii="Times New Roman" w:eastAsia="楷体" w:hAnsi="Times New Roman"/>
          <w:b/>
          <w:bCs/>
          <w:sz w:val="24"/>
          <w:szCs w:val="28"/>
        </w:rPr>
      </w:pPr>
      <w:r w:rsidRPr="00287B8C">
        <w:rPr>
          <w:rFonts w:ascii="Times New Roman" w:eastAsia="楷体" w:hAnsi="Times New Roman"/>
          <w:b/>
          <w:bCs/>
          <w:sz w:val="24"/>
          <w:szCs w:val="28"/>
        </w:rPr>
        <w:t>Response to Reviewers</w:t>
      </w:r>
    </w:p>
    <w:p w14:paraId="74C42B7F" w14:textId="77777777" w:rsidR="00E5415A" w:rsidRDefault="00E5415A" w:rsidP="00EE4864">
      <w:pPr>
        <w:spacing w:line="360" w:lineRule="auto"/>
        <w:rPr>
          <w:rFonts w:ascii="Times New Roman" w:eastAsia="楷体" w:hAnsi="Times New Roman"/>
          <w:b/>
          <w:bCs/>
          <w:sz w:val="24"/>
          <w:szCs w:val="28"/>
        </w:rPr>
      </w:pPr>
    </w:p>
    <w:p w14:paraId="4E32E075" w14:textId="392F1C25" w:rsidR="00E5415A" w:rsidRDefault="00E5415A" w:rsidP="00E5415A">
      <w:pPr>
        <w:spacing w:line="360" w:lineRule="auto"/>
        <w:rPr>
          <w:rFonts w:ascii="Times New Roman" w:eastAsia="楷体" w:hAnsi="Times New Roman"/>
          <w:b/>
          <w:bCs/>
          <w:sz w:val="24"/>
          <w:szCs w:val="28"/>
        </w:rPr>
      </w:pPr>
      <w:r w:rsidRPr="00E5415A">
        <w:rPr>
          <w:rFonts w:ascii="Times New Roman" w:eastAsia="楷体" w:hAnsi="Times New Roman"/>
          <w:b/>
          <w:bCs/>
          <w:sz w:val="24"/>
          <w:szCs w:val="28"/>
        </w:rPr>
        <w:t xml:space="preserve">Dear </w:t>
      </w:r>
      <w:r w:rsidR="00F54E07">
        <w:rPr>
          <w:rFonts w:ascii="Times New Roman" w:eastAsia="楷体" w:hAnsi="Times New Roman"/>
          <w:b/>
          <w:bCs/>
          <w:sz w:val="24"/>
          <w:szCs w:val="28"/>
        </w:rPr>
        <w:t>editors</w:t>
      </w:r>
      <w:r w:rsidRPr="00E5415A">
        <w:rPr>
          <w:rFonts w:ascii="Times New Roman" w:eastAsia="楷体" w:hAnsi="Times New Roman"/>
          <w:b/>
          <w:bCs/>
          <w:sz w:val="24"/>
          <w:szCs w:val="28"/>
        </w:rPr>
        <w:t xml:space="preserve">,  </w:t>
      </w:r>
    </w:p>
    <w:p w14:paraId="552D5F34" w14:textId="45D3DC59" w:rsidR="00287B8C" w:rsidRDefault="00E5415A" w:rsidP="00E5415A">
      <w:pPr>
        <w:spacing w:line="360" w:lineRule="auto"/>
        <w:rPr>
          <w:rFonts w:ascii="Times New Roman" w:eastAsia="楷体" w:hAnsi="Times New Roman"/>
          <w:b/>
          <w:bCs/>
          <w:sz w:val="24"/>
          <w:szCs w:val="28"/>
        </w:rPr>
      </w:pPr>
      <w:r w:rsidRPr="00E5415A">
        <w:rPr>
          <w:rFonts w:ascii="Times New Roman" w:eastAsia="楷体" w:hAnsi="Times New Roman"/>
          <w:b/>
          <w:bCs/>
          <w:sz w:val="24"/>
          <w:szCs w:val="28"/>
        </w:rPr>
        <w:t xml:space="preserve">Thank you for giving us the opportunity to submit a revised draft of the manuscript “Increasing dominant follicular proportion negatively associated with good clinical outcomes in normal ovarian responders using the depot GnRH agonist protocol: a large-sample retrospective analysis” for publication in the </w:t>
      </w:r>
      <w:r w:rsidR="00C16439" w:rsidRPr="00C16439">
        <w:rPr>
          <w:rFonts w:ascii="Times New Roman" w:eastAsia="楷体" w:hAnsi="Times New Roman"/>
          <w:b/>
          <w:bCs/>
          <w:sz w:val="24"/>
          <w:szCs w:val="28"/>
        </w:rPr>
        <w:t>Journal of Ovarian Research</w:t>
      </w:r>
      <w:r w:rsidRPr="00E5415A">
        <w:rPr>
          <w:rFonts w:ascii="Times New Roman" w:eastAsia="楷体" w:hAnsi="Times New Roman"/>
          <w:b/>
          <w:bCs/>
          <w:sz w:val="24"/>
          <w:szCs w:val="28"/>
        </w:rPr>
        <w:t xml:space="preserve">. We appreciate the time and effort that you and the reviewers dedicated to providing feedback on our manuscript and are grateful for the insightful comments on and valuable improvements to our paper. We have incorporated most of the suggestions made by the reviewers. Those changes are </w:t>
      </w:r>
      <w:proofErr w:type="spellStart"/>
      <w:r w:rsidR="008E32E1">
        <w:rPr>
          <w:rFonts w:ascii="Times New Roman" w:eastAsia="楷体" w:hAnsi="Times New Roman"/>
          <w:b/>
          <w:bCs/>
          <w:sz w:val="24"/>
          <w:szCs w:val="28"/>
        </w:rPr>
        <w:t>under</w:t>
      </w:r>
      <w:r w:rsidRPr="00E5415A">
        <w:rPr>
          <w:rFonts w:ascii="Times New Roman" w:eastAsia="楷体" w:hAnsi="Times New Roman"/>
          <w:b/>
          <w:bCs/>
          <w:sz w:val="24"/>
          <w:szCs w:val="28"/>
        </w:rPr>
        <w:t>lighted</w:t>
      </w:r>
      <w:proofErr w:type="spellEnd"/>
      <w:r w:rsidRPr="00E5415A">
        <w:rPr>
          <w:rFonts w:ascii="Times New Roman" w:eastAsia="楷体" w:hAnsi="Times New Roman"/>
          <w:b/>
          <w:bCs/>
          <w:sz w:val="24"/>
          <w:szCs w:val="28"/>
        </w:rPr>
        <w:t xml:space="preserve"> within the manuscript. Please see below, in </w:t>
      </w:r>
      <w:r w:rsidR="00571A73" w:rsidRPr="00571A73">
        <w:rPr>
          <w:rFonts w:ascii="Times New Roman" w:eastAsia="楷体" w:hAnsi="Times New Roman"/>
          <w:b/>
          <w:bCs/>
          <w:sz w:val="24"/>
          <w:szCs w:val="28"/>
        </w:rPr>
        <w:t>italic</w:t>
      </w:r>
      <w:r w:rsidRPr="00E5415A">
        <w:rPr>
          <w:rFonts w:ascii="Times New Roman" w:eastAsia="楷体" w:hAnsi="Times New Roman"/>
          <w:b/>
          <w:bCs/>
          <w:sz w:val="24"/>
          <w:szCs w:val="28"/>
        </w:rPr>
        <w:t xml:space="preserve">, for a point-by-point response to the reviewers’ comments and </w:t>
      </w:r>
      <w:r w:rsidR="007644C9" w:rsidRPr="007644C9">
        <w:rPr>
          <w:rFonts w:ascii="Times New Roman" w:eastAsia="楷体" w:hAnsi="Times New Roman"/>
          <w:b/>
          <w:bCs/>
          <w:sz w:val="24"/>
          <w:szCs w:val="28"/>
        </w:rPr>
        <w:t>suggestion</w:t>
      </w:r>
      <w:r w:rsidRPr="00E5415A">
        <w:rPr>
          <w:rFonts w:ascii="Times New Roman" w:eastAsia="楷体" w:hAnsi="Times New Roman"/>
          <w:b/>
          <w:bCs/>
          <w:sz w:val="24"/>
          <w:szCs w:val="28"/>
        </w:rPr>
        <w:t xml:space="preserve">s. All page numbers </w:t>
      </w:r>
      <w:r w:rsidR="00CC6587">
        <w:rPr>
          <w:rFonts w:ascii="Times New Roman" w:eastAsia="楷体" w:hAnsi="Times New Roman"/>
          <w:b/>
          <w:bCs/>
          <w:sz w:val="24"/>
          <w:szCs w:val="28"/>
        </w:rPr>
        <w:t xml:space="preserve">and line numbers </w:t>
      </w:r>
      <w:r w:rsidRPr="00E5415A">
        <w:rPr>
          <w:rFonts w:ascii="Times New Roman" w:eastAsia="楷体" w:hAnsi="Times New Roman"/>
          <w:b/>
          <w:bCs/>
          <w:sz w:val="24"/>
          <w:szCs w:val="28"/>
        </w:rPr>
        <w:t>refer to the revised manuscript file.</w:t>
      </w:r>
    </w:p>
    <w:p w14:paraId="18A860BA" w14:textId="77777777" w:rsidR="00287B8C" w:rsidRDefault="00287B8C" w:rsidP="00EE4864">
      <w:pPr>
        <w:spacing w:line="360" w:lineRule="auto"/>
        <w:rPr>
          <w:rFonts w:ascii="Times New Roman" w:eastAsia="楷体" w:hAnsi="Times New Roman" w:hint="eastAsia"/>
          <w:b/>
          <w:bCs/>
          <w:sz w:val="24"/>
          <w:szCs w:val="28"/>
        </w:rPr>
      </w:pPr>
    </w:p>
    <w:p w14:paraId="06677593" w14:textId="0F5A5CD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sz w:val="24"/>
          <w:szCs w:val="28"/>
        </w:rPr>
        <w:t>Reviewer #1:</w:t>
      </w:r>
    </w:p>
    <w:p w14:paraId="4A162C25"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1. The manuscript was not written in clear language which made it very difficult to read </w:t>
      </w:r>
      <w:r>
        <w:rPr>
          <w:rFonts w:ascii="Times New Roman" w:eastAsia="楷体" w:hAnsi="Times New Roman"/>
          <w:b/>
          <w:bCs/>
          <w:sz w:val="24"/>
          <w:szCs w:val="28"/>
        </w:rPr>
        <w:t xml:space="preserve">and understand. It should be </w:t>
      </w:r>
      <w:proofErr w:type="spellStart"/>
      <w:r>
        <w:rPr>
          <w:rFonts w:ascii="Times New Roman" w:eastAsia="楷体" w:hAnsi="Times New Roman"/>
          <w:b/>
          <w:bCs/>
          <w:sz w:val="24"/>
          <w:szCs w:val="28"/>
        </w:rPr>
        <w:t>be</w:t>
      </w:r>
      <w:proofErr w:type="spellEnd"/>
      <w:r>
        <w:rPr>
          <w:rFonts w:ascii="Times New Roman" w:eastAsia="楷体" w:hAnsi="Times New Roman"/>
          <w:b/>
          <w:bCs/>
          <w:sz w:val="24"/>
          <w:szCs w:val="28"/>
        </w:rPr>
        <w:t xml:space="preserve"> rewritten in simple, </w:t>
      </w:r>
      <w:proofErr w:type="gramStart"/>
      <w:r>
        <w:rPr>
          <w:rFonts w:ascii="Times New Roman" w:eastAsia="楷体" w:hAnsi="Times New Roman"/>
          <w:b/>
          <w:bCs/>
          <w:sz w:val="24"/>
          <w:szCs w:val="28"/>
        </w:rPr>
        <w:t>accurate</w:t>
      </w:r>
      <w:proofErr w:type="gramEnd"/>
      <w:r>
        <w:rPr>
          <w:rFonts w:ascii="Times New Roman" w:eastAsia="楷体" w:hAnsi="Times New Roman"/>
          <w:b/>
          <w:bCs/>
          <w:sz w:val="24"/>
          <w:szCs w:val="28"/>
        </w:rPr>
        <w:t xml:space="preserve"> and logical English for scientific publication purpose.</w:t>
      </w:r>
    </w:p>
    <w:p w14:paraId="4FA85391" w14:textId="3FBBA0AE"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appreciate this reviewer’s suggestion. </w:t>
      </w:r>
      <w:r>
        <w:rPr>
          <w:rFonts w:ascii="Times New Roman" w:eastAsia="楷体" w:hAnsi="Times New Roman" w:hint="eastAsia"/>
          <w:i/>
          <w:iCs/>
          <w:sz w:val="24"/>
          <w:szCs w:val="28"/>
        </w:rPr>
        <w:t>And</w:t>
      </w:r>
      <w:r>
        <w:rPr>
          <w:rFonts w:ascii="Times New Roman" w:eastAsia="楷体" w:hAnsi="Times New Roman"/>
          <w:i/>
          <w:iCs/>
          <w:sz w:val="24"/>
          <w:szCs w:val="28"/>
        </w:rPr>
        <w:t xml:space="preserve"> </w:t>
      </w:r>
      <w:r>
        <w:rPr>
          <w:rFonts w:ascii="Times New Roman" w:eastAsia="楷体" w:hAnsi="Times New Roman" w:hint="eastAsia"/>
          <w:i/>
          <w:iCs/>
          <w:sz w:val="24"/>
          <w:szCs w:val="28"/>
        </w:rPr>
        <w:t>w</w:t>
      </w:r>
      <w:r>
        <w:rPr>
          <w:rFonts w:ascii="Times New Roman" w:eastAsia="楷体" w:hAnsi="Times New Roman"/>
          <w:i/>
          <w:iCs/>
          <w:sz w:val="24"/>
          <w:szCs w:val="28"/>
        </w:rPr>
        <w:t>e have asked an expert mother tongue scientific writer to polish our paper</w:t>
      </w:r>
      <w:r w:rsidR="00AB0F4E">
        <w:rPr>
          <w:rFonts w:ascii="Times New Roman" w:eastAsia="楷体" w:hAnsi="Times New Roman"/>
          <w:i/>
          <w:iCs/>
          <w:sz w:val="24"/>
          <w:szCs w:val="28"/>
        </w:rPr>
        <w:t xml:space="preserve"> (</w:t>
      </w:r>
      <w:r w:rsidR="00D512E6">
        <w:rPr>
          <w:rFonts w:ascii="Times New Roman" w:eastAsia="楷体" w:hAnsi="Times New Roman"/>
          <w:i/>
          <w:iCs/>
          <w:sz w:val="24"/>
          <w:szCs w:val="28"/>
        </w:rPr>
        <w:t>t</w:t>
      </w:r>
      <w:r w:rsidR="00AB0F4E" w:rsidRPr="00AB0F4E">
        <w:rPr>
          <w:rFonts w:ascii="Times New Roman" w:eastAsia="楷体" w:hAnsi="Times New Roman"/>
          <w:i/>
          <w:iCs/>
          <w:sz w:val="24"/>
          <w:szCs w:val="28"/>
        </w:rPr>
        <w:t>he certificat</w:t>
      </w:r>
      <w:r w:rsidR="00AB0F4E">
        <w:rPr>
          <w:rFonts w:ascii="Times New Roman" w:eastAsia="楷体" w:hAnsi="Times New Roman"/>
          <w:i/>
          <w:iCs/>
          <w:sz w:val="24"/>
          <w:szCs w:val="28"/>
        </w:rPr>
        <w:t>ion</w:t>
      </w:r>
      <w:r w:rsidR="00AB0F4E" w:rsidRPr="00AB0F4E">
        <w:rPr>
          <w:rFonts w:ascii="Times New Roman" w:eastAsia="楷体" w:hAnsi="Times New Roman"/>
          <w:i/>
          <w:iCs/>
          <w:sz w:val="24"/>
          <w:szCs w:val="28"/>
        </w:rPr>
        <w:t xml:space="preserve"> is attached</w:t>
      </w:r>
      <w:r w:rsidR="00AB0F4E">
        <w:rPr>
          <w:rFonts w:ascii="Times New Roman" w:eastAsia="楷体" w:hAnsi="Times New Roman"/>
          <w:i/>
          <w:iCs/>
          <w:sz w:val="24"/>
          <w:szCs w:val="28"/>
        </w:rPr>
        <w:t>)</w:t>
      </w:r>
      <w:r>
        <w:rPr>
          <w:rFonts w:ascii="Times New Roman" w:eastAsia="楷体" w:hAnsi="Times New Roman"/>
          <w:i/>
          <w:iCs/>
          <w:sz w:val="24"/>
          <w:szCs w:val="28"/>
        </w:rPr>
        <w:t>.</w:t>
      </w:r>
      <w:r w:rsidR="00286ECA">
        <w:rPr>
          <w:rFonts w:ascii="Times New Roman" w:eastAsia="楷体" w:hAnsi="Times New Roman"/>
          <w:i/>
          <w:iCs/>
          <w:sz w:val="24"/>
          <w:szCs w:val="28"/>
        </w:rPr>
        <w:t xml:space="preserve"> </w:t>
      </w:r>
      <w:r w:rsidR="00782C2F" w:rsidRPr="00782C2F">
        <w:rPr>
          <w:rFonts w:ascii="Times New Roman" w:eastAsia="楷体" w:hAnsi="Times New Roman"/>
          <w:i/>
          <w:iCs/>
          <w:sz w:val="24"/>
          <w:szCs w:val="28"/>
        </w:rPr>
        <w:t xml:space="preserve">Those changes are </w:t>
      </w:r>
      <w:proofErr w:type="spellStart"/>
      <w:r w:rsidR="00782C2F" w:rsidRPr="00782C2F">
        <w:rPr>
          <w:rFonts w:ascii="Times New Roman" w:eastAsia="楷体" w:hAnsi="Times New Roman"/>
          <w:i/>
          <w:iCs/>
          <w:sz w:val="24"/>
          <w:szCs w:val="28"/>
        </w:rPr>
        <w:t>underlighted</w:t>
      </w:r>
      <w:proofErr w:type="spellEnd"/>
      <w:r w:rsidR="00782C2F" w:rsidRPr="00782C2F">
        <w:rPr>
          <w:rFonts w:ascii="Times New Roman" w:eastAsia="楷体" w:hAnsi="Times New Roman"/>
          <w:i/>
          <w:iCs/>
          <w:sz w:val="24"/>
          <w:szCs w:val="28"/>
        </w:rPr>
        <w:t xml:space="preserve"> within the </w:t>
      </w:r>
      <w:r w:rsidR="00782C2F">
        <w:rPr>
          <w:rFonts w:ascii="Times New Roman" w:eastAsia="楷体" w:hAnsi="Times New Roman"/>
          <w:i/>
          <w:iCs/>
          <w:sz w:val="24"/>
          <w:szCs w:val="28"/>
        </w:rPr>
        <w:t xml:space="preserve">revised </w:t>
      </w:r>
      <w:r w:rsidR="00782C2F" w:rsidRPr="00782C2F">
        <w:rPr>
          <w:rFonts w:ascii="Times New Roman" w:eastAsia="楷体" w:hAnsi="Times New Roman"/>
          <w:i/>
          <w:iCs/>
          <w:sz w:val="24"/>
          <w:szCs w:val="28"/>
        </w:rPr>
        <w:t>manuscript</w:t>
      </w:r>
      <w:r w:rsidR="00782C2F">
        <w:rPr>
          <w:rFonts w:ascii="Times New Roman" w:eastAsia="楷体" w:hAnsi="Times New Roman"/>
          <w:i/>
          <w:iCs/>
          <w:sz w:val="24"/>
          <w:szCs w:val="28"/>
        </w:rPr>
        <w:t>.</w:t>
      </w:r>
      <w:r w:rsidR="00782C2F" w:rsidRPr="00782C2F">
        <w:rPr>
          <w:rFonts w:ascii="Times New Roman" w:eastAsia="楷体" w:hAnsi="Times New Roman"/>
          <w:i/>
          <w:iCs/>
          <w:sz w:val="24"/>
          <w:szCs w:val="28"/>
        </w:rPr>
        <w:t xml:space="preserve"> </w:t>
      </w:r>
      <w:r w:rsidR="00286ECA" w:rsidRPr="00286ECA">
        <w:rPr>
          <w:rFonts w:ascii="Times New Roman" w:eastAsia="楷体" w:hAnsi="Times New Roman"/>
          <w:i/>
          <w:iCs/>
          <w:sz w:val="24"/>
          <w:szCs w:val="28"/>
        </w:rPr>
        <w:t xml:space="preserve">For example, </w:t>
      </w:r>
      <w:r w:rsidR="00DD4F9E" w:rsidRPr="00DD4F9E">
        <w:rPr>
          <w:rFonts w:ascii="Times New Roman" w:eastAsia="楷体" w:hAnsi="Times New Roman"/>
          <w:i/>
          <w:iCs/>
          <w:sz w:val="24"/>
          <w:szCs w:val="28"/>
        </w:rPr>
        <w:t>the abstract is modified as follows</w:t>
      </w:r>
      <w:r w:rsidR="00286ECA" w:rsidRPr="00286ECA">
        <w:rPr>
          <w:rFonts w:ascii="Times New Roman" w:eastAsia="楷体" w:hAnsi="Times New Roman"/>
          <w:i/>
          <w:iCs/>
          <w:sz w:val="24"/>
          <w:szCs w:val="28"/>
        </w:rPr>
        <w:t>.</w:t>
      </w:r>
    </w:p>
    <w:p w14:paraId="5BD7CDC5" w14:textId="12ED56B2" w:rsidR="0038471E" w:rsidRPr="0038471E" w:rsidRDefault="0038471E" w:rsidP="00C97D81">
      <w:pPr>
        <w:widowControl/>
        <w:spacing w:before="120" w:after="240" w:line="360" w:lineRule="auto"/>
        <w:ind w:leftChars="202" w:left="424" w:rightChars="242" w:right="508"/>
        <w:rPr>
          <w:rFonts w:ascii="Times New Roman" w:eastAsia="宋体" w:hAnsi="Times New Roman" w:cs="Times New Roman"/>
          <w:i/>
          <w:iCs/>
          <w:kern w:val="0"/>
          <w:sz w:val="24"/>
          <w:szCs w:val="24"/>
          <w:u w:val="single"/>
          <w:lang w:eastAsia="en-US"/>
        </w:rPr>
      </w:pPr>
      <w:r>
        <w:rPr>
          <w:rFonts w:ascii="Times New Roman" w:eastAsia="宋体" w:hAnsi="Times New Roman" w:cs="Times New Roman" w:hint="eastAsia"/>
          <w:b/>
          <w:bCs/>
          <w:i/>
          <w:iCs/>
          <w:kern w:val="0"/>
          <w:sz w:val="24"/>
          <w:szCs w:val="24"/>
        </w:rPr>
        <w:t>“</w:t>
      </w:r>
      <w:r w:rsidRPr="0038471E">
        <w:rPr>
          <w:rFonts w:ascii="Times New Roman" w:eastAsia="宋体" w:hAnsi="Times New Roman" w:cs="Times New Roman"/>
          <w:b/>
          <w:bCs/>
          <w:i/>
          <w:iCs/>
          <w:kern w:val="0"/>
          <w:sz w:val="24"/>
          <w:szCs w:val="24"/>
          <w:lang w:eastAsia="en-US"/>
        </w:rPr>
        <w:t>Background:</w:t>
      </w:r>
      <w:r w:rsidRPr="0038471E">
        <w:rPr>
          <w:rFonts w:ascii="Times New Roman" w:eastAsia="宋体" w:hAnsi="Times New Roman" w:cs="Times New Roman"/>
          <w:i/>
          <w:iCs/>
          <w:kern w:val="0"/>
          <w:sz w:val="24"/>
          <w:szCs w:val="24"/>
          <w:lang w:eastAsia="en-US"/>
        </w:rPr>
        <w:t xml:space="preserve"> </w:t>
      </w:r>
      <w:r w:rsidRPr="0038471E">
        <w:rPr>
          <w:rFonts w:ascii="Times New Roman" w:eastAsia="宋体" w:hAnsi="Times New Roman" w:cs="Times New Roman"/>
          <w:i/>
          <w:iCs/>
          <w:kern w:val="0"/>
          <w:sz w:val="24"/>
          <w:szCs w:val="24"/>
          <w:u w:val="single"/>
          <w:lang w:eastAsia="en-US"/>
        </w:rPr>
        <w:t>Currently</w:t>
      </w:r>
      <w:r w:rsidRPr="0038471E">
        <w:rPr>
          <w:rFonts w:ascii="Times New Roman" w:eastAsia="宋体" w:hAnsi="Times New Roman" w:cs="Times New Roman"/>
          <w:i/>
          <w:iCs/>
          <w:kern w:val="0"/>
          <w:sz w:val="24"/>
          <w:szCs w:val="24"/>
          <w:lang w:eastAsia="en-US"/>
        </w:rPr>
        <w:t xml:space="preserve">, there is no universal criteria for </w:t>
      </w:r>
      <w:r w:rsidRPr="0038471E">
        <w:rPr>
          <w:rFonts w:ascii="Times New Roman" w:eastAsia="宋体" w:hAnsi="Times New Roman" w:cs="Times New Roman"/>
          <w:i/>
          <w:iCs/>
          <w:kern w:val="0"/>
          <w:sz w:val="24"/>
          <w:szCs w:val="24"/>
          <w:u w:val="single"/>
        </w:rPr>
        <w:t>the</w:t>
      </w:r>
      <w:r w:rsidRPr="0038471E">
        <w:rPr>
          <w:rFonts w:ascii="Times New Roman" w:eastAsia="宋体" w:hAnsi="Times New Roman" w:cs="Times New Roman"/>
          <w:i/>
          <w:iCs/>
          <w:kern w:val="0"/>
          <w:sz w:val="24"/>
          <w:szCs w:val="24"/>
        </w:rPr>
        <w:t xml:space="preserve"> </w:t>
      </w:r>
      <w:r w:rsidRPr="0038471E">
        <w:rPr>
          <w:rFonts w:ascii="Times New Roman" w:eastAsia="宋体" w:hAnsi="Times New Roman" w:cs="Times New Roman"/>
          <w:i/>
          <w:iCs/>
          <w:kern w:val="0"/>
          <w:sz w:val="24"/>
          <w:szCs w:val="24"/>
          <w:lang w:eastAsia="en-US"/>
        </w:rPr>
        <w:t xml:space="preserve">trigger time </w:t>
      </w:r>
      <w:r w:rsidRPr="0038471E">
        <w:rPr>
          <w:rFonts w:ascii="Times New Roman" w:eastAsia="宋体" w:hAnsi="Times New Roman" w:cs="Times New Roman"/>
          <w:i/>
          <w:iCs/>
          <w:kern w:val="0"/>
          <w:sz w:val="24"/>
          <w:szCs w:val="24"/>
          <w:u w:val="single"/>
          <w:lang w:eastAsia="en-US"/>
        </w:rPr>
        <w:t>of</w:t>
      </w:r>
      <w:r w:rsidRPr="0038471E">
        <w:rPr>
          <w:rFonts w:ascii="Times New Roman" w:eastAsia="宋体" w:hAnsi="Times New Roman" w:cs="Times New Roman"/>
          <w:i/>
          <w:iCs/>
          <w:kern w:val="0"/>
          <w:sz w:val="24"/>
          <w:szCs w:val="24"/>
          <w:lang w:eastAsia="en-US"/>
        </w:rPr>
        <w:t xml:space="preserve"> controlled ovarian hyperstimulation (COH)</w:t>
      </w:r>
      <w:r w:rsidRPr="0038471E">
        <w:rPr>
          <w:rFonts w:ascii="Times New Roman" w:eastAsia="宋体" w:hAnsi="Times New Roman" w:cs="Times New Roman"/>
          <w:i/>
          <w:iCs/>
          <w:kern w:val="0"/>
          <w:sz w:val="24"/>
          <w:szCs w:val="24"/>
        </w:rPr>
        <w:t xml:space="preserve">, </w:t>
      </w:r>
      <w:r w:rsidRPr="0038471E">
        <w:rPr>
          <w:rFonts w:ascii="Times New Roman" w:eastAsia="宋体" w:hAnsi="Times New Roman" w:cs="Times New Roman"/>
          <w:i/>
          <w:iCs/>
          <w:kern w:val="0"/>
          <w:sz w:val="24"/>
          <w:szCs w:val="24"/>
          <w:u w:val="single"/>
        </w:rPr>
        <w:t>especially with</w:t>
      </w:r>
      <w:r w:rsidRPr="0038471E">
        <w:rPr>
          <w:rFonts w:ascii="Times New Roman" w:eastAsia="宋体" w:hAnsi="Times New Roman" w:cs="Times New Roman"/>
          <w:i/>
          <w:iCs/>
          <w:kern w:val="0"/>
          <w:sz w:val="24"/>
          <w:szCs w:val="24"/>
          <w:u w:val="single"/>
          <w:lang w:eastAsia="en-US"/>
        </w:rPr>
        <w:t xml:space="preserve"> the emerging depot GnRH agonist protocol. It is challenging to explore an indicator that is representative of target follicle cohort</w:t>
      </w:r>
      <w:r w:rsidRPr="0038471E">
        <w:rPr>
          <w:rFonts w:ascii="Times New Roman" w:eastAsia="宋体" w:hAnsi="Times New Roman" w:cs="Times New Roman"/>
          <w:i/>
          <w:iCs/>
          <w:kern w:val="0"/>
          <w:sz w:val="24"/>
          <w:szCs w:val="24"/>
          <w:u w:val="single"/>
          <w:lang w:eastAsia="en-US"/>
        </w:rPr>
        <w:t xml:space="preserve"> </w:t>
      </w:r>
      <w:r w:rsidRPr="0038471E">
        <w:rPr>
          <w:rFonts w:ascii="Times New Roman" w:eastAsia="宋体" w:hAnsi="Times New Roman" w:cs="Times New Roman"/>
          <w:i/>
          <w:iCs/>
          <w:kern w:val="0"/>
          <w:sz w:val="24"/>
          <w:szCs w:val="24"/>
          <w:u w:val="single"/>
          <w:lang w:eastAsia="en-US"/>
        </w:rPr>
        <w:t xml:space="preserve">development as an alternative to the </w:t>
      </w:r>
      <w:r w:rsidRPr="0038471E">
        <w:rPr>
          <w:rFonts w:ascii="Times New Roman" w:eastAsia="宋体" w:hAnsi="Times New Roman" w:cs="Times New Roman"/>
          <w:i/>
          <w:iCs/>
          <w:kern w:val="0"/>
          <w:sz w:val="24"/>
          <w:szCs w:val="24"/>
          <w:u w:val="single"/>
          <w:lang w:eastAsia="en-US"/>
        </w:rPr>
        <w:lastRenderedPageBreak/>
        <w:t xml:space="preserve">conventional approach of determining the trigger time based on a </w:t>
      </w:r>
      <w:r w:rsidRPr="0038471E">
        <w:rPr>
          <w:rFonts w:ascii="Times New Roman" w:eastAsia="宋体" w:hAnsi="Times New Roman" w:cs="Times New Roman"/>
          <w:i/>
          <w:iCs/>
          <w:kern w:val="0"/>
          <w:sz w:val="24"/>
          <w:szCs w:val="24"/>
          <w:u w:val="single"/>
        </w:rPr>
        <w:t>few</w:t>
      </w:r>
      <w:r w:rsidRPr="0038471E">
        <w:rPr>
          <w:rFonts w:ascii="Times New Roman" w:eastAsia="宋体" w:hAnsi="Times New Roman" w:cs="Times New Roman"/>
          <w:i/>
          <w:iCs/>
          <w:kern w:val="0"/>
          <w:sz w:val="24"/>
          <w:szCs w:val="24"/>
          <w:u w:val="single"/>
          <w:lang w:eastAsia="en-US"/>
        </w:rPr>
        <w:t xml:space="preserve"> leading follicles.</w:t>
      </w:r>
    </w:p>
    <w:p w14:paraId="00FDE1ED" w14:textId="77777777" w:rsidR="0038471E" w:rsidRPr="0038471E" w:rsidRDefault="0038471E" w:rsidP="00C97D81">
      <w:pPr>
        <w:widowControl/>
        <w:spacing w:before="120" w:after="240" w:line="360" w:lineRule="auto"/>
        <w:ind w:leftChars="202" w:left="424" w:rightChars="242" w:right="508"/>
        <w:rPr>
          <w:rFonts w:ascii="Times New Roman" w:eastAsia="宋体" w:hAnsi="Times New Roman" w:cs="Times New Roman"/>
          <w:i/>
          <w:iCs/>
          <w:kern w:val="0"/>
          <w:sz w:val="24"/>
          <w:szCs w:val="24"/>
          <w:lang w:eastAsia="en-US"/>
        </w:rPr>
      </w:pPr>
      <w:r w:rsidRPr="0038471E">
        <w:rPr>
          <w:rFonts w:ascii="Times New Roman" w:eastAsia="宋体" w:hAnsi="Times New Roman" w:cs="Times New Roman"/>
          <w:b/>
          <w:bCs/>
          <w:i/>
          <w:iCs/>
          <w:kern w:val="0"/>
          <w:sz w:val="24"/>
          <w:szCs w:val="24"/>
          <w:lang w:eastAsia="en-US"/>
        </w:rPr>
        <w:t>Methods:</w:t>
      </w:r>
      <w:r w:rsidRPr="0038471E">
        <w:rPr>
          <w:rFonts w:ascii="Times New Roman" w:eastAsia="宋体" w:hAnsi="Times New Roman" w:cs="Times New Roman"/>
          <w:i/>
          <w:iCs/>
          <w:kern w:val="0"/>
          <w:sz w:val="24"/>
          <w:szCs w:val="24"/>
          <w:lang w:eastAsia="en-US"/>
        </w:rPr>
        <w:t xml:space="preserve"> This was a large-sample retrospective analysis. Between January 2016 and January 2020, 1,925 young </w:t>
      </w:r>
      <w:r w:rsidRPr="0038471E">
        <w:rPr>
          <w:rFonts w:ascii="Times New Roman" w:eastAsia="宋体" w:hAnsi="Times New Roman" w:cs="Times New Roman"/>
          <w:i/>
          <w:iCs/>
          <w:kern w:val="0"/>
          <w:sz w:val="24"/>
          <w:szCs w:val="24"/>
          <w:u w:val="single"/>
          <w:lang w:eastAsia="en-US"/>
        </w:rPr>
        <w:t>normal ovarian responders</w:t>
      </w:r>
      <w:r w:rsidRPr="0038471E">
        <w:rPr>
          <w:rFonts w:ascii="Times New Roman" w:eastAsia="宋体" w:hAnsi="Times New Roman" w:cs="Times New Roman"/>
          <w:i/>
          <w:iCs/>
          <w:kern w:val="0"/>
          <w:sz w:val="24"/>
          <w:szCs w:val="24"/>
          <w:lang w:eastAsia="en-US"/>
        </w:rPr>
        <w:t xml:space="preserve"> who underwent their first in vitro </w:t>
      </w:r>
      <w:proofErr w:type="spellStart"/>
      <w:r w:rsidRPr="0038471E">
        <w:rPr>
          <w:rFonts w:ascii="Times New Roman" w:eastAsia="宋体" w:hAnsi="Times New Roman" w:cs="Times New Roman"/>
          <w:i/>
          <w:iCs/>
          <w:kern w:val="0"/>
          <w:sz w:val="24"/>
          <w:szCs w:val="24"/>
          <w:u w:val="single"/>
          <w:lang w:eastAsia="en-US"/>
        </w:rPr>
        <w:t>fertilisation</w:t>
      </w:r>
      <w:proofErr w:type="spellEnd"/>
      <w:r w:rsidRPr="0038471E">
        <w:rPr>
          <w:rFonts w:ascii="Times New Roman" w:eastAsia="宋体" w:hAnsi="Times New Roman" w:cs="Times New Roman"/>
          <w:i/>
          <w:iCs/>
          <w:kern w:val="0"/>
          <w:sz w:val="24"/>
          <w:szCs w:val="24"/>
          <w:lang w:eastAsia="en-US"/>
        </w:rPr>
        <w:t xml:space="preserve"> (IVF)/intracytoplasmic sperm injection (ICSI) cycle </w:t>
      </w:r>
      <w:r w:rsidRPr="0038471E">
        <w:rPr>
          <w:rFonts w:ascii="Times New Roman" w:eastAsia="宋体" w:hAnsi="Times New Roman" w:cs="Times New Roman"/>
          <w:i/>
          <w:iCs/>
          <w:kern w:val="0"/>
          <w:sz w:val="24"/>
          <w:szCs w:val="24"/>
          <w:u w:val="single"/>
          <w:lang w:eastAsia="en-US"/>
        </w:rPr>
        <w:t>using the depot GnRH agonist protocol were included. They</w:t>
      </w:r>
      <w:r w:rsidRPr="0038471E">
        <w:rPr>
          <w:rFonts w:ascii="Times New Roman" w:eastAsia="宋体" w:hAnsi="Times New Roman" w:cs="Times New Roman"/>
          <w:i/>
          <w:iCs/>
          <w:kern w:val="0"/>
          <w:sz w:val="24"/>
          <w:szCs w:val="24"/>
          <w:lang w:eastAsia="en-US"/>
        </w:rPr>
        <w:t xml:space="preserve"> were divided into three groups based on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dominant follicular proportion (DFP, defined as the ratio of </w:t>
      </w:r>
      <w:r w:rsidRPr="0038471E">
        <w:rPr>
          <w:rFonts w:ascii="Times New Roman" w:eastAsia="宋体" w:hAnsi="Times New Roman" w:cs="Times New Roman"/>
          <w:i/>
          <w:iCs/>
          <w:kern w:val="0"/>
          <w:sz w:val="24"/>
          <w:szCs w:val="24"/>
          <w:u w:val="single"/>
          <w:lang w:eastAsia="en-US"/>
        </w:rPr>
        <w:t>≥ 18 mm dominant follicles/ ≥ 14 mm large follicles</w:t>
      </w:r>
      <w:r w:rsidRPr="0038471E">
        <w:rPr>
          <w:rFonts w:ascii="Times New Roman" w:eastAsia="宋体" w:hAnsi="Times New Roman" w:cs="Times New Roman"/>
          <w:i/>
          <w:iCs/>
          <w:kern w:val="0"/>
          <w:sz w:val="24"/>
          <w:szCs w:val="24"/>
          <w:lang w:eastAsia="en-US"/>
        </w:rPr>
        <w:t xml:space="preserve"> on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human chorionic gonadotropin (HCG) day</w:t>
      </w:r>
      <w:r w:rsidRPr="0038471E">
        <w:rPr>
          <w:rFonts w:ascii="Times New Roman" w:eastAsia="宋体" w:hAnsi="Times New Roman" w:cs="Times New Roman"/>
          <w:i/>
          <w:iCs/>
          <w:kern w:val="0"/>
          <w:sz w:val="24"/>
          <w:szCs w:val="24"/>
        </w:rPr>
        <w:t xml:space="preserve">; </w:t>
      </w:r>
      <w:r w:rsidRPr="0038471E">
        <w:rPr>
          <w:rFonts w:ascii="Times New Roman" w:eastAsia="宋体" w:hAnsi="Times New Roman" w:cs="Times New Roman"/>
          <w:i/>
          <w:iCs/>
          <w:kern w:val="0"/>
          <w:sz w:val="24"/>
          <w:szCs w:val="24"/>
          <w:lang w:eastAsia="en-US"/>
        </w:rPr>
        <w:t>Group A: &lt; 30%; Group B: 30%</w:t>
      </w:r>
      <w:r w:rsidRPr="0038471E">
        <w:rPr>
          <w:rFonts w:ascii="Times New Roman" w:eastAsia="宋体" w:hAnsi="Times New Roman" w:cs="Times New Roman"/>
          <w:i/>
          <w:iCs/>
          <w:kern w:val="0"/>
          <w:sz w:val="24"/>
          <w:szCs w:val="24"/>
          <w:lang w:eastAsia="en-US"/>
        </w:rPr>
        <w:sym w:font="Symbol" w:char="F02D"/>
      </w:r>
      <w:r w:rsidRPr="0038471E">
        <w:rPr>
          <w:rFonts w:ascii="Times New Roman" w:eastAsia="宋体" w:hAnsi="Times New Roman" w:cs="Times New Roman"/>
          <w:i/>
          <w:iCs/>
          <w:kern w:val="0"/>
          <w:sz w:val="24"/>
          <w:szCs w:val="24"/>
          <w:lang w:eastAsia="en-US"/>
        </w:rPr>
        <w:t xml:space="preserve">60%; and Group C: ≥ 60%).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w:t>
      </w:r>
      <w:r w:rsidRPr="0038471E">
        <w:rPr>
          <w:rFonts w:ascii="Times New Roman" w:eastAsia="宋体" w:hAnsi="Times New Roman" w:cs="Times New Roman"/>
          <w:i/>
          <w:iCs/>
          <w:kern w:val="0"/>
          <w:sz w:val="24"/>
          <w:szCs w:val="24"/>
          <w:lang w:eastAsia="en-US"/>
        </w:rPr>
        <w:t xml:space="preserve">binary logistic regression and multivariate linear regression were used to assess whether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DFP </w:t>
      </w:r>
      <w:r w:rsidRPr="0038471E">
        <w:rPr>
          <w:rFonts w:ascii="Times New Roman" w:eastAsia="宋体" w:hAnsi="Times New Roman" w:cs="Times New Roman"/>
          <w:i/>
          <w:iCs/>
          <w:kern w:val="0"/>
          <w:sz w:val="24"/>
          <w:szCs w:val="24"/>
          <w:u w:val="single"/>
          <w:lang w:eastAsia="en-US"/>
        </w:rPr>
        <w:t>was associated with</w:t>
      </w:r>
      <w:r w:rsidRPr="0038471E">
        <w:rPr>
          <w:rFonts w:ascii="Times New Roman" w:eastAsia="宋体" w:hAnsi="Times New Roman" w:cs="Times New Roman"/>
          <w:i/>
          <w:iCs/>
          <w:kern w:val="0"/>
          <w:sz w:val="24"/>
          <w:szCs w:val="24"/>
          <w:lang w:eastAsia="en-US"/>
        </w:rPr>
        <w:t xml:space="preserve"> clinical pregnancy,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number of frozen blastocysts,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blastocyst formation rate, and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low number of frozen blastocysts.</w:t>
      </w:r>
    </w:p>
    <w:p w14:paraId="26D0EF08" w14:textId="77777777" w:rsidR="0038471E" w:rsidRPr="0038471E" w:rsidRDefault="0038471E" w:rsidP="00C97D81">
      <w:pPr>
        <w:widowControl/>
        <w:spacing w:before="120" w:after="240" w:line="360" w:lineRule="auto"/>
        <w:ind w:leftChars="202" w:left="424" w:rightChars="242" w:right="508"/>
        <w:rPr>
          <w:rFonts w:ascii="Times New Roman" w:eastAsia="宋体" w:hAnsi="Times New Roman" w:cs="Times New Roman"/>
          <w:i/>
          <w:iCs/>
          <w:kern w:val="0"/>
          <w:sz w:val="24"/>
          <w:szCs w:val="24"/>
          <w:lang w:eastAsia="en-US"/>
        </w:rPr>
      </w:pPr>
      <w:r w:rsidRPr="0038471E">
        <w:rPr>
          <w:rFonts w:ascii="Times New Roman" w:eastAsia="宋体" w:hAnsi="Times New Roman" w:cs="Times New Roman"/>
          <w:b/>
          <w:bCs/>
          <w:i/>
          <w:iCs/>
          <w:kern w:val="0"/>
          <w:sz w:val="24"/>
          <w:szCs w:val="24"/>
          <w:lang w:eastAsia="en-US"/>
        </w:rPr>
        <w:t>Results:</w:t>
      </w:r>
      <w:r w:rsidRPr="0038471E">
        <w:rPr>
          <w:rFonts w:ascii="Times New Roman" w:eastAsia="宋体" w:hAnsi="Times New Roman" w:cs="Times New Roman"/>
          <w:i/>
          <w:iCs/>
          <w:kern w:val="0"/>
          <w:sz w:val="24"/>
          <w:szCs w:val="24"/>
          <w:lang w:eastAsia="en-US"/>
        </w:rPr>
        <w:t xml:space="preserve">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logistics regression analysis showed that compared with Group A, the odds ratio </w:t>
      </w:r>
      <w:r w:rsidRPr="0038471E">
        <w:rPr>
          <w:rFonts w:ascii="Times New Roman" w:eastAsia="宋体" w:hAnsi="Times New Roman" w:cs="Times New Roman" w:hint="eastAsia"/>
          <w:i/>
          <w:iCs/>
          <w:kern w:val="0"/>
          <w:sz w:val="24"/>
          <w:szCs w:val="24"/>
        </w:rPr>
        <w:t>(</w:t>
      </w:r>
      <w:r w:rsidRPr="0038471E">
        <w:rPr>
          <w:rFonts w:ascii="Times New Roman" w:eastAsia="宋体" w:hAnsi="Times New Roman" w:cs="Times New Roman"/>
          <w:i/>
          <w:iCs/>
          <w:kern w:val="0"/>
          <w:sz w:val="24"/>
          <w:szCs w:val="24"/>
          <w:lang w:eastAsia="en-US"/>
        </w:rPr>
        <w:t xml:space="preserve">OR) for clinical pregnancy was 1.345 in Group B (P = 0.023), </w:t>
      </w:r>
      <w:r w:rsidRPr="0038471E">
        <w:rPr>
          <w:rFonts w:ascii="Times New Roman" w:eastAsia="宋体" w:hAnsi="Times New Roman" w:cs="Times New Roman"/>
          <w:i/>
          <w:iCs/>
          <w:kern w:val="0"/>
          <w:sz w:val="24"/>
          <w:szCs w:val="24"/>
          <w:u w:val="single"/>
          <w:lang w:eastAsia="en-US"/>
        </w:rPr>
        <w:t>and</w:t>
      </w:r>
      <w:r w:rsidRPr="0038471E">
        <w:rPr>
          <w:rFonts w:ascii="Times New Roman" w:eastAsia="宋体" w:hAnsi="Times New Roman" w:cs="Times New Roman"/>
          <w:i/>
          <w:iCs/>
          <w:kern w:val="0"/>
          <w:sz w:val="24"/>
          <w:szCs w:val="24"/>
          <w:lang w:eastAsia="en-US"/>
        </w:rPr>
        <w:t xml:space="preserve"> there was no statistical difference between Group C and Group A (P = 0.216).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multivariate linear regression analysis showed that DFP was negatively associated with the number of frozen blastocysts (β ± SE: Group B vs Group A = −0.319 ± 0.115, P = 0.006; Group C vs Group A = −0.432 ± 0.154, P = 0.005) as well as the blastocyst formation rate (β ± SE: Group B vs Group A = −0.035 ± 0.016, P = 0.031; Group C vs Group A = −0.039 ± 0.021, P = 0.067). </w:t>
      </w:r>
      <w:r w:rsidRPr="0038471E">
        <w:rPr>
          <w:rFonts w:ascii="Times New Roman" w:eastAsia="宋体" w:hAnsi="Times New Roman" w:cs="Times New Roman"/>
          <w:i/>
          <w:iCs/>
          <w:kern w:val="0"/>
          <w:sz w:val="24"/>
          <w:szCs w:val="24"/>
          <w:u w:val="single"/>
          <w:lang w:eastAsia="en-US"/>
        </w:rPr>
        <w:t>Furthermore</w:t>
      </w:r>
      <w:r w:rsidRPr="0038471E">
        <w:rPr>
          <w:rFonts w:ascii="Times New Roman" w:eastAsia="宋体" w:hAnsi="Times New Roman" w:cs="Times New Roman"/>
          <w:i/>
          <w:iCs/>
          <w:kern w:val="0"/>
          <w:sz w:val="24"/>
          <w:szCs w:val="24"/>
          <w:lang w:eastAsia="en-US"/>
        </w:rPr>
        <w:t xml:space="preserve">, the OR for </w:t>
      </w:r>
      <w:r w:rsidRPr="0038471E">
        <w:rPr>
          <w:rFonts w:ascii="Times New Roman" w:eastAsia="宋体" w:hAnsi="Times New Roman" w:cs="Times New Roman"/>
          <w:i/>
          <w:iCs/>
          <w:kern w:val="0"/>
          <w:sz w:val="24"/>
          <w:szCs w:val="24"/>
          <w:u w:val="single"/>
          <w:lang w:eastAsia="en-US"/>
        </w:rPr>
        <w:t>the</w:t>
      </w:r>
      <w:r w:rsidRPr="0038471E">
        <w:rPr>
          <w:rFonts w:ascii="Times New Roman" w:eastAsia="宋体" w:hAnsi="Times New Roman" w:cs="Times New Roman"/>
          <w:i/>
          <w:iCs/>
          <w:kern w:val="0"/>
          <w:sz w:val="24"/>
          <w:szCs w:val="24"/>
          <w:lang w:eastAsia="en-US"/>
        </w:rPr>
        <w:t xml:space="preserve"> low number of frozen blastocysts was 1.312 in Group B (P = 0.039) and 1.417 in Group C (P = 0.041) compared to Group A.</w:t>
      </w:r>
    </w:p>
    <w:p w14:paraId="48D60B1C" w14:textId="572DA3B9" w:rsidR="0038471E" w:rsidRPr="00100B4F" w:rsidRDefault="0038471E" w:rsidP="00C97D81">
      <w:pPr>
        <w:widowControl/>
        <w:spacing w:before="120" w:after="240" w:line="360" w:lineRule="auto"/>
        <w:ind w:leftChars="202" w:left="424" w:rightChars="242" w:right="508"/>
        <w:rPr>
          <w:rFonts w:ascii="Times New Roman" w:eastAsia="宋体" w:hAnsi="Times New Roman" w:cs="Times New Roman"/>
          <w:kern w:val="0"/>
          <w:sz w:val="24"/>
          <w:szCs w:val="24"/>
          <w:lang w:eastAsia="en-US"/>
        </w:rPr>
      </w:pPr>
      <w:r w:rsidRPr="0038471E">
        <w:rPr>
          <w:rFonts w:ascii="Times New Roman" w:eastAsia="宋体" w:hAnsi="Times New Roman" w:cs="Times New Roman"/>
          <w:b/>
          <w:bCs/>
          <w:i/>
          <w:iCs/>
          <w:kern w:val="0"/>
          <w:sz w:val="24"/>
          <w:szCs w:val="24"/>
          <w:lang w:eastAsia="en-US"/>
        </w:rPr>
        <w:t xml:space="preserve">Conclusions: </w:t>
      </w:r>
      <w:r w:rsidRPr="0038471E">
        <w:rPr>
          <w:rFonts w:ascii="Times New Roman" w:eastAsia="宋体" w:hAnsi="Times New Roman" w:cs="Times New Roman"/>
          <w:i/>
          <w:iCs/>
          <w:kern w:val="0"/>
          <w:sz w:val="24"/>
          <w:szCs w:val="24"/>
          <w:u w:val="single"/>
        </w:rPr>
        <w:t>For</w:t>
      </w:r>
      <w:r w:rsidRPr="0038471E">
        <w:rPr>
          <w:rFonts w:ascii="Times New Roman" w:eastAsia="宋体" w:hAnsi="Times New Roman" w:cs="Times New Roman"/>
          <w:i/>
          <w:iCs/>
          <w:kern w:val="0"/>
          <w:sz w:val="24"/>
          <w:szCs w:val="24"/>
          <w:u w:val="single"/>
          <w:lang w:eastAsia="en-US"/>
        </w:rPr>
        <w:t xml:space="preserve"> young normal ovarian responders </w:t>
      </w:r>
      <w:r w:rsidRPr="0038471E">
        <w:rPr>
          <w:rFonts w:ascii="Times New Roman" w:eastAsia="宋体" w:hAnsi="Times New Roman" w:cs="Times New Roman"/>
          <w:i/>
          <w:iCs/>
          <w:kern w:val="0"/>
          <w:sz w:val="24"/>
          <w:szCs w:val="24"/>
          <w:u w:val="single"/>
        </w:rPr>
        <w:t>using</w:t>
      </w:r>
      <w:r w:rsidRPr="0038471E">
        <w:rPr>
          <w:rFonts w:ascii="Times New Roman" w:eastAsia="宋体" w:hAnsi="Times New Roman" w:cs="Times New Roman"/>
          <w:i/>
          <w:iCs/>
          <w:kern w:val="0"/>
          <w:sz w:val="24"/>
          <w:szCs w:val="24"/>
          <w:u w:val="single"/>
          <w:lang w:eastAsia="en-US"/>
        </w:rPr>
        <w:t xml:space="preserve"> the depot GnRH agonist protocol, increasing</w:t>
      </w:r>
      <w:r w:rsidRPr="0038471E">
        <w:rPr>
          <w:rFonts w:ascii="Times New Roman" w:eastAsia="宋体" w:hAnsi="Times New Roman" w:cs="Times New Roman"/>
          <w:i/>
          <w:iCs/>
          <w:kern w:val="0"/>
          <w:sz w:val="24"/>
          <w:szCs w:val="24"/>
          <w:lang w:eastAsia="en-US"/>
        </w:rPr>
        <w:t xml:space="preserve"> DFP might reduce the developmental potential of oocytes and reduce the number of available blastocysts, </w:t>
      </w:r>
      <w:r w:rsidRPr="0038471E">
        <w:rPr>
          <w:rFonts w:ascii="Times New Roman" w:eastAsia="宋体" w:hAnsi="Times New Roman" w:cs="Times New Roman"/>
          <w:i/>
          <w:iCs/>
          <w:kern w:val="0"/>
          <w:sz w:val="24"/>
          <w:szCs w:val="24"/>
          <w:u w:val="single"/>
          <w:lang w:eastAsia="en-US"/>
        </w:rPr>
        <w:t>and this</w:t>
      </w:r>
      <w:r w:rsidRPr="0038471E">
        <w:rPr>
          <w:rFonts w:ascii="Times New Roman" w:eastAsia="宋体" w:hAnsi="Times New Roman" w:cs="Times New Roman"/>
          <w:i/>
          <w:iCs/>
          <w:kern w:val="0"/>
          <w:sz w:val="24"/>
          <w:szCs w:val="24"/>
          <w:lang w:eastAsia="en-US"/>
        </w:rPr>
        <w:t xml:space="preserve"> might </w:t>
      </w:r>
      <w:r w:rsidRPr="0038471E">
        <w:rPr>
          <w:rFonts w:ascii="Times New Roman" w:eastAsia="宋体" w:hAnsi="Times New Roman" w:cs="Times New Roman"/>
          <w:i/>
          <w:iCs/>
          <w:kern w:val="0"/>
          <w:sz w:val="24"/>
          <w:szCs w:val="24"/>
          <w:lang w:eastAsia="en-US"/>
        </w:rPr>
        <w:lastRenderedPageBreak/>
        <w:t xml:space="preserve">result in a lower cumulative pregnancy rate. </w:t>
      </w:r>
      <w:r w:rsidRPr="0038471E">
        <w:rPr>
          <w:rFonts w:ascii="Times New Roman" w:eastAsia="宋体" w:hAnsi="Times New Roman" w:cs="Times New Roman"/>
          <w:i/>
          <w:iCs/>
          <w:kern w:val="0"/>
          <w:sz w:val="24"/>
          <w:szCs w:val="24"/>
          <w:u w:val="single"/>
          <w:lang w:eastAsia="en-US"/>
        </w:rPr>
        <w:t>However</w:t>
      </w:r>
      <w:r w:rsidRPr="0038471E">
        <w:rPr>
          <w:rFonts w:ascii="Times New Roman" w:eastAsia="宋体" w:hAnsi="Times New Roman" w:cs="Times New Roman"/>
          <w:i/>
          <w:iCs/>
          <w:kern w:val="0"/>
          <w:sz w:val="24"/>
          <w:szCs w:val="24"/>
          <w:lang w:eastAsia="en-US"/>
        </w:rPr>
        <w:t xml:space="preserve">, further confirmation </w:t>
      </w:r>
      <w:r w:rsidRPr="0038471E">
        <w:rPr>
          <w:rFonts w:ascii="Times New Roman" w:eastAsia="宋体" w:hAnsi="Times New Roman" w:cs="Times New Roman"/>
          <w:i/>
          <w:iCs/>
          <w:kern w:val="0"/>
          <w:sz w:val="24"/>
          <w:szCs w:val="24"/>
          <w:u w:val="single"/>
          <w:lang w:eastAsia="en-US"/>
        </w:rPr>
        <w:t>using</w:t>
      </w:r>
      <w:r w:rsidRPr="0038471E">
        <w:rPr>
          <w:rFonts w:ascii="Times New Roman" w:eastAsia="宋体" w:hAnsi="Times New Roman" w:cs="Times New Roman"/>
          <w:i/>
          <w:iCs/>
          <w:kern w:val="0"/>
          <w:sz w:val="24"/>
          <w:szCs w:val="24"/>
          <w:lang w:eastAsia="en-US"/>
        </w:rPr>
        <w:t xml:space="preserve"> strict prospective </w:t>
      </w:r>
      <w:proofErr w:type="spellStart"/>
      <w:r w:rsidRPr="0038471E">
        <w:rPr>
          <w:rFonts w:ascii="Times New Roman" w:eastAsia="宋体" w:hAnsi="Times New Roman" w:cs="Times New Roman"/>
          <w:i/>
          <w:iCs/>
          <w:kern w:val="0"/>
          <w:sz w:val="24"/>
          <w:szCs w:val="24"/>
          <w:u w:val="single"/>
          <w:lang w:eastAsia="en-US"/>
        </w:rPr>
        <w:t>randomised</w:t>
      </w:r>
      <w:proofErr w:type="spellEnd"/>
      <w:r w:rsidRPr="0038471E">
        <w:rPr>
          <w:rFonts w:ascii="Times New Roman" w:eastAsia="宋体" w:hAnsi="Times New Roman" w:cs="Times New Roman"/>
          <w:i/>
          <w:iCs/>
          <w:kern w:val="0"/>
          <w:sz w:val="24"/>
          <w:szCs w:val="24"/>
          <w:lang w:eastAsia="en-US"/>
        </w:rPr>
        <w:t xml:space="preserve"> controlled studies is </w:t>
      </w:r>
      <w:r w:rsidRPr="0038471E">
        <w:rPr>
          <w:rFonts w:ascii="Times New Roman" w:eastAsia="宋体" w:hAnsi="Times New Roman" w:cs="Times New Roman"/>
          <w:i/>
          <w:iCs/>
          <w:kern w:val="0"/>
          <w:sz w:val="24"/>
          <w:szCs w:val="24"/>
          <w:u w:val="single"/>
          <w:lang w:eastAsia="en-US"/>
        </w:rPr>
        <w:t>required</w:t>
      </w:r>
      <w:r w:rsidRPr="0038471E">
        <w:rPr>
          <w:rFonts w:ascii="Times New Roman" w:eastAsia="宋体" w:hAnsi="Times New Roman" w:cs="Times New Roman"/>
          <w:i/>
          <w:iCs/>
          <w:kern w:val="0"/>
          <w:sz w:val="24"/>
          <w:szCs w:val="24"/>
          <w:lang w:eastAsia="en-US"/>
        </w:rPr>
        <w:t>.</w:t>
      </w:r>
      <w:r>
        <w:rPr>
          <w:rFonts w:ascii="Times New Roman" w:eastAsia="宋体" w:hAnsi="Times New Roman" w:cs="Times New Roman" w:hint="eastAsia"/>
          <w:i/>
          <w:iCs/>
          <w:kern w:val="0"/>
          <w:sz w:val="24"/>
          <w:szCs w:val="24"/>
        </w:rPr>
        <w:t>”</w:t>
      </w:r>
    </w:p>
    <w:p w14:paraId="593D646A" w14:textId="77777777" w:rsidR="00C36267" w:rsidRDefault="00C36267" w:rsidP="00D512E6">
      <w:pPr>
        <w:spacing w:line="360" w:lineRule="auto"/>
        <w:rPr>
          <w:rFonts w:ascii="Times New Roman" w:eastAsia="楷体" w:hAnsi="Times New Roman" w:hint="eastAsia"/>
          <w:sz w:val="24"/>
          <w:szCs w:val="28"/>
        </w:rPr>
      </w:pPr>
    </w:p>
    <w:p w14:paraId="23420CE7"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2. The study repeatedly mentioned that the major concern of the study is to determine </w:t>
      </w:r>
      <w:r>
        <w:rPr>
          <w:rFonts w:ascii="Times New Roman" w:eastAsia="楷体" w:hAnsi="Times New Roman"/>
          <w:b/>
          <w:bCs/>
          <w:sz w:val="24"/>
          <w:szCs w:val="28"/>
        </w:rPr>
        <w:t>the "Triger time" in the targeting C</w:t>
      </w:r>
      <w:r>
        <w:rPr>
          <w:rFonts w:ascii="Times New Roman" w:eastAsia="楷体" w:hAnsi="Times New Roman"/>
          <w:b/>
          <w:bCs/>
          <w:sz w:val="24"/>
          <w:szCs w:val="28"/>
        </w:rPr>
        <w:t xml:space="preserve">OH treatment in Abstract, Introduction, Results and Conclusion. But the team did not generate a clear conclusion to provide suggestion to clinicians with </w:t>
      </w:r>
      <w:proofErr w:type="gramStart"/>
      <w:r>
        <w:rPr>
          <w:rFonts w:ascii="Times New Roman" w:eastAsia="楷体" w:hAnsi="Times New Roman"/>
          <w:b/>
          <w:bCs/>
          <w:sz w:val="24"/>
          <w:szCs w:val="28"/>
        </w:rPr>
        <w:t>a</w:t>
      </w:r>
      <w:proofErr w:type="gramEnd"/>
      <w:r>
        <w:rPr>
          <w:rFonts w:ascii="Times New Roman" w:eastAsia="楷体" w:hAnsi="Times New Roman"/>
          <w:b/>
          <w:bCs/>
          <w:sz w:val="24"/>
          <w:szCs w:val="28"/>
        </w:rPr>
        <w:t xml:space="preserve"> "ideal trigger time".</w:t>
      </w:r>
    </w:p>
    <w:p w14:paraId="37F5BDF4" w14:textId="568EBB22"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We thank the re</w:t>
      </w:r>
      <w:r>
        <w:rPr>
          <w:rFonts w:ascii="Times New Roman" w:eastAsia="楷体" w:hAnsi="Times New Roman" w:hint="eastAsia"/>
          <w:i/>
          <w:iCs/>
          <w:sz w:val="24"/>
          <w:szCs w:val="28"/>
        </w:rPr>
        <w:t>viewer</w:t>
      </w:r>
      <w:r>
        <w:rPr>
          <w:rFonts w:ascii="Times New Roman" w:eastAsia="楷体" w:hAnsi="Times New Roman"/>
          <w:i/>
          <w:iCs/>
          <w:sz w:val="24"/>
          <w:szCs w:val="28"/>
        </w:rPr>
        <w:t xml:space="preserve"> for raising this important point. During COH,</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follicle growth is often asynchronous, we need to focus on the development of target follicle cohort, not just a few leading follicles. </w:t>
      </w:r>
      <w:r>
        <w:rPr>
          <w:rFonts w:ascii="Times New Roman" w:eastAsia="楷体" w:hAnsi="Times New Roman" w:hint="eastAsia"/>
          <w:i/>
          <w:iCs/>
          <w:sz w:val="24"/>
          <w:szCs w:val="28"/>
        </w:rPr>
        <w:t xml:space="preserve">In this study </w:t>
      </w:r>
      <w:r>
        <w:rPr>
          <w:rFonts w:ascii="Times New Roman" w:eastAsia="楷体" w:hAnsi="Times New Roman"/>
          <w:i/>
          <w:iCs/>
          <w:sz w:val="24"/>
          <w:szCs w:val="28"/>
        </w:rPr>
        <w:t>DFP (</w:t>
      </w:r>
      <w:r>
        <w:rPr>
          <w:rFonts w:ascii="Times New Roman" w:eastAsia="楷体" w:hAnsi="Times New Roman" w:hint="eastAsia"/>
          <w:i/>
          <w:iCs/>
          <w:sz w:val="24"/>
          <w:szCs w:val="28"/>
        </w:rPr>
        <w:t>≥</w:t>
      </w:r>
      <w:r>
        <w:rPr>
          <w:rFonts w:ascii="Times New Roman" w:eastAsia="楷体" w:hAnsi="Times New Roman"/>
          <w:i/>
          <w:iCs/>
          <w:sz w:val="24"/>
          <w:szCs w:val="28"/>
        </w:rPr>
        <w:t>18 mm follicles /≥14 mm follicles) include</w:t>
      </w:r>
      <w:r>
        <w:rPr>
          <w:rFonts w:ascii="Times New Roman" w:eastAsia="楷体" w:hAnsi="Times New Roman" w:hint="eastAsia"/>
          <w:i/>
          <w:iCs/>
          <w:sz w:val="24"/>
          <w:szCs w:val="28"/>
        </w:rPr>
        <w:t>d</w:t>
      </w:r>
      <w:r>
        <w:rPr>
          <w:rFonts w:ascii="Times New Roman" w:eastAsia="楷体" w:hAnsi="Times New Roman"/>
          <w:i/>
          <w:iCs/>
          <w:sz w:val="24"/>
          <w:szCs w:val="28"/>
        </w:rPr>
        <w:t xml:space="preserve"> both the leading follicles and the </w:t>
      </w:r>
      <w:r>
        <w:rPr>
          <w:rFonts w:ascii="Times New Roman" w:eastAsia="楷体" w:hAnsi="Times New Roman" w:hint="eastAsia"/>
          <w:i/>
          <w:iCs/>
          <w:sz w:val="24"/>
          <w:szCs w:val="28"/>
        </w:rPr>
        <w:t>large</w:t>
      </w:r>
      <w:r>
        <w:rPr>
          <w:rFonts w:ascii="Times New Roman" w:eastAsia="楷体" w:hAnsi="Times New Roman"/>
          <w:i/>
          <w:iCs/>
          <w:sz w:val="24"/>
          <w:szCs w:val="28"/>
        </w:rPr>
        <w:t xml:space="preserve"> follicle </w:t>
      </w:r>
      <w:r>
        <w:rPr>
          <w:rFonts w:ascii="Times New Roman" w:eastAsia="楷体" w:hAnsi="Times New Roman"/>
          <w:i/>
          <w:iCs/>
          <w:sz w:val="24"/>
          <w:szCs w:val="28"/>
        </w:rPr>
        <w:t xml:space="preserve">cohort, and was considered a more valid and objective indicator. Group A (DFP &lt; 30%) corresponded to two leading follicles ≥18 mm on </w:t>
      </w:r>
      <w:proofErr w:type="gramStart"/>
      <w:r>
        <w:rPr>
          <w:rFonts w:ascii="Times New Roman" w:eastAsia="楷体" w:hAnsi="Times New Roman"/>
          <w:i/>
          <w:iCs/>
          <w:sz w:val="24"/>
          <w:szCs w:val="28"/>
        </w:rPr>
        <w:t>HCG day</w:t>
      </w:r>
      <w:proofErr w:type="gramEnd"/>
      <w:r>
        <w:rPr>
          <w:rFonts w:ascii="Times New Roman" w:eastAsia="楷体" w:hAnsi="Times New Roman"/>
          <w:i/>
          <w:iCs/>
          <w:sz w:val="24"/>
          <w:szCs w:val="28"/>
        </w:rPr>
        <w:t xml:space="preserve">, which was the most common trigger </w:t>
      </w:r>
      <w:r>
        <w:rPr>
          <w:rFonts w:ascii="Times New Roman" w:eastAsia="楷体" w:hAnsi="Times New Roman" w:hint="eastAsia"/>
          <w:i/>
          <w:iCs/>
          <w:sz w:val="24"/>
          <w:szCs w:val="28"/>
        </w:rPr>
        <w:t>standard</w:t>
      </w:r>
      <w:r>
        <w:rPr>
          <w:rFonts w:ascii="Times New Roman" w:eastAsia="楷体" w:hAnsi="Times New Roman"/>
          <w:i/>
          <w:iCs/>
          <w:sz w:val="24"/>
          <w:szCs w:val="28"/>
        </w:rPr>
        <w:t>. Delayed triggering would result in an increase in DFP. Howev</w:t>
      </w:r>
      <w:r>
        <w:rPr>
          <w:rFonts w:ascii="Times New Roman" w:eastAsia="楷体" w:hAnsi="Times New Roman"/>
          <w:i/>
          <w:iCs/>
          <w:sz w:val="24"/>
          <w:szCs w:val="28"/>
        </w:rPr>
        <w:t xml:space="preserve">er, </w:t>
      </w:r>
      <w:r w:rsidRPr="00D512E6">
        <w:rPr>
          <w:rFonts w:ascii="Times New Roman" w:eastAsia="楷体" w:hAnsi="Times New Roman"/>
          <w:i/>
          <w:iCs/>
          <w:sz w:val="24"/>
          <w:szCs w:val="28"/>
          <w:lang w:val="en-GB"/>
        </w:rPr>
        <w:t>increasing</w:t>
      </w:r>
      <w:r>
        <w:rPr>
          <w:rFonts w:ascii="Times New Roman" w:eastAsia="楷体" w:hAnsi="Times New Roman"/>
          <w:i/>
          <w:iCs/>
          <w:sz w:val="24"/>
          <w:szCs w:val="28"/>
        </w:rPr>
        <w:t xml:space="preserve"> DFP might reduce the developmental potential of oocytes</w:t>
      </w:r>
      <w:r>
        <w:rPr>
          <w:rFonts w:ascii="Times New Roman" w:eastAsia="楷体" w:hAnsi="Times New Roman" w:hint="eastAsia"/>
          <w:i/>
          <w:iCs/>
          <w:sz w:val="24"/>
          <w:szCs w:val="28"/>
        </w:rPr>
        <w:t xml:space="preserve">, </w:t>
      </w:r>
      <w:r>
        <w:rPr>
          <w:rFonts w:ascii="Times New Roman" w:eastAsia="楷体" w:hAnsi="Times New Roman"/>
          <w:i/>
          <w:iCs/>
          <w:sz w:val="24"/>
          <w:szCs w:val="28"/>
        </w:rPr>
        <w:t>reduce the number of available blastocysts</w:t>
      </w:r>
      <w:r>
        <w:rPr>
          <w:rFonts w:ascii="Times New Roman" w:eastAsia="楷体" w:hAnsi="Times New Roman"/>
          <w:i/>
          <w:iCs/>
          <w:sz w:val="24"/>
          <w:szCs w:val="28"/>
        </w:rPr>
        <w:t xml:space="preserve"> and </w:t>
      </w:r>
      <w:r>
        <w:rPr>
          <w:rFonts w:ascii="Times New Roman" w:eastAsia="楷体" w:hAnsi="Times New Roman" w:hint="eastAsia"/>
          <w:i/>
          <w:iCs/>
          <w:sz w:val="24"/>
          <w:szCs w:val="28"/>
        </w:rPr>
        <w:t>was</w:t>
      </w:r>
      <w:r w:rsidRPr="00AF119A">
        <w:rPr>
          <w:rFonts w:ascii="Times New Roman" w:eastAsia="楷体" w:hAnsi="Times New Roman"/>
          <w:i/>
          <w:iCs/>
          <w:sz w:val="24"/>
          <w:szCs w:val="28"/>
          <w:lang w:val="en-GB"/>
        </w:rPr>
        <w:t xml:space="preserve"> a risk factor for low number of </w:t>
      </w:r>
      <w:r>
        <w:rPr>
          <w:rFonts w:ascii="Times New Roman" w:eastAsia="楷体" w:hAnsi="Times New Roman"/>
          <w:i/>
          <w:iCs/>
          <w:sz w:val="24"/>
          <w:szCs w:val="28"/>
        </w:rPr>
        <w:t>available</w:t>
      </w:r>
      <w:r>
        <w:rPr>
          <w:rFonts w:ascii="Times New Roman" w:eastAsia="楷体" w:hAnsi="Times New Roman" w:hint="eastAsia"/>
          <w:i/>
          <w:iCs/>
          <w:sz w:val="24"/>
          <w:szCs w:val="28"/>
        </w:rPr>
        <w:t xml:space="preserve"> </w:t>
      </w:r>
      <w:r w:rsidRPr="00AF119A">
        <w:rPr>
          <w:rFonts w:ascii="Times New Roman" w:eastAsia="楷体" w:hAnsi="Times New Roman"/>
          <w:i/>
          <w:iCs/>
          <w:sz w:val="24"/>
          <w:szCs w:val="28"/>
          <w:lang w:val="en-GB"/>
        </w:rPr>
        <w:t>blastocysts</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(Line </w:t>
      </w:r>
      <w:r w:rsidR="00465B6E">
        <w:rPr>
          <w:rFonts w:ascii="Times New Roman" w:eastAsia="楷体" w:hAnsi="Times New Roman" w:hint="eastAsia"/>
          <w:i/>
          <w:iCs/>
          <w:sz w:val="24"/>
          <w:szCs w:val="28"/>
        </w:rPr>
        <w:t>1</w:t>
      </w:r>
      <w:r w:rsidR="00465B6E">
        <w:rPr>
          <w:rFonts w:ascii="Times New Roman" w:eastAsia="楷体" w:hAnsi="Times New Roman"/>
          <w:i/>
          <w:iCs/>
          <w:sz w:val="24"/>
          <w:szCs w:val="28"/>
        </w:rPr>
        <w:t>43</w:t>
      </w:r>
      <w:r>
        <w:rPr>
          <w:rFonts w:ascii="Times New Roman" w:eastAsia="楷体" w:hAnsi="Times New Roman"/>
          <w:i/>
          <w:iCs/>
          <w:sz w:val="24"/>
          <w:szCs w:val="28"/>
        </w:rPr>
        <w:t>-</w:t>
      </w:r>
      <w:r w:rsidR="00465B6E">
        <w:rPr>
          <w:rFonts w:ascii="Times New Roman" w:eastAsia="楷体" w:hAnsi="Times New Roman" w:hint="eastAsia"/>
          <w:i/>
          <w:iCs/>
          <w:sz w:val="24"/>
          <w:szCs w:val="28"/>
        </w:rPr>
        <w:t>1</w:t>
      </w:r>
      <w:r w:rsidR="00465B6E">
        <w:rPr>
          <w:rFonts w:ascii="Times New Roman" w:eastAsia="楷体" w:hAnsi="Times New Roman"/>
          <w:i/>
          <w:iCs/>
          <w:sz w:val="24"/>
          <w:szCs w:val="28"/>
        </w:rPr>
        <w:t>45</w:t>
      </w:r>
      <w:r>
        <w:rPr>
          <w:rFonts w:ascii="Times New Roman" w:eastAsia="楷体" w:hAnsi="Times New Roman"/>
          <w:i/>
          <w:iCs/>
          <w:sz w:val="24"/>
          <w:szCs w:val="28"/>
        </w:rPr>
        <w:t xml:space="preserve">, Page </w:t>
      </w:r>
      <w:r>
        <w:rPr>
          <w:rFonts w:ascii="Times New Roman" w:eastAsia="楷体" w:hAnsi="Times New Roman" w:hint="eastAsia"/>
          <w:i/>
          <w:iCs/>
          <w:sz w:val="24"/>
          <w:szCs w:val="28"/>
        </w:rPr>
        <w:t>7</w:t>
      </w:r>
      <w:r>
        <w:rPr>
          <w:rFonts w:ascii="Times New Roman" w:eastAsia="楷体" w:hAnsi="Times New Roman"/>
          <w:i/>
          <w:iCs/>
          <w:sz w:val="24"/>
          <w:szCs w:val="28"/>
        </w:rPr>
        <w:t>; Lin</w:t>
      </w:r>
      <w:r w:rsidR="00DF04F0">
        <w:rPr>
          <w:rFonts w:ascii="Times New Roman" w:eastAsia="楷体" w:hAnsi="Times New Roman"/>
          <w:i/>
          <w:iCs/>
          <w:sz w:val="24"/>
          <w:szCs w:val="28"/>
        </w:rPr>
        <w:t>e</w:t>
      </w:r>
      <w:r>
        <w:rPr>
          <w:rFonts w:ascii="Times New Roman" w:eastAsia="楷体" w:hAnsi="Times New Roman"/>
          <w:i/>
          <w:iCs/>
          <w:sz w:val="24"/>
          <w:szCs w:val="28"/>
        </w:rPr>
        <w:t xml:space="preserve"> </w:t>
      </w:r>
      <w:r w:rsidR="00465B6E">
        <w:rPr>
          <w:rFonts w:ascii="Times New Roman" w:eastAsia="楷体" w:hAnsi="Times New Roman" w:hint="eastAsia"/>
          <w:i/>
          <w:iCs/>
          <w:sz w:val="24"/>
          <w:szCs w:val="28"/>
        </w:rPr>
        <w:t>1</w:t>
      </w:r>
      <w:r w:rsidR="00465B6E">
        <w:rPr>
          <w:rFonts w:ascii="Times New Roman" w:eastAsia="楷体" w:hAnsi="Times New Roman"/>
          <w:i/>
          <w:iCs/>
          <w:sz w:val="24"/>
          <w:szCs w:val="28"/>
        </w:rPr>
        <w:t>51</w:t>
      </w:r>
      <w:r>
        <w:rPr>
          <w:rFonts w:ascii="Times New Roman" w:eastAsia="楷体" w:hAnsi="Times New Roman"/>
          <w:i/>
          <w:iCs/>
          <w:sz w:val="24"/>
          <w:szCs w:val="28"/>
        </w:rPr>
        <w:t>-</w:t>
      </w:r>
      <w:r>
        <w:rPr>
          <w:rFonts w:ascii="Times New Roman" w:eastAsia="楷体" w:hAnsi="Times New Roman" w:hint="eastAsia"/>
          <w:i/>
          <w:iCs/>
          <w:sz w:val="24"/>
          <w:szCs w:val="28"/>
        </w:rPr>
        <w:t>1</w:t>
      </w:r>
      <w:r w:rsidR="00465B6E">
        <w:rPr>
          <w:rFonts w:ascii="Times New Roman" w:eastAsia="楷体" w:hAnsi="Times New Roman"/>
          <w:i/>
          <w:iCs/>
          <w:sz w:val="24"/>
          <w:szCs w:val="28"/>
        </w:rPr>
        <w:t>57</w:t>
      </w:r>
      <w:r>
        <w:rPr>
          <w:rFonts w:ascii="Times New Roman" w:eastAsia="楷体" w:hAnsi="Times New Roman"/>
          <w:i/>
          <w:iCs/>
          <w:sz w:val="24"/>
          <w:szCs w:val="28"/>
        </w:rPr>
        <w:t xml:space="preserve">, Page </w:t>
      </w:r>
      <w:r w:rsidR="00465B6E">
        <w:rPr>
          <w:rFonts w:ascii="Times New Roman" w:eastAsia="楷体" w:hAnsi="Times New Roman"/>
          <w:i/>
          <w:iCs/>
          <w:sz w:val="24"/>
          <w:szCs w:val="28"/>
        </w:rPr>
        <w:t>7-8</w:t>
      </w:r>
      <w:r>
        <w:rPr>
          <w:rFonts w:ascii="Times New Roman" w:eastAsia="楷体" w:hAnsi="Times New Roman"/>
          <w:i/>
          <w:iCs/>
          <w:sz w:val="24"/>
          <w:szCs w:val="28"/>
        </w:rPr>
        <w:t xml:space="preserve">; Line </w:t>
      </w:r>
      <w:r w:rsidR="00465B6E">
        <w:rPr>
          <w:rFonts w:ascii="Times New Roman" w:eastAsia="楷体" w:hAnsi="Times New Roman"/>
          <w:i/>
          <w:iCs/>
          <w:sz w:val="24"/>
          <w:szCs w:val="28"/>
        </w:rPr>
        <w:t>15</w:t>
      </w:r>
      <w:r w:rsidR="00465B6E">
        <w:rPr>
          <w:rFonts w:ascii="Times New Roman" w:eastAsia="楷体" w:hAnsi="Times New Roman"/>
          <w:i/>
          <w:iCs/>
          <w:sz w:val="24"/>
          <w:szCs w:val="28"/>
        </w:rPr>
        <w:t>8</w:t>
      </w:r>
      <w:r>
        <w:rPr>
          <w:rFonts w:ascii="Times New Roman" w:eastAsia="楷体" w:hAnsi="Times New Roman"/>
          <w:i/>
          <w:iCs/>
          <w:sz w:val="24"/>
          <w:szCs w:val="28"/>
        </w:rPr>
        <w:t>-</w:t>
      </w:r>
      <w:r w:rsidR="00465B6E">
        <w:rPr>
          <w:rFonts w:ascii="Times New Roman" w:eastAsia="楷体" w:hAnsi="Times New Roman" w:hint="eastAsia"/>
          <w:i/>
          <w:iCs/>
          <w:sz w:val="24"/>
          <w:szCs w:val="28"/>
        </w:rPr>
        <w:t>1</w:t>
      </w:r>
      <w:r w:rsidR="00465B6E">
        <w:rPr>
          <w:rFonts w:ascii="Times New Roman" w:eastAsia="楷体" w:hAnsi="Times New Roman"/>
          <w:i/>
          <w:iCs/>
          <w:sz w:val="24"/>
          <w:szCs w:val="28"/>
        </w:rPr>
        <w:t>62</w:t>
      </w:r>
      <w:r>
        <w:rPr>
          <w:rFonts w:ascii="Times New Roman" w:eastAsia="楷体" w:hAnsi="Times New Roman"/>
          <w:i/>
          <w:iCs/>
          <w:sz w:val="24"/>
          <w:szCs w:val="28"/>
        </w:rPr>
        <w:t xml:space="preserve">, Page </w:t>
      </w:r>
      <w:r w:rsidR="00DF04F0">
        <w:rPr>
          <w:rFonts w:ascii="Times New Roman" w:eastAsia="楷体" w:hAnsi="Times New Roman"/>
          <w:i/>
          <w:iCs/>
          <w:sz w:val="24"/>
          <w:szCs w:val="28"/>
        </w:rPr>
        <w:t>8</w:t>
      </w:r>
      <w:r>
        <w:rPr>
          <w:rFonts w:ascii="Times New Roman" w:eastAsia="楷体" w:hAnsi="Times New Roman"/>
          <w:i/>
          <w:iCs/>
          <w:sz w:val="24"/>
          <w:szCs w:val="28"/>
        </w:rPr>
        <w:t>).</w:t>
      </w:r>
    </w:p>
    <w:p w14:paraId="698510C8" w14:textId="77777777" w:rsidR="00C36267" w:rsidRPr="00C97D81" w:rsidRDefault="00C36267" w:rsidP="00D512E6">
      <w:pPr>
        <w:spacing w:line="360" w:lineRule="auto"/>
        <w:rPr>
          <w:rFonts w:ascii="Times New Roman" w:eastAsia="楷体" w:hAnsi="Times New Roman"/>
          <w:i/>
          <w:iCs/>
          <w:sz w:val="24"/>
          <w:szCs w:val="28"/>
        </w:rPr>
      </w:pPr>
    </w:p>
    <w:p w14:paraId="30E1AC03"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3. As my knowledge, the leading follicle size (biggest follicle among all follicles) on </w:t>
      </w:r>
      <w:r>
        <w:rPr>
          <w:rFonts w:ascii="Times New Roman" w:eastAsia="楷体" w:hAnsi="Times New Roman"/>
          <w:b/>
          <w:bCs/>
          <w:sz w:val="24"/>
          <w:szCs w:val="28"/>
        </w:rPr>
        <w:t xml:space="preserve">the </w:t>
      </w:r>
      <w:proofErr w:type="spellStart"/>
      <w:r>
        <w:rPr>
          <w:rFonts w:ascii="Times New Roman" w:eastAsia="楷体" w:hAnsi="Times New Roman"/>
          <w:b/>
          <w:bCs/>
          <w:sz w:val="24"/>
          <w:szCs w:val="28"/>
        </w:rPr>
        <w:t>hCG</w:t>
      </w:r>
      <w:proofErr w:type="spellEnd"/>
      <w:r>
        <w:rPr>
          <w:rFonts w:ascii="Times New Roman" w:eastAsia="楷体" w:hAnsi="Times New Roman"/>
          <w:b/>
          <w:bCs/>
          <w:sz w:val="24"/>
          <w:szCs w:val="28"/>
        </w:rPr>
        <w:t xml:space="preserve"> trigger day will be an important factor affect the cycle in some IVF cycles. Please consider to add the parameters to the study to evaluate its impacts.</w:t>
      </w:r>
    </w:p>
    <w:p w14:paraId="46277DCE" w14:textId="77777777" w:rsidR="009A4FD3"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thank the reviewer for raising this important point. Follicle growth is asynchronous during COH, we aim to focus on the development of follicle cohort. In addition, the number of frozen blastocysts and cumulative pregnancy rate are </w:t>
      </w:r>
      <w:r>
        <w:rPr>
          <w:rFonts w:ascii="Times New Roman" w:eastAsia="楷体" w:hAnsi="Times New Roman" w:hint="eastAsia"/>
          <w:i/>
          <w:iCs/>
          <w:sz w:val="24"/>
          <w:szCs w:val="28"/>
        </w:rPr>
        <w:t>associated with</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the </w:t>
      </w:r>
      <w:r>
        <w:rPr>
          <w:rFonts w:ascii="Times New Roman" w:eastAsia="楷体" w:hAnsi="Times New Roman" w:hint="eastAsia"/>
          <w:i/>
          <w:iCs/>
          <w:sz w:val="24"/>
          <w:szCs w:val="28"/>
        </w:rPr>
        <w:t>large</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follicle cohort, not just the </w:t>
      </w:r>
      <w:r>
        <w:rPr>
          <w:rFonts w:ascii="Times New Roman" w:eastAsia="楷体" w:hAnsi="Times New Roman" w:hint="eastAsia"/>
          <w:i/>
          <w:iCs/>
          <w:sz w:val="24"/>
          <w:szCs w:val="28"/>
        </w:rPr>
        <w:t>leading</w:t>
      </w:r>
      <w:r>
        <w:rPr>
          <w:rFonts w:ascii="Times New Roman" w:eastAsia="楷体" w:hAnsi="Times New Roman"/>
          <w:i/>
          <w:iCs/>
          <w:sz w:val="24"/>
          <w:szCs w:val="28"/>
        </w:rPr>
        <w:t xml:space="preserve"> follicle. DFP (≥18 mm follicles /≥14 mm follicles) included both the leading follicles and the </w:t>
      </w:r>
      <w:r>
        <w:rPr>
          <w:rFonts w:ascii="Times New Roman" w:eastAsia="楷体" w:hAnsi="Times New Roman" w:hint="eastAsia"/>
          <w:i/>
          <w:iCs/>
          <w:sz w:val="24"/>
          <w:szCs w:val="28"/>
        </w:rPr>
        <w:t>large</w:t>
      </w:r>
      <w:r>
        <w:rPr>
          <w:rFonts w:ascii="Times New Roman" w:eastAsia="楷体" w:hAnsi="Times New Roman"/>
          <w:i/>
          <w:iCs/>
          <w:sz w:val="24"/>
          <w:szCs w:val="28"/>
        </w:rPr>
        <w:t xml:space="preserve"> follicle cohort. And Group A (DFP &lt; 30%) corresponded to two leading follicles ≥18 mm on </w:t>
      </w:r>
      <w:proofErr w:type="gramStart"/>
      <w:r>
        <w:rPr>
          <w:rFonts w:ascii="Times New Roman" w:eastAsia="楷体" w:hAnsi="Times New Roman"/>
          <w:i/>
          <w:iCs/>
          <w:sz w:val="24"/>
          <w:szCs w:val="28"/>
        </w:rPr>
        <w:t>HCG day</w:t>
      </w:r>
      <w:proofErr w:type="gramEnd"/>
      <w:r>
        <w:rPr>
          <w:rFonts w:ascii="Times New Roman" w:eastAsia="楷体" w:hAnsi="Times New Roman"/>
          <w:i/>
          <w:iCs/>
          <w:sz w:val="24"/>
          <w:szCs w:val="28"/>
        </w:rPr>
        <w:t xml:space="preserve">, which was the most common trigger </w:t>
      </w:r>
      <w:r>
        <w:rPr>
          <w:rFonts w:ascii="Times New Roman" w:eastAsia="楷体" w:hAnsi="Times New Roman" w:hint="eastAsia"/>
          <w:i/>
          <w:iCs/>
          <w:sz w:val="24"/>
          <w:szCs w:val="28"/>
        </w:rPr>
        <w:t>standard</w:t>
      </w:r>
      <w:r>
        <w:rPr>
          <w:rFonts w:ascii="Times New Roman" w:eastAsia="楷体" w:hAnsi="Times New Roman" w:hint="eastAsia"/>
          <w:i/>
          <w:iCs/>
          <w:sz w:val="24"/>
          <w:szCs w:val="28"/>
        </w:rPr>
        <w:t>.</w:t>
      </w:r>
    </w:p>
    <w:p w14:paraId="171169D6" w14:textId="74122918" w:rsidR="00C36267" w:rsidRDefault="00C36267" w:rsidP="00D512E6">
      <w:pPr>
        <w:spacing w:line="360" w:lineRule="auto"/>
        <w:rPr>
          <w:rFonts w:ascii="Times New Roman" w:eastAsia="楷体" w:hAnsi="Times New Roman"/>
          <w:sz w:val="24"/>
          <w:szCs w:val="28"/>
        </w:rPr>
      </w:pPr>
    </w:p>
    <w:p w14:paraId="1215E93F"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lastRenderedPageBreak/>
        <w:t xml:space="preserve">4. As the study included both ICSI and IVF cycles, please indicated if ICSI cycles </w:t>
      </w:r>
      <w:r>
        <w:rPr>
          <w:rFonts w:ascii="Times New Roman" w:eastAsia="楷体" w:hAnsi="Times New Roman"/>
          <w:b/>
          <w:bCs/>
          <w:sz w:val="24"/>
          <w:szCs w:val="28"/>
        </w:rPr>
        <w:t>included any severe male factor cases like TESE/MESA/TESA cycles.</w:t>
      </w:r>
    </w:p>
    <w:p w14:paraId="6DA1D9B2" w14:textId="26F2EEF3"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thank the reviewer for having raised the point. </w:t>
      </w:r>
      <w:r w:rsidR="00BB07FC">
        <w:rPr>
          <w:rFonts w:ascii="Times New Roman" w:eastAsia="楷体" w:hAnsi="Times New Roman"/>
          <w:i/>
          <w:iCs/>
          <w:sz w:val="24"/>
          <w:szCs w:val="28"/>
        </w:rPr>
        <w:t>The t</w:t>
      </w:r>
      <w:r w:rsidR="00BB07FC" w:rsidRPr="00BB07FC">
        <w:rPr>
          <w:rFonts w:ascii="Times New Roman" w:eastAsia="楷体" w:hAnsi="Times New Roman"/>
          <w:i/>
          <w:iCs/>
          <w:sz w:val="24"/>
          <w:szCs w:val="28"/>
        </w:rPr>
        <w:t>esticular sperm aspiration/testicular sperm extraction/ microsurgical epididymal sperm aspiration/percutaneous epididymal sperm aspiration</w:t>
      </w:r>
      <w:r w:rsidR="00BB07FC">
        <w:rPr>
          <w:rFonts w:ascii="Times New Roman" w:eastAsia="楷体" w:hAnsi="Times New Roman"/>
          <w:i/>
          <w:iCs/>
          <w:sz w:val="24"/>
          <w:szCs w:val="28"/>
        </w:rPr>
        <w:t xml:space="preserve"> (TESA/TESE/MESA/PESA)</w:t>
      </w:r>
      <w:r>
        <w:rPr>
          <w:rFonts w:ascii="Times New Roman" w:eastAsia="楷体" w:hAnsi="Times New Roman"/>
          <w:i/>
          <w:iCs/>
          <w:sz w:val="24"/>
          <w:szCs w:val="28"/>
        </w:rPr>
        <w:t xml:space="preserve"> cycles were excluded in the study, and we have now highlighted this in</w:t>
      </w:r>
      <w:r>
        <w:rPr>
          <w:rFonts w:ascii="Times New Roman" w:eastAsia="楷体" w:hAnsi="Times New Roman" w:hint="eastAsia"/>
          <w:i/>
          <w:iCs/>
          <w:sz w:val="24"/>
          <w:szCs w:val="28"/>
        </w:rPr>
        <w:t>“</w:t>
      </w:r>
      <w:r>
        <w:rPr>
          <w:rFonts w:ascii="Times New Roman" w:eastAsia="楷体" w:hAnsi="Times New Roman"/>
          <w:i/>
          <w:iCs/>
          <w:sz w:val="24"/>
          <w:szCs w:val="28"/>
        </w:rPr>
        <w:t xml:space="preserve">Material and methods” section (Line </w:t>
      </w:r>
      <w:r w:rsidR="00C97D81">
        <w:rPr>
          <w:rFonts w:ascii="Times New Roman" w:eastAsia="楷体" w:hAnsi="Times New Roman"/>
          <w:i/>
          <w:iCs/>
          <w:sz w:val="24"/>
          <w:szCs w:val="28"/>
        </w:rPr>
        <w:t>8</w:t>
      </w:r>
      <w:r w:rsidR="00C97D81">
        <w:rPr>
          <w:rFonts w:ascii="Times New Roman" w:eastAsia="楷体" w:hAnsi="Times New Roman"/>
          <w:i/>
          <w:iCs/>
          <w:sz w:val="24"/>
          <w:szCs w:val="28"/>
        </w:rPr>
        <w:t>5</w:t>
      </w:r>
      <w:r>
        <w:rPr>
          <w:rFonts w:ascii="Times New Roman" w:eastAsia="楷体" w:hAnsi="Times New Roman"/>
          <w:i/>
          <w:iCs/>
          <w:sz w:val="24"/>
          <w:szCs w:val="28"/>
        </w:rPr>
        <w:t>-</w:t>
      </w:r>
      <w:r w:rsidR="0082199F">
        <w:rPr>
          <w:rFonts w:ascii="Times New Roman" w:eastAsia="楷体" w:hAnsi="Times New Roman"/>
          <w:i/>
          <w:iCs/>
          <w:sz w:val="24"/>
          <w:szCs w:val="28"/>
        </w:rPr>
        <w:t>8</w:t>
      </w:r>
      <w:r w:rsidR="0082199F">
        <w:rPr>
          <w:rFonts w:ascii="Times New Roman" w:eastAsia="楷体" w:hAnsi="Times New Roman"/>
          <w:i/>
          <w:iCs/>
          <w:sz w:val="24"/>
          <w:szCs w:val="28"/>
        </w:rPr>
        <w:t>7</w:t>
      </w:r>
      <w:r>
        <w:rPr>
          <w:rFonts w:ascii="Times New Roman" w:eastAsia="楷体" w:hAnsi="Times New Roman"/>
          <w:i/>
          <w:iCs/>
          <w:sz w:val="24"/>
          <w:szCs w:val="28"/>
        </w:rPr>
        <w:t xml:space="preserve">, Page </w:t>
      </w:r>
      <w:r w:rsidR="0082199F">
        <w:rPr>
          <w:rFonts w:ascii="Times New Roman" w:eastAsia="楷体" w:hAnsi="Times New Roman"/>
          <w:i/>
          <w:iCs/>
          <w:sz w:val="24"/>
          <w:szCs w:val="28"/>
        </w:rPr>
        <w:t>5</w:t>
      </w:r>
      <w:r>
        <w:rPr>
          <w:rFonts w:ascii="Times New Roman" w:eastAsia="楷体" w:hAnsi="Times New Roman"/>
          <w:i/>
          <w:iCs/>
          <w:sz w:val="24"/>
          <w:szCs w:val="28"/>
        </w:rPr>
        <w:t>).</w:t>
      </w:r>
    </w:p>
    <w:p w14:paraId="75296A43" w14:textId="77777777" w:rsidR="00C36267" w:rsidRDefault="00C36267" w:rsidP="00D512E6">
      <w:pPr>
        <w:spacing w:line="360" w:lineRule="auto"/>
        <w:rPr>
          <w:rFonts w:ascii="Times New Roman" w:eastAsia="楷体" w:hAnsi="Times New Roman"/>
          <w:sz w:val="24"/>
          <w:szCs w:val="28"/>
        </w:rPr>
      </w:pPr>
    </w:p>
    <w:p w14:paraId="50DE7C0F"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5. I see the Maturation rate evaluation in table 1 included "conventional IVF cycle". It </w:t>
      </w:r>
      <w:r>
        <w:rPr>
          <w:rFonts w:ascii="Times New Roman" w:eastAsia="楷体" w:hAnsi="Times New Roman"/>
          <w:b/>
          <w:bCs/>
          <w:sz w:val="24"/>
          <w:szCs w:val="28"/>
        </w:rPr>
        <w:t>is very difficult to understand how to evaluate Maturation Rate in conventional IVF as no oocyte stripping was used in it. Please provide more information about method</w:t>
      </w:r>
      <w:r>
        <w:rPr>
          <w:rFonts w:ascii="Times New Roman" w:eastAsia="楷体" w:hAnsi="Times New Roman"/>
          <w:b/>
          <w:bCs/>
          <w:sz w:val="24"/>
          <w:szCs w:val="28"/>
        </w:rPr>
        <w:t>.</w:t>
      </w:r>
    </w:p>
    <w:p w14:paraId="024A1EB3" w14:textId="46C4AF4D"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would like to thank the reviewer for this feedback and now added a more precise description of oocyte stripping and the evaluation of oocyte maturation rate in IVF in “Material and methods” section (Line </w:t>
      </w:r>
      <w:r w:rsidR="00C97D81">
        <w:rPr>
          <w:rFonts w:ascii="Times New Roman" w:eastAsia="楷体" w:hAnsi="Times New Roman"/>
          <w:i/>
          <w:iCs/>
          <w:sz w:val="24"/>
          <w:szCs w:val="28"/>
        </w:rPr>
        <w:t>9</w:t>
      </w:r>
      <w:r w:rsidR="00C97D81">
        <w:rPr>
          <w:rFonts w:ascii="Times New Roman" w:eastAsia="楷体" w:hAnsi="Times New Roman"/>
          <w:i/>
          <w:iCs/>
          <w:sz w:val="24"/>
          <w:szCs w:val="28"/>
        </w:rPr>
        <w:t>7</w:t>
      </w:r>
      <w:r>
        <w:rPr>
          <w:rFonts w:ascii="Times New Roman" w:eastAsia="楷体" w:hAnsi="Times New Roman"/>
          <w:i/>
          <w:iCs/>
          <w:sz w:val="24"/>
          <w:szCs w:val="28"/>
        </w:rPr>
        <w:t>-</w:t>
      </w:r>
      <w:r w:rsidR="00DA00BD">
        <w:rPr>
          <w:rFonts w:ascii="Times New Roman" w:eastAsia="楷体" w:hAnsi="Times New Roman"/>
          <w:i/>
          <w:iCs/>
          <w:sz w:val="24"/>
          <w:szCs w:val="28"/>
        </w:rPr>
        <w:t xml:space="preserve">98, </w:t>
      </w:r>
      <w:r w:rsidR="00672C83">
        <w:rPr>
          <w:rFonts w:ascii="Times New Roman" w:eastAsia="楷体" w:hAnsi="Times New Roman"/>
          <w:i/>
          <w:iCs/>
          <w:sz w:val="24"/>
          <w:szCs w:val="28"/>
        </w:rPr>
        <w:t xml:space="preserve">and Line </w:t>
      </w:r>
      <w:r w:rsidR="00DA00BD">
        <w:rPr>
          <w:rFonts w:ascii="Times New Roman" w:eastAsia="楷体" w:hAnsi="Times New Roman"/>
          <w:i/>
          <w:iCs/>
          <w:sz w:val="24"/>
          <w:szCs w:val="28"/>
        </w:rPr>
        <w:t>100-101</w:t>
      </w:r>
      <w:r>
        <w:rPr>
          <w:rFonts w:ascii="Times New Roman" w:eastAsia="楷体" w:hAnsi="Times New Roman"/>
          <w:i/>
          <w:iCs/>
          <w:sz w:val="24"/>
          <w:szCs w:val="28"/>
        </w:rPr>
        <w:t xml:space="preserve">, Page 5; Line </w:t>
      </w:r>
      <w:r w:rsidR="00DA00BD">
        <w:rPr>
          <w:rFonts w:ascii="Times New Roman" w:eastAsia="楷体" w:hAnsi="Times New Roman"/>
          <w:i/>
          <w:iCs/>
          <w:sz w:val="24"/>
          <w:szCs w:val="28"/>
        </w:rPr>
        <w:t>1</w:t>
      </w:r>
      <w:r w:rsidR="00DA00BD">
        <w:rPr>
          <w:rFonts w:ascii="Times New Roman" w:eastAsia="楷体" w:hAnsi="Times New Roman"/>
          <w:i/>
          <w:iCs/>
          <w:sz w:val="24"/>
          <w:szCs w:val="28"/>
        </w:rPr>
        <w:t>15</w:t>
      </w:r>
      <w:r>
        <w:rPr>
          <w:rFonts w:ascii="Times New Roman" w:eastAsia="楷体" w:hAnsi="Times New Roman"/>
          <w:i/>
          <w:iCs/>
          <w:sz w:val="24"/>
          <w:szCs w:val="28"/>
        </w:rPr>
        <w:t>-</w:t>
      </w:r>
      <w:r w:rsidR="00DA00BD">
        <w:rPr>
          <w:rFonts w:ascii="Times New Roman" w:eastAsia="楷体" w:hAnsi="Times New Roman"/>
          <w:i/>
          <w:iCs/>
          <w:sz w:val="24"/>
          <w:szCs w:val="28"/>
        </w:rPr>
        <w:t>11</w:t>
      </w:r>
      <w:r w:rsidR="00DA00BD">
        <w:rPr>
          <w:rFonts w:ascii="Times New Roman" w:eastAsia="楷体" w:hAnsi="Times New Roman"/>
          <w:i/>
          <w:iCs/>
          <w:sz w:val="24"/>
          <w:szCs w:val="28"/>
        </w:rPr>
        <w:t>6</w:t>
      </w:r>
      <w:r>
        <w:rPr>
          <w:rFonts w:ascii="Times New Roman" w:eastAsia="楷体" w:hAnsi="Times New Roman"/>
          <w:i/>
          <w:iCs/>
          <w:sz w:val="24"/>
          <w:szCs w:val="28"/>
        </w:rPr>
        <w:t>, Page 6).</w:t>
      </w:r>
    </w:p>
    <w:p w14:paraId="708864EF" w14:textId="77777777" w:rsidR="00C36267" w:rsidRDefault="00C36267" w:rsidP="00D512E6">
      <w:pPr>
        <w:spacing w:line="360" w:lineRule="auto"/>
        <w:rPr>
          <w:rFonts w:ascii="Times New Roman" w:eastAsia="楷体" w:hAnsi="Times New Roman"/>
          <w:sz w:val="24"/>
          <w:szCs w:val="28"/>
        </w:rPr>
      </w:pPr>
    </w:p>
    <w:p w14:paraId="3B950F9A"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6. I am </w:t>
      </w:r>
      <w:r>
        <w:rPr>
          <w:rFonts w:ascii="Times New Roman" w:eastAsia="楷体" w:hAnsi="Times New Roman"/>
          <w:b/>
          <w:bCs/>
          <w:color w:val="000000" w:themeColor="text1"/>
          <w:sz w:val="24"/>
          <w:szCs w:val="28"/>
        </w:rPr>
        <w:t xml:space="preserve">sure in most ICSI cycles, there are immature eggs retrieved including M1 and </w:t>
      </w:r>
      <w:r>
        <w:rPr>
          <w:rFonts w:ascii="Times New Roman" w:eastAsia="楷体" w:hAnsi="Times New Roman"/>
          <w:b/>
          <w:bCs/>
          <w:sz w:val="24"/>
          <w:szCs w:val="28"/>
        </w:rPr>
        <w:t>GV. I would suggest the study includes the number/ratio of M1 and/or GV oocytes as the maturity is clearly associated to follicular sizes.</w:t>
      </w:r>
    </w:p>
    <w:p w14:paraId="60844B34" w14:textId="44190057"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would like to thank the reviewer for </w:t>
      </w:r>
      <w:r>
        <w:rPr>
          <w:rFonts w:ascii="Times New Roman" w:eastAsia="楷体" w:hAnsi="Times New Roman"/>
          <w:i/>
          <w:iCs/>
          <w:sz w:val="24"/>
          <w:szCs w:val="28"/>
        </w:rPr>
        <w:t>these further valuable insights</w:t>
      </w:r>
      <w:r>
        <w:rPr>
          <w:rFonts w:ascii="Times New Roman" w:eastAsia="楷体" w:hAnsi="Times New Roman" w:hint="eastAsia"/>
          <w:i/>
          <w:iCs/>
          <w:sz w:val="24"/>
          <w:szCs w:val="28"/>
        </w:rPr>
        <w:t>.</w:t>
      </w:r>
      <w:r>
        <w:rPr>
          <w:rFonts w:ascii="Times New Roman" w:eastAsia="楷体" w:hAnsi="Times New Roman"/>
          <w:i/>
          <w:iCs/>
          <w:sz w:val="24"/>
          <w:szCs w:val="28"/>
        </w:rPr>
        <w:t xml:space="preserve"> Several studies have shown that oocyte maturation rate is not related to follicle size (Line </w:t>
      </w:r>
      <w:r w:rsidR="00DA00BD">
        <w:rPr>
          <w:rFonts w:ascii="Times New Roman" w:eastAsia="楷体" w:hAnsi="Times New Roman"/>
          <w:i/>
          <w:iCs/>
          <w:sz w:val="24"/>
          <w:szCs w:val="28"/>
        </w:rPr>
        <w:t>4</w:t>
      </w:r>
      <w:r w:rsidR="00DA00BD">
        <w:rPr>
          <w:rFonts w:ascii="Times New Roman" w:eastAsia="楷体" w:hAnsi="Times New Roman"/>
          <w:i/>
          <w:iCs/>
          <w:sz w:val="24"/>
          <w:szCs w:val="28"/>
        </w:rPr>
        <w:t>7</w:t>
      </w:r>
      <w:r>
        <w:rPr>
          <w:rFonts w:ascii="Times New Roman" w:eastAsia="楷体" w:hAnsi="Times New Roman"/>
          <w:i/>
          <w:iCs/>
          <w:sz w:val="24"/>
          <w:szCs w:val="28"/>
        </w:rPr>
        <w:t>-</w:t>
      </w:r>
      <w:r w:rsidR="00DA00BD">
        <w:rPr>
          <w:rFonts w:ascii="Times New Roman" w:eastAsia="楷体" w:hAnsi="Times New Roman"/>
          <w:i/>
          <w:iCs/>
          <w:sz w:val="24"/>
          <w:szCs w:val="28"/>
        </w:rPr>
        <w:t>51</w:t>
      </w:r>
      <w:r>
        <w:rPr>
          <w:rFonts w:ascii="Times New Roman" w:eastAsia="楷体" w:hAnsi="Times New Roman"/>
          <w:i/>
          <w:iCs/>
          <w:sz w:val="24"/>
          <w:szCs w:val="28"/>
        </w:rPr>
        <w:t xml:space="preserve">, Page 3). There was also no statistical difference in oocyte maturation rate between DFP groups in our study (Table 1, Page </w:t>
      </w:r>
      <w:r>
        <w:rPr>
          <w:rFonts w:ascii="Times New Roman" w:eastAsia="楷体" w:hAnsi="Times New Roman"/>
          <w:i/>
          <w:iCs/>
          <w:sz w:val="24"/>
          <w:szCs w:val="28"/>
        </w:rPr>
        <w:t>16). Furthermore, we found that oocyte maturation rate was not associated with DFP in the multiple linear regression model (β ± SE: Group B vs Group A = -0.002±0.005, P = 0.727; Group C vs Group A = -0.004±0.006, P = 0.510</w:t>
      </w:r>
      <w:r>
        <w:rPr>
          <w:rFonts w:ascii="Times New Roman" w:eastAsia="楷体" w:hAnsi="Times New Roman"/>
          <w:i/>
          <w:iCs/>
          <w:sz w:val="24"/>
          <w:szCs w:val="28"/>
        </w:rPr>
        <w:t>; unpublished data</w:t>
      </w:r>
      <w:r>
        <w:rPr>
          <w:rFonts w:ascii="Times New Roman" w:eastAsia="楷体" w:hAnsi="Times New Roman"/>
          <w:i/>
          <w:iCs/>
          <w:sz w:val="24"/>
          <w:szCs w:val="28"/>
        </w:rPr>
        <w:t>)</w:t>
      </w:r>
      <w:r>
        <w:rPr>
          <w:rFonts w:ascii="Times New Roman" w:eastAsia="楷体" w:hAnsi="Times New Roman" w:hint="eastAsia"/>
          <w:i/>
          <w:iCs/>
          <w:sz w:val="24"/>
          <w:szCs w:val="28"/>
        </w:rPr>
        <w:t xml:space="preserve">. </w:t>
      </w:r>
      <w:r>
        <w:rPr>
          <w:rFonts w:ascii="Times New Roman" w:eastAsia="楷体" w:hAnsi="Times New Roman" w:hint="eastAsia"/>
          <w:i/>
          <w:iCs/>
          <w:sz w:val="24"/>
          <w:szCs w:val="28"/>
        </w:rPr>
        <w:t>I</w:t>
      </w:r>
      <w:r>
        <w:rPr>
          <w:rFonts w:ascii="Times New Roman" w:eastAsia="楷体" w:hAnsi="Times New Roman"/>
          <w:i/>
          <w:iCs/>
          <w:sz w:val="24"/>
          <w:szCs w:val="28"/>
        </w:rPr>
        <w:t xml:space="preserve">n </w:t>
      </w:r>
      <w:r>
        <w:rPr>
          <w:rFonts w:ascii="Times New Roman" w:eastAsia="楷体" w:hAnsi="Times New Roman"/>
          <w:i/>
          <w:iCs/>
          <w:sz w:val="24"/>
          <w:szCs w:val="28"/>
        </w:rPr>
        <w:t>addition, the risk of low oocyte maturation rate was not associated with DFP in the logistic regression model (OR: Group B vs Group A = 1.121, P = 0.633; Group C vs Group A = 1.368, P = 0.230; unpublished data).</w:t>
      </w:r>
      <w:r>
        <w:t xml:space="preserve"> </w:t>
      </w:r>
      <w:r>
        <w:rPr>
          <w:rFonts w:ascii="Times New Roman" w:eastAsia="楷体" w:hAnsi="Times New Roman"/>
          <w:i/>
          <w:iCs/>
          <w:sz w:val="24"/>
          <w:szCs w:val="28"/>
        </w:rPr>
        <w:t xml:space="preserve">The main aim of our study was to derive the </w:t>
      </w:r>
      <w:r>
        <w:rPr>
          <w:rFonts w:ascii="Times New Roman" w:eastAsia="楷体" w:hAnsi="Times New Roman"/>
          <w:i/>
          <w:iCs/>
          <w:sz w:val="24"/>
          <w:szCs w:val="28"/>
        </w:rPr>
        <w:t xml:space="preserve">relationship between DFP and clinical </w:t>
      </w:r>
      <w:r>
        <w:rPr>
          <w:rFonts w:ascii="Times New Roman" w:eastAsia="楷体" w:hAnsi="Times New Roman"/>
          <w:i/>
          <w:iCs/>
          <w:sz w:val="24"/>
          <w:szCs w:val="28"/>
        </w:rPr>
        <w:lastRenderedPageBreak/>
        <w:t>outcomes. Only MII stage oocytes were selected for single sperm injection in ICSI, so</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we did not include the number/ratio of M1 and/or GV oocytes in this large-scale study. </w:t>
      </w:r>
    </w:p>
    <w:p w14:paraId="4E45F5F0" w14:textId="77777777" w:rsidR="00C36267" w:rsidRDefault="00C36267" w:rsidP="00D512E6">
      <w:pPr>
        <w:spacing w:line="360" w:lineRule="auto"/>
        <w:rPr>
          <w:rFonts w:ascii="Times New Roman" w:eastAsia="楷体" w:hAnsi="Times New Roman"/>
          <w:sz w:val="24"/>
          <w:szCs w:val="28"/>
        </w:rPr>
      </w:pPr>
    </w:p>
    <w:p w14:paraId="6CF8CF2D"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7. It is necessary to add completed descrip</w:t>
      </w:r>
      <w:r>
        <w:rPr>
          <w:rFonts w:ascii="Times New Roman" w:eastAsia="楷体" w:hAnsi="Times New Roman"/>
          <w:b/>
          <w:bCs/>
          <w:color w:val="000000" w:themeColor="text1"/>
          <w:sz w:val="24"/>
          <w:szCs w:val="28"/>
        </w:rPr>
        <w:t xml:space="preserve">tion to "Material and methods" including </w:t>
      </w:r>
      <w:r>
        <w:rPr>
          <w:rFonts w:ascii="Times New Roman" w:eastAsia="楷体" w:hAnsi="Times New Roman"/>
          <w:b/>
          <w:bCs/>
          <w:sz w:val="24"/>
          <w:szCs w:val="28"/>
        </w:rPr>
        <w:t>Oocyte maturation evaluation protocol in both IVF and ICSI cycles, Embryo culture protocol, Embryo transfer protocol (Day 3 or Day 5 transfer) et al.</w:t>
      </w:r>
    </w:p>
    <w:p w14:paraId="2030ED22" w14:textId="264D5A68"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would like to thank the reviewers for his/her time and effort </w:t>
      </w:r>
      <w:r>
        <w:rPr>
          <w:rFonts w:ascii="Times New Roman" w:eastAsia="楷体" w:hAnsi="Times New Roman"/>
          <w:i/>
          <w:iCs/>
          <w:sz w:val="24"/>
          <w:szCs w:val="28"/>
        </w:rPr>
        <w:t>reviewing our manuscript and we now provide</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more in-depth descriptions </w:t>
      </w:r>
      <w:r>
        <w:rPr>
          <w:rFonts w:ascii="Times New Roman" w:eastAsia="楷体" w:hAnsi="Times New Roman" w:hint="eastAsia"/>
          <w:i/>
          <w:iCs/>
          <w:sz w:val="24"/>
          <w:szCs w:val="28"/>
        </w:rPr>
        <w:t>of</w:t>
      </w:r>
      <w:r>
        <w:rPr>
          <w:rFonts w:ascii="Times New Roman" w:eastAsia="楷体" w:hAnsi="Times New Roman"/>
          <w:i/>
          <w:iCs/>
          <w:sz w:val="24"/>
          <w:szCs w:val="28"/>
        </w:rPr>
        <w:t xml:space="preserve"> oocyte maturation evaluation protocol in both IVF and ICSI cycles </w:t>
      </w:r>
      <w:r>
        <w:rPr>
          <w:rFonts w:ascii="Times New Roman" w:eastAsia="楷体" w:hAnsi="Times New Roman" w:hint="eastAsia"/>
          <w:i/>
          <w:iCs/>
          <w:sz w:val="24"/>
          <w:szCs w:val="28"/>
        </w:rPr>
        <w:t>(</w:t>
      </w:r>
      <w:r>
        <w:rPr>
          <w:rFonts w:ascii="Times New Roman" w:eastAsia="楷体" w:hAnsi="Times New Roman"/>
          <w:i/>
          <w:iCs/>
          <w:sz w:val="24"/>
          <w:szCs w:val="28"/>
        </w:rPr>
        <w:t xml:space="preserve">Line </w:t>
      </w:r>
      <w:r w:rsidR="006203D8">
        <w:rPr>
          <w:rFonts w:ascii="Times New Roman" w:eastAsia="楷体" w:hAnsi="Times New Roman"/>
          <w:i/>
          <w:iCs/>
          <w:sz w:val="24"/>
          <w:szCs w:val="28"/>
        </w:rPr>
        <w:t>9</w:t>
      </w:r>
      <w:r w:rsidR="006203D8">
        <w:rPr>
          <w:rFonts w:ascii="Times New Roman" w:eastAsia="楷体" w:hAnsi="Times New Roman"/>
          <w:i/>
          <w:iCs/>
          <w:sz w:val="24"/>
          <w:szCs w:val="28"/>
        </w:rPr>
        <w:t>7</w:t>
      </w:r>
      <w:r>
        <w:rPr>
          <w:rFonts w:ascii="Times New Roman" w:eastAsia="楷体" w:hAnsi="Times New Roman"/>
          <w:i/>
          <w:iCs/>
          <w:sz w:val="24"/>
          <w:szCs w:val="28"/>
        </w:rPr>
        <w:t>-</w:t>
      </w:r>
      <w:r w:rsidR="006203D8">
        <w:rPr>
          <w:rFonts w:ascii="Times New Roman" w:eastAsia="楷体" w:hAnsi="Times New Roman"/>
          <w:i/>
          <w:iCs/>
          <w:sz w:val="24"/>
          <w:szCs w:val="28"/>
        </w:rPr>
        <w:t>101</w:t>
      </w:r>
      <w:r>
        <w:rPr>
          <w:rFonts w:ascii="Times New Roman" w:eastAsia="楷体" w:hAnsi="Times New Roman"/>
          <w:i/>
          <w:iCs/>
          <w:sz w:val="24"/>
          <w:szCs w:val="28"/>
        </w:rPr>
        <w:t xml:space="preserve">, Page 5; </w:t>
      </w:r>
      <w:r w:rsidR="006203D8">
        <w:rPr>
          <w:rFonts w:ascii="Times New Roman" w:eastAsia="楷体" w:hAnsi="Times New Roman"/>
          <w:i/>
          <w:iCs/>
          <w:sz w:val="24"/>
          <w:szCs w:val="28"/>
        </w:rPr>
        <w:t xml:space="preserve">Line </w:t>
      </w:r>
      <w:r w:rsidR="006203D8">
        <w:rPr>
          <w:rFonts w:ascii="Times New Roman" w:eastAsia="楷体" w:hAnsi="Times New Roman"/>
          <w:i/>
          <w:iCs/>
          <w:sz w:val="24"/>
          <w:szCs w:val="28"/>
        </w:rPr>
        <w:t>1</w:t>
      </w:r>
      <w:r w:rsidR="006203D8">
        <w:rPr>
          <w:rFonts w:ascii="Times New Roman" w:eastAsia="楷体" w:hAnsi="Times New Roman"/>
          <w:i/>
          <w:iCs/>
          <w:sz w:val="24"/>
          <w:szCs w:val="28"/>
        </w:rPr>
        <w:t>15</w:t>
      </w:r>
      <w:r>
        <w:rPr>
          <w:rFonts w:ascii="Times New Roman" w:eastAsia="楷体" w:hAnsi="Times New Roman"/>
          <w:i/>
          <w:iCs/>
          <w:sz w:val="24"/>
          <w:szCs w:val="28"/>
        </w:rPr>
        <w:t>-</w:t>
      </w:r>
      <w:r w:rsidR="006203D8">
        <w:rPr>
          <w:rFonts w:ascii="Times New Roman" w:eastAsia="楷体" w:hAnsi="Times New Roman"/>
          <w:i/>
          <w:iCs/>
          <w:sz w:val="24"/>
          <w:szCs w:val="28"/>
        </w:rPr>
        <w:t>1</w:t>
      </w:r>
      <w:r w:rsidR="006203D8">
        <w:rPr>
          <w:rFonts w:ascii="Times New Roman" w:eastAsia="楷体" w:hAnsi="Times New Roman"/>
          <w:i/>
          <w:iCs/>
          <w:sz w:val="24"/>
          <w:szCs w:val="28"/>
        </w:rPr>
        <w:t>16</w:t>
      </w:r>
      <w:r>
        <w:rPr>
          <w:rFonts w:ascii="Times New Roman" w:eastAsia="楷体" w:hAnsi="Times New Roman"/>
          <w:i/>
          <w:iCs/>
          <w:sz w:val="24"/>
          <w:szCs w:val="28"/>
        </w:rPr>
        <w:t xml:space="preserve">, Page 6), embryo culture protocol (Line </w:t>
      </w:r>
      <w:r w:rsidR="006203D8">
        <w:rPr>
          <w:rFonts w:ascii="Times New Roman" w:eastAsia="楷体" w:hAnsi="Times New Roman"/>
          <w:i/>
          <w:iCs/>
          <w:sz w:val="24"/>
          <w:szCs w:val="28"/>
        </w:rPr>
        <w:t>105</w:t>
      </w:r>
      <w:r>
        <w:rPr>
          <w:rFonts w:ascii="Times New Roman" w:eastAsia="楷体" w:hAnsi="Times New Roman"/>
          <w:i/>
          <w:iCs/>
          <w:sz w:val="24"/>
          <w:szCs w:val="28"/>
        </w:rPr>
        <w:t>-</w:t>
      </w:r>
      <w:r w:rsidR="006203D8">
        <w:rPr>
          <w:rFonts w:ascii="Times New Roman" w:eastAsia="楷体" w:hAnsi="Times New Roman"/>
          <w:i/>
          <w:iCs/>
          <w:sz w:val="24"/>
          <w:szCs w:val="28"/>
        </w:rPr>
        <w:t>107</w:t>
      </w:r>
      <w:r>
        <w:rPr>
          <w:rFonts w:ascii="Times New Roman" w:eastAsia="楷体" w:hAnsi="Times New Roman"/>
          <w:i/>
          <w:iCs/>
          <w:sz w:val="24"/>
          <w:szCs w:val="28"/>
        </w:rPr>
        <w:t xml:space="preserve">, Page 5), embryo transfer protocol (Line </w:t>
      </w:r>
      <w:r w:rsidR="006203D8">
        <w:rPr>
          <w:rFonts w:ascii="Times New Roman" w:eastAsia="楷体" w:hAnsi="Times New Roman"/>
          <w:i/>
          <w:iCs/>
          <w:sz w:val="24"/>
          <w:szCs w:val="28"/>
        </w:rPr>
        <w:t>103</w:t>
      </w:r>
      <w:r>
        <w:rPr>
          <w:rFonts w:ascii="Times New Roman" w:eastAsia="楷体" w:hAnsi="Times New Roman"/>
          <w:i/>
          <w:iCs/>
          <w:sz w:val="24"/>
          <w:szCs w:val="28"/>
        </w:rPr>
        <w:t>-</w:t>
      </w:r>
      <w:r w:rsidR="006203D8">
        <w:rPr>
          <w:rFonts w:ascii="Times New Roman" w:eastAsia="楷体" w:hAnsi="Times New Roman"/>
          <w:i/>
          <w:iCs/>
          <w:sz w:val="24"/>
          <w:szCs w:val="28"/>
        </w:rPr>
        <w:t>105</w:t>
      </w:r>
      <w:r>
        <w:rPr>
          <w:rFonts w:ascii="Times New Roman" w:eastAsia="楷体" w:hAnsi="Times New Roman"/>
          <w:i/>
          <w:iCs/>
          <w:sz w:val="24"/>
          <w:szCs w:val="28"/>
        </w:rPr>
        <w:t>, Page 5) in "Material and methods".</w:t>
      </w:r>
    </w:p>
    <w:p w14:paraId="1005E787" w14:textId="77777777" w:rsidR="00C36267" w:rsidRDefault="00C36267" w:rsidP="00D512E6">
      <w:pPr>
        <w:spacing w:line="360" w:lineRule="auto"/>
        <w:rPr>
          <w:rFonts w:ascii="Times New Roman" w:eastAsia="楷体" w:hAnsi="Times New Roman"/>
          <w:sz w:val="24"/>
          <w:szCs w:val="28"/>
        </w:rPr>
      </w:pPr>
    </w:p>
    <w:p w14:paraId="4D8FE608" w14:textId="77777777" w:rsidR="00C36267" w:rsidRDefault="00C36267" w:rsidP="00D512E6">
      <w:pPr>
        <w:spacing w:line="360" w:lineRule="auto"/>
        <w:rPr>
          <w:rFonts w:ascii="Times New Roman" w:eastAsia="楷体" w:hAnsi="Times New Roman"/>
          <w:sz w:val="24"/>
          <w:szCs w:val="28"/>
        </w:rPr>
      </w:pPr>
    </w:p>
    <w:p w14:paraId="24789F65"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sz w:val="24"/>
          <w:szCs w:val="28"/>
        </w:rPr>
        <w:t>Associate Editor comments</w:t>
      </w:r>
    </w:p>
    <w:p w14:paraId="42879B0A"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The study is very interesting but it needs extensive revision by expert mother tongue </w:t>
      </w:r>
      <w:r>
        <w:rPr>
          <w:rFonts w:ascii="Times New Roman" w:eastAsia="楷体" w:hAnsi="Times New Roman"/>
          <w:b/>
          <w:bCs/>
          <w:sz w:val="24"/>
          <w:szCs w:val="28"/>
        </w:rPr>
        <w:t>scientific writer. The Authors should improve their paper following the Reviewer' comments.</w:t>
      </w:r>
    </w:p>
    <w:p w14:paraId="6753B50F" w14:textId="2233A837"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We are g</w:t>
      </w:r>
      <w:r>
        <w:rPr>
          <w:rFonts w:ascii="Times New Roman" w:eastAsia="楷体" w:hAnsi="Times New Roman"/>
          <w:i/>
          <w:iCs/>
          <w:sz w:val="24"/>
          <w:szCs w:val="28"/>
        </w:rPr>
        <w:t xml:space="preserve">rateful for the </w:t>
      </w:r>
      <w:r>
        <w:rPr>
          <w:rFonts w:ascii="Times New Roman" w:eastAsia="楷体" w:hAnsi="Times New Roman" w:hint="eastAsia"/>
          <w:i/>
          <w:iCs/>
          <w:sz w:val="24"/>
          <w:szCs w:val="28"/>
        </w:rPr>
        <w:t>editor</w:t>
      </w:r>
      <w:r>
        <w:rPr>
          <w:rFonts w:ascii="Times New Roman" w:eastAsia="楷体" w:hAnsi="Times New Roman"/>
          <w:i/>
          <w:iCs/>
          <w:sz w:val="24"/>
          <w:szCs w:val="28"/>
        </w:rPr>
        <w:t>’s positive evaluation and constructive criticism of our work.</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We have asked an expert mother tongue scientific writer to polish our paper. </w:t>
      </w:r>
      <w:r w:rsidR="001172F1" w:rsidRPr="001172F1">
        <w:rPr>
          <w:rFonts w:ascii="Times New Roman" w:eastAsia="楷体" w:hAnsi="Times New Roman"/>
          <w:i/>
          <w:iCs/>
          <w:sz w:val="24"/>
          <w:szCs w:val="28"/>
        </w:rPr>
        <w:t xml:space="preserve">Those changes are </w:t>
      </w:r>
      <w:proofErr w:type="spellStart"/>
      <w:r w:rsidR="001172F1" w:rsidRPr="001172F1">
        <w:rPr>
          <w:rFonts w:ascii="Times New Roman" w:eastAsia="楷体" w:hAnsi="Times New Roman"/>
          <w:i/>
          <w:iCs/>
          <w:sz w:val="24"/>
          <w:szCs w:val="28"/>
        </w:rPr>
        <w:t>underlighted</w:t>
      </w:r>
      <w:proofErr w:type="spellEnd"/>
      <w:r w:rsidR="001172F1" w:rsidRPr="001172F1">
        <w:rPr>
          <w:rFonts w:ascii="Times New Roman" w:eastAsia="楷体" w:hAnsi="Times New Roman"/>
          <w:i/>
          <w:iCs/>
          <w:sz w:val="24"/>
          <w:szCs w:val="28"/>
        </w:rPr>
        <w:t xml:space="preserve"> within the revised manuscript.</w:t>
      </w:r>
      <w:r w:rsidR="001172F1">
        <w:rPr>
          <w:rFonts w:ascii="Times New Roman" w:eastAsia="楷体" w:hAnsi="Times New Roman"/>
          <w:i/>
          <w:iCs/>
          <w:sz w:val="24"/>
          <w:szCs w:val="28"/>
        </w:rPr>
        <w:t xml:space="preserve"> </w:t>
      </w:r>
      <w:r>
        <w:rPr>
          <w:rFonts w:ascii="Times New Roman" w:eastAsia="楷体" w:hAnsi="Times New Roman"/>
          <w:i/>
          <w:iCs/>
          <w:sz w:val="24"/>
          <w:szCs w:val="28"/>
        </w:rPr>
        <w:t xml:space="preserve">And we have improved the paper following the Reviewer’ comments in the revised </w:t>
      </w:r>
      <w:r>
        <w:rPr>
          <w:rFonts w:ascii="Times New Roman" w:eastAsia="楷体" w:hAnsi="Times New Roman"/>
          <w:i/>
          <w:iCs/>
          <w:sz w:val="24"/>
          <w:szCs w:val="28"/>
        </w:rPr>
        <w:t>manuscript</w:t>
      </w:r>
      <w:r>
        <w:rPr>
          <w:rFonts w:ascii="Times New Roman" w:eastAsia="楷体" w:hAnsi="Times New Roman" w:hint="eastAsia"/>
          <w:i/>
          <w:iCs/>
          <w:sz w:val="24"/>
          <w:szCs w:val="28"/>
        </w:rPr>
        <w:t xml:space="preserve"> </w:t>
      </w:r>
      <w:r>
        <w:rPr>
          <w:rFonts w:ascii="Times New Roman" w:eastAsia="楷体" w:hAnsi="Times New Roman" w:hint="eastAsia"/>
          <w:i/>
          <w:iCs/>
          <w:sz w:val="24"/>
          <w:szCs w:val="28"/>
        </w:rPr>
        <w:t>point to point</w:t>
      </w:r>
      <w:r>
        <w:rPr>
          <w:rFonts w:ascii="Times New Roman" w:eastAsia="楷体" w:hAnsi="Times New Roman"/>
          <w:i/>
          <w:iCs/>
          <w:sz w:val="24"/>
          <w:szCs w:val="28"/>
        </w:rPr>
        <w:t>.</w:t>
      </w:r>
    </w:p>
    <w:p w14:paraId="1155E5E8" w14:textId="77777777" w:rsidR="00C36267" w:rsidRDefault="00C36267" w:rsidP="00D512E6">
      <w:pPr>
        <w:spacing w:line="360" w:lineRule="auto"/>
        <w:rPr>
          <w:rFonts w:ascii="Times New Roman" w:eastAsia="楷体" w:hAnsi="Times New Roman"/>
          <w:sz w:val="24"/>
          <w:szCs w:val="28"/>
        </w:rPr>
      </w:pPr>
    </w:p>
    <w:p w14:paraId="2761A683"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In my opinion, they should underline in the title and in the text that the findings regard </w:t>
      </w:r>
      <w:r>
        <w:rPr>
          <w:rFonts w:ascii="Times New Roman" w:eastAsia="楷体" w:hAnsi="Times New Roman"/>
          <w:b/>
          <w:bCs/>
          <w:sz w:val="24"/>
          <w:szCs w:val="28"/>
        </w:rPr>
        <w:t>potentially good responder patients who received a GnRH agonist protocol.</w:t>
      </w:r>
    </w:p>
    <w:p w14:paraId="683DB007" w14:textId="2FA45098"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are grateful to the editor, and we now underline in the </w:t>
      </w:r>
      <w:r>
        <w:rPr>
          <w:rFonts w:ascii="Times New Roman" w:eastAsia="楷体" w:hAnsi="Times New Roman"/>
          <w:i/>
          <w:iCs/>
          <w:sz w:val="24"/>
          <w:szCs w:val="28"/>
        </w:rPr>
        <w:t xml:space="preserve">title and in the text that the findings regard normal ovarian responders using the depot </w:t>
      </w:r>
      <w:r w:rsidR="00A608A3">
        <w:rPr>
          <w:rFonts w:ascii="Times New Roman" w:eastAsia="楷体" w:hAnsi="Times New Roman"/>
          <w:i/>
          <w:iCs/>
          <w:sz w:val="24"/>
          <w:szCs w:val="28"/>
        </w:rPr>
        <w:t>GnRH</w:t>
      </w:r>
      <w:r w:rsidR="00A608A3">
        <w:rPr>
          <w:rFonts w:ascii="Times New Roman" w:eastAsia="楷体" w:hAnsi="Times New Roman"/>
          <w:i/>
          <w:iCs/>
          <w:sz w:val="24"/>
          <w:szCs w:val="28"/>
        </w:rPr>
        <w:t xml:space="preserve"> agonist</w:t>
      </w:r>
      <w:r w:rsidR="00A608A3">
        <w:rPr>
          <w:rFonts w:ascii="Times New Roman" w:eastAsia="楷体" w:hAnsi="Times New Roman"/>
          <w:i/>
          <w:iCs/>
          <w:sz w:val="24"/>
          <w:szCs w:val="28"/>
        </w:rPr>
        <w:t xml:space="preserve"> </w:t>
      </w:r>
      <w:r>
        <w:rPr>
          <w:rFonts w:ascii="Times New Roman" w:eastAsia="楷体" w:hAnsi="Times New Roman"/>
          <w:i/>
          <w:iCs/>
          <w:sz w:val="24"/>
          <w:szCs w:val="28"/>
        </w:rPr>
        <w:t xml:space="preserve">protocol (Title, Page 1; Line </w:t>
      </w:r>
      <w:r w:rsidR="004861BD">
        <w:rPr>
          <w:rFonts w:ascii="Times New Roman" w:eastAsia="楷体" w:hAnsi="Times New Roman"/>
          <w:i/>
          <w:iCs/>
          <w:sz w:val="24"/>
          <w:szCs w:val="28"/>
        </w:rPr>
        <w:t>14</w:t>
      </w:r>
      <w:r>
        <w:rPr>
          <w:rFonts w:ascii="Times New Roman" w:eastAsia="楷体" w:hAnsi="Times New Roman"/>
          <w:i/>
          <w:iCs/>
          <w:sz w:val="24"/>
          <w:szCs w:val="28"/>
        </w:rPr>
        <w:t>-</w:t>
      </w:r>
      <w:r w:rsidR="004861BD">
        <w:rPr>
          <w:rFonts w:ascii="Times New Roman" w:eastAsia="楷体" w:hAnsi="Times New Roman"/>
          <w:i/>
          <w:iCs/>
          <w:sz w:val="24"/>
          <w:szCs w:val="28"/>
        </w:rPr>
        <w:t>16</w:t>
      </w:r>
      <w:r>
        <w:rPr>
          <w:rFonts w:ascii="Times New Roman" w:eastAsia="楷体" w:hAnsi="Times New Roman"/>
          <w:i/>
          <w:iCs/>
          <w:sz w:val="24"/>
          <w:szCs w:val="28"/>
        </w:rPr>
        <w:t xml:space="preserve">, </w:t>
      </w:r>
      <w:r w:rsidR="004861BD">
        <w:rPr>
          <w:rFonts w:ascii="Times New Roman" w:eastAsia="楷体" w:hAnsi="Times New Roman"/>
          <w:i/>
          <w:iCs/>
          <w:sz w:val="24"/>
          <w:szCs w:val="28"/>
        </w:rPr>
        <w:t xml:space="preserve">and Line 30, </w:t>
      </w:r>
      <w:r>
        <w:rPr>
          <w:rFonts w:ascii="Times New Roman" w:eastAsia="楷体" w:hAnsi="Times New Roman"/>
          <w:i/>
          <w:iCs/>
          <w:sz w:val="24"/>
          <w:szCs w:val="28"/>
        </w:rPr>
        <w:t xml:space="preserve">Page </w:t>
      </w:r>
      <w:r w:rsidR="004861BD">
        <w:rPr>
          <w:rFonts w:ascii="Times New Roman" w:eastAsia="楷体" w:hAnsi="Times New Roman"/>
          <w:i/>
          <w:iCs/>
          <w:sz w:val="24"/>
          <w:szCs w:val="28"/>
        </w:rPr>
        <w:t>1</w:t>
      </w:r>
      <w:r>
        <w:rPr>
          <w:rFonts w:ascii="Times New Roman" w:eastAsia="楷体" w:hAnsi="Times New Roman"/>
          <w:i/>
          <w:iCs/>
          <w:sz w:val="24"/>
          <w:szCs w:val="28"/>
        </w:rPr>
        <w:t xml:space="preserve">; Line </w:t>
      </w:r>
      <w:r w:rsidR="004861BD">
        <w:rPr>
          <w:rFonts w:ascii="Times New Roman" w:eastAsia="楷体" w:hAnsi="Times New Roman"/>
          <w:i/>
          <w:iCs/>
          <w:sz w:val="24"/>
          <w:szCs w:val="28"/>
        </w:rPr>
        <w:t>2</w:t>
      </w:r>
      <w:r w:rsidR="004861BD">
        <w:rPr>
          <w:rFonts w:ascii="Times New Roman" w:eastAsia="楷体" w:hAnsi="Times New Roman"/>
          <w:i/>
          <w:iCs/>
          <w:sz w:val="24"/>
          <w:szCs w:val="28"/>
        </w:rPr>
        <w:t>17</w:t>
      </w:r>
      <w:r>
        <w:rPr>
          <w:rFonts w:ascii="Times New Roman" w:eastAsia="楷体" w:hAnsi="Times New Roman"/>
          <w:i/>
          <w:iCs/>
          <w:sz w:val="24"/>
          <w:szCs w:val="28"/>
        </w:rPr>
        <w:t>-</w:t>
      </w:r>
      <w:r w:rsidR="004861BD">
        <w:rPr>
          <w:rFonts w:ascii="Times New Roman" w:eastAsia="楷体" w:hAnsi="Times New Roman"/>
          <w:i/>
          <w:iCs/>
          <w:sz w:val="24"/>
          <w:szCs w:val="28"/>
        </w:rPr>
        <w:t>2</w:t>
      </w:r>
      <w:r w:rsidR="004861BD">
        <w:rPr>
          <w:rFonts w:ascii="Times New Roman" w:eastAsia="楷体" w:hAnsi="Times New Roman"/>
          <w:i/>
          <w:iCs/>
          <w:sz w:val="24"/>
          <w:szCs w:val="28"/>
        </w:rPr>
        <w:t>19</w:t>
      </w:r>
      <w:r>
        <w:rPr>
          <w:rFonts w:ascii="Times New Roman" w:eastAsia="楷体" w:hAnsi="Times New Roman"/>
          <w:i/>
          <w:iCs/>
          <w:sz w:val="24"/>
          <w:szCs w:val="28"/>
        </w:rPr>
        <w:t xml:space="preserve">, Page 10; Line </w:t>
      </w:r>
      <w:r w:rsidR="004861BD">
        <w:rPr>
          <w:rFonts w:ascii="Times New Roman" w:eastAsia="楷体" w:hAnsi="Times New Roman"/>
          <w:i/>
          <w:iCs/>
          <w:sz w:val="24"/>
          <w:szCs w:val="28"/>
        </w:rPr>
        <w:t>2</w:t>
      </w:r>
      <w:r w:rsidR="004861BD">
        <w:rPr>
          <w:rFonts w:ascii="Times New Roman" w:eastAsia="楷体" w:hAnsi="Times New Roman"/>
          <w:i/>
          <w:iCs/>
          <w:sz w:val="24"/>
          <w:szCs w:val="28"/>
        </w:rPr>
        <w:t>27</w:t>
      </w:r>
      <w:r>
        <w:rPr>
          <w:rFonts w:ascii="Times New Roman" w:eastAsia="楷体" w:hAnsi="Times New Roman"/>
          <w:i/>
          <w:iCs/>
          <w:sz w:val="24"/>
          <w:szCs w:val="28"/>
        </w:rPr>
        <w:t xml:space="preserve">, Page </w:t>
      </w:r>
      <w:r w:rsidR="004861BD">
        <w:rPr>
          <w:rFonts w:ascii="Times New Roman" w:eastAsia="楷体" w:hAnsi="Times New Roman"/>
          <w:i/>
          <w:iCs/>
          <w:sz w:val="24"/>
          <w:szCs w:val="28"/>
        </w:rPr>
        <w:t>1</w:t>
      </w:r>
      <w:r w:rsidR="004861BD">
        <w:rPr>
          <w:rFonts w:ascii="Times New Roman" w:eastAsia="楷体" w:hAnsi="Times New Roman"/>
          <w:i/>
          <w:iCs/>
          <w:sz w:val="24"/>
          <w:szCs w:val="28"/>
        </w:rPr>
        <w:t>1</w:t>
      </w:r>
      <w:r>
        <w:rPr>
          <w:rFonts w:ascii="Times New Roman" w:eastAsia="楷体" w:hAnsi="Times New Roman"/>
          <w:i/>
          <w:iCs/>
          <w:sz w:val="24"/>
          <w:szCs w:val="28"/>
        </w:rPr>
        <w:t>).</w:t>
      </w:r>
    </w:p>
    <w:p w14:paraId="2196DE7A" w14:textId="77777777" w:rsidR="00C36267" w:rsidRDefault="00C36267" w:rsidP="00D512E6">
      <w:pPr>
        <w:spacing w:line="360" w:lineRule="auto"/>
        <w:rPr>
          <w:rFonts w:ascii="Times New Roman" w:eastAsia="楷体" w:hAnsi="Times New Roman"/>
          <w:sz w:val="24"/>
          <w:szCs w:val="28"/>
        </w:rPr>
      </w:pPr>
    </w:p>
    <w:p w14:paraId="33E1B14F"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lastRenderedPageBreak/>
        <w:t>They should clarify if excluded or included (and in this case the pr</w:t>
      </w:r>
      <w:r>
        <w:rPr>
          <w:rFonts w:ascii="Times New Roman" w:eastAsia="楷体" w:hAnsi="Times New Roman"/>
          <w:b/>
          <w:bCs/>
          <w:color w:val="000000" w:themeColor="text1"/>
          <w:sz w:val="24"/>
          <w:szCs w:val="28"/>
        </w:rPr>
        <w:t xml:space="preserve">oportion) women </w:t>
      </w:r>
      <w:r>
        <w:rPr>
          <w:rFonts w:ascii="Times New Roman" w:eastAsia="楷体" w:hAnsi="Times New Roman"/>
          <w:b/>
          <w:bCs/>
          <w:sz w:val="24"/>
          <w:szCs w:val="28"/>
        </w:rPr>
        <w:t>with PCOS.</w:t>
      </w:r>
    </w:p>
    <w:p w14:paraId="745BE602" w14:textId="019C3FB4"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are grateful for the editor’s suggestion, and now clarify that women with PCOS were excluded in this study (Line </w:t>
      </w:r>
      <w:r w:rsidR="004861BD">
        <w:rPr>
          <w:rFonts w:ascii="Times New Roman" w:eastAsia="楷体" w:hAnsi="Times New Roman"/>
          <w:i/>
          <w:iCs/>
          <w:sz w:val="24"/>
          <w:szCs w:val="28"/>
        </w:rPr>
        <w:t>8</w:t>
      </w:r>
      <w:r w:rsidR="004861BD">
        <w:rPr>
          <w:rFonts w:ascii="Times New Roman" w:eastAsia="楷体" w:hAnsi="Times New Roman"/>
          <w:i/>
          <w:iCs/>
          <w:sz w:val="24"/>
          <w:szCs w:val="28"/>
        </w:rPr>
        <w:t>5</w:t>
      </w:r>
      <w:r>
        <w:rPr>
          <w:rFonts w:ascii="Times New Roman" w:eastAsia="楷体" w:hAnsi="Times New Roman"/>
          <w:i/>
          <w:iCs/>
          <w:sz w:val="24"/>
          <w:szCs w:val="28"/>
        </w:rPr>
        <w:t xml:space="preserve">, Page </w:t>
      </w:r>
      <w:r w:rsidR="004861BD">
        <w:rPr>
          <w:rFonts w:ascii="Times New Roman" w:eastAsia="楷体" w:hAnsi="Times New Roman"/>
          <w:i/>
          <w:iCs/>
          <w:sz w:val="24"/>
          <w:szCs w:val="28"/>
        </w:rPr>
        <w:t>5</w:t>
      </w:r>
      <w:r>
        <w:rPr>
          <w:rFonts w:ascii="Times New Roman" w:eastAsia="楷体" w:hAnsi="Times New Roman"/>
          <w:i/>
          <w:iCs/>
          <w:sz w:val="24"/>
          <w:szCs w:val="28"/>
        </w:rPr>
        <w:t xml:space="preserve">). </w:t>
      </w:r>
    </w:p>
    <w:p w14:paraId="0493D16B" w14:textId="77777777" w:rsidR="00C36267" w:rsidRDefault="00C36267" w:rsidP="00D512E6">
      <w:pPr>
        <w:spacing w:line="360" w:lineRule="auto"/>
        <w:rPr>
          <w:rFonts w:ascii="Times New Roman" w:eastAsia="楷体" w:hAnsi="Times New Roman"/>
          <w:sz w:val="24"/>
          <w:szCs w:val="28"/>
        </w:rPr>
      </w:pPr>
    </w:p>
    <w:p w14:paraId="35D59E8F"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I did not understand the evaluation of follicles less than 5mm as criteria to start </w:t>
      </w:r>
      <w:r>
        <w:rPr>
          <w:rFonts w:ascii="Times New Roman" w:eastAsia="楷体" w:hAnsi="Times New Roman"/>
          <w:b/>
          <w:bCs/>
          <w:sz w:val="24"/>
          <w:szCs w:val="28"/>
        </w:rPr>
        <w:t>ovulation indu</w:t>
      </w:r>
      <w:r>
        <w:rPr>
          <w:rFonts w:ascii="Times New Roman" w:eastAsia="楷体" w:hAnsi="Times New Roman"/>
          <w:b/>
          <w:bCs/>
          <w:sz w:val="24"/>
          <w:szCs w:val="28"/>
        </w:rPr>
        <w:t>ction.</w:t>
      </w:r>
    </w:p>
    <w:p w14:paraId="5F309FA0" w14:textId="7191989F"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would like to thank the </w:t>
      </w:r>
      <w:r>
        <w:rPr>
          <w:rFonts w:ascii="Times New Roman" w:eastAsia="楷体" w:hAnsi="Times New Roman" w:hint="eastAsia"/>
          <w:i/>
          <w:iCs/>
          <w:sz w:val="24"/>
          <w:szCs w:val="28"/>
        </w:rPr>
        <w:t>editor</w:t>
      </w:r>
      <w:r>
        <w:rPr>
          <w:rFonts w:ascii="Times New Roman" w:eastAsia="楷体" w:hAnsi="Times New Roman"/>
          <w:i/>
          <w:iCs/>
          <w:sz w:val="24"/>
          <w:szCs w:val="28"/>
        </w:rPr>
        <w:t xml:space="preserve"> for this feedback and now added a more precise description </w:t>
      </w:r>
      <w:r>
        <w:rPr>
          <w:rFonts w:ascii="Times New Roman" w:eastAsia="楷体" w:hAnsi="Times New Roman" w:hint="eastAsia"/>
          <w:i/>
          <w:iCs/>
          <w:sz w:val="24"/>
          <w:szCs w:val="28"/>
        </w:rPr>
        <w:t>in</w:t>
      </w:r>
      <w:r>
        <w:rPr>
          <w:rFonts w:ascii="Times New Roman" w:eastAsia="楷体" w:hAnsi="Times New Roman"/>
          <w:i/>
          <w:iCs/>
          <w:sz w:val="24"/>
          <w:szCs w:val="28"/>
        </w:rPr>
        <w:t xml:space="preserve"> “Materials and methods” (</w:t>
      </w:r>
      <w:r>
        <w:rPr>
          <w:rFonts w:ascii="Times New Roman" w:eastAsia="楷体" w:hAnsi="Times New Roman"/>
          <w:i/>
          <w:iCs/>
          <w:sz w:val="24"/>
          <w:szCs w:val="28"/>
        </w:rPr>
        <w:t xml:space="preserve">Line </w:t>
      </w:r>
      <w:r w:rsidR="004861BD">
        <w:rPr>
          <w:rFonts w:ascii="Times New Roman" w:eastAsia="楷体" w:hAnsi="Times New Roman"/>
          <w:i/>
          <w:iCs/>
          <w:sz w:val="24"/>
          <w:szCs w:val="28"/>
        </w:rPr>
        <w:t>91</w:t>
      </w:r>
      <w:r>
        <w:rPr>
          <w:rFonts w:ascii="Times New Roman" w:eastAsia="楷体" w:hAnsi="Times New Roman"/>
          <w:i/>
          <w:iCs/>
          <w:sz w:val="24"/>
          <w:szCs w:val="28"/>
        </w:rPr>
        <w:t>-</w:t>
      </w:r>
      <w:r w:rsidR="00D1386C">
        <w:rPr>
          <w:rFonts w:ascii="Times New Roman" w:eastAsia="楷体" w:hAnsi="Times New Roman"/>
          <w:i/>
          <w:iCs/>
          <w:sz w:val="24"/>
          <w:szCs w:val="28"/>
        </w:rPr>
        <w:t>9</w:t>
      </w:r>
      <w:r w:rsidR="00D1386C">
        <w:rPr>
          <w:rFonts w:ascii="Times New Roman" w:eastAsia="楷体" w:hAnsi="Times New Roman"/>
          <w:i/>
          <w:iCs/>
          <w:sz w:val="24"/>
          <w:szCs w:val="28"/>
        </w:rPr>
        <w:t>7</w:t>
      </w:r>
      <w:r w:rsidR="004861BD">
        <w:rPr>
          <w:rFonts w:ascii="Times New Roman" w:eastAsia="楷体" w:hAnsi="Times New Roman"/>
          <w:i/>
          <w:iCs/>
          <w:sz w:val="24"/>
          <w:szCs w:val="28"/>
        </w:rPr>
        <w:t>,</w:t>
      </w:r>
      <w:r w:rsidR="004861BD" w:rsidRPr="004861BD">
        <w:rPr>
          <w:rFonts w:ascii="Times New Roman" w:eastAsia="楷体" w:hAnsi="Times New Roman"/>
          <w:i/>
          <w:iCs/>
          <w:sz w:val="24"/>
          <w:szCs w:val="28"/>
        </w:rPr>
        <w:t xml:space="preserve"> </w:t>
      </w:r>
      <w:r w:rsidR="004861BD">
        <w:rPr>
          <w:rFonts w:ascii="Times New Roman" w:eastAsia="楷体" w:hAnsi="Times New Roman"/>
          <w:i/>
          <w:iCs/>
          <w:sz w:val="24"/>
          <w:szCs w:val="28"/>
        </w:rPr>
        <w:t>Page 5</w:t>
      </w:r>
      <w:r>
        <w:rPr>
          <w:rFonts w:ascii="Times New Roman" w:eastAsia="楷体" w:hAnsi="Times New Roman"/>
          <w:i/>
          <w:iCs/>
          <w:sz w:val="24"/>
          <w:szCs w:val="28"/>
        </w:rPr>
        <w:t xml:space="preserve">). The criteria for confirming downregulation in depot </w:t>
      </w:r>
      <w:r w:rsidR="00672C83">
        <w:rPr>
          <w:rFonts w:ascii="Times New Roman" w:eastAsia="楷体" w:hAnsi="Times New Roman"/>
          <w:i/>
          <w:iCs/>
          <w:sz w:val="24"/>
          <w:szCs w:val="28"/>
        </w:rPr>
        <w:t>GnRH</w:t>
      </w:r>
      <w:r w:rsidR="00672C83">
        <w:rPr>
          <w:rFonts w:ascii="Times New Roman" w:eastAsia="楷体" w:hAnsi="Times New Roman"/>
          <w:i/>
          <w:iCs/>
          <w:sz w:val="24"/>
          <w:szCs w:val="28"/>
        </w:rPr>
        <w:t xml:space="preserve"> agonist</w:t>
      </w:r>
      <w:r w:rsidR="00672C83">
        <w:rPr>
          <w:rFonts w:ascii="Times New Roman" w:eastAsia="楷体" w:hAnsi="Times New Roman"/>
          <w:i/>
          <w:iCs/>
          <w:sz w:val="24"/>
          <w:szCs w:val="28"/>
        </w:rPr>
        <w:t xml:space="preserve"> </w:t>
      </w:r>
      <w:r>
        <w:rPr>
          <w:rFonts w:ascii="Times New Roman" w:eastAsia="楷体" w:hAnsi="Times New Roman"/>
          <w:i/>
          <w:iCs/>
          <w:sz w:val="24"/>
          <w:szCs w:val="28"/>
        </w:rPr>
        <w:t xml:space="preserve">protocol were as follows: follicle diameter &lt;5 mm, serum luteinizing hormone (LH) &lt;5 </w:t>
      </w:r>
      <w:proofErr w:type="spellStart"/>
      <w:r>
        <w:rPr>
          <w:rFonts w:ascii="Times New Roman" w:eastAsia="楷体" w:hAnsi="Times New Roman"/>
          <w:i/>
          <w:iCs/>
          <w:sz w:val="24"/>
          <w:szCs w:val="28"/>
        </w:rPr>
        <w:t>mIU</w:t>
      </w:r>
      <w:proofErr w:type="spellEnd"/>
      <w:r>
        <w:rPr>
          <w:rFonts w:ascii="Times New Roman" w:eastAsia="楷体" w:hAnsi="Times New Roman"/>
          <w:i/>
          <w:iCs/>
          <w:sz w:val="24"/>
          <w:szCs w:val="28"/>
        </w:rPr>
        <w:t xml:space="preserve">/ml, serum estradiol (E2) &lt;50 </w:t>
      </w:r>
      <w:proofErr w:type="spellStart"/>
      <w:r>
        <w:rPr>
          <w:rFonts w:ascii="Times New Roman" w:eastAsia="楷体" w:hAnsi="Times New Roman"/>
          <w:i/>
          <w:iCs/>
          <w:sz w:val="24"/>
          <w:szCs w:val="28"/>
        </w:rPr>
        <w:t>pg</w:t>
      </w:r>
      <w:proofErr w:type="spellEnd"/>
      <w:r>
        <w:rPr>
          <w:rFonts w:ascii="Times New Roman" w:eastAsia="楷体" w:hAnsi="Times New Roman"/>
          <w:i/>
          <w:iCs/>
          <w:sz w:val="24"/>
          <w:szCs w:val="28"/>
        </w:rPr>
        <w:t xml:space="preserve">/mL, and endometrial thickness </w:t>
      </w:r>
      <w:r>
        <w:rPr>
          <w:rFonts w:ascii="Times New Roman" w:eastAsia="楷体" w:hAnsi="Times New Roman"/>
          <w:i/>
          <w:iCs/>
          <w:sz w:val="24"/>
          <w:szCs w:val="28"/>
        </w:rPr>
        <w:t>&lt; 5 mm.</w:t>
      </w:r>
      <w:r>
        <w:rPr>
          <w:rFonts w:ascii="Times New Roman" w:eastAsia="楷体" w:hAnsi="Times New Roman" w:hint="eastAsia"/>
          <w:i/>
          <w:iCs/>
          <w:sz w:val="24"/>
          <w:szCs w:val="28"/>
        </w:rPr>
        <w:t xml:space="preserve"> </w:t>
      </w:r>
      <w:r>
        <w:rPr>
          <w:rFonts w:ascii="Times New Roman" w:eastAsia="楷体" w:hAnsi="Times New Roman"/>
          <w:i/>
          <w:iCs/>
          <w:sz w:val="24"/>
          <w:szCs w:val="28"/>
        </w:rPr>
        <w:t xml:space="preserve">COH was started after the downregulation. When at least three leading follicles ≥ 17 mm or two leading follicles ≥ 18 mm were observed, </w:t>
      </w:r>
      <w:proofErr w:type="spellStart"/>
      <w:r>
        <w:rPr>
          <w:rFonts w:ascii="Times New Roman" w:eastAsia="楷体" w:hAnsi="Times New Roman"/>
          <w:i/>
          <w:iCs/>
          <w:sz w:val="24"/>
          <w:szCs w:val="28"/>
        </w:rPr>
        <w:t>rHCG</w:t>
      </w:r>
      <w:proofErr w:type="spellEnd"/>
      <w:r>
        <w:rPr>
          <w:rFonts w:ascii="Times New Roman" w:eastAsia="楷体" w:hAnsi="Times New Roman"/>
          <w:i/>
          <w:iCs/>
          <w:sz w:val="24"/>
          <w:szCs w:val="28"/>
        </w:rPr>
        <w:t xml:space="preserve"> was administered to trigger ovulation.</w:t>
      </w:r>
    </w:p>
    <w:p w14:paraId="6768A87F" w14:textId="77777777" w:rsidR="00C36267" w:rsidRDefault="00C36267" w:rsidP="00D512E6">
      <w:pPr>
        <w:spacing w:line="360" w:lineRule="auto"/>
        <w:rPr>
          <w:rFonts w:ascii="Times New Roman" w:eastAsia="楷体" w:hAnsi="Times New Roman"/>
          <w:sz w:val="24"/>
          <w:szCs w:val="28"/>
        </w:rPr>
      </w:pPr>
    </w:p>
    <w:p w14:paraId="3514F524" w14:textId="77777777" w:rsidR="00C36267" w:rsidRDefault="00182282" w:rsidP="00D512E6">
      <w:pPr>
        <w:spacing w:line="360" w:lineRule="auto"/>
        <w:rPr>
          <w:rFonts w:ascii="Times New Roman" w:eastAsia="楷体" w:hAnsi="Times New Roman"/>
          <w:b/>
          <w:bCs/>
          <w:sz w:val="24"/>
          <w:szCs w:val="28"/>
        </w:rPr>
      </w:pPr>
      <w:r>
        <w:rPr>
          <w:rFonts w:ascii="Times New Roman" w:eastAsia="楷体" w:hAnsi="Times New Roman"/>
          <w:b/>
          <w:bCs/>
          <w:color w:val="000000" w:themeColor="text1"/>
          <w:sz w:val="24"/>
          <w:szCs w:val="28"/>
        </w:rPr>
        <w:t xml:space="preserve">I suggest to avoid the </w:t>
      </w:r>
      <w:proofErr w:type="spellStart"/>
      <w:r>
        <w:rPr>
          <w:rFonts w:ascii="Times New Roman" w:eastAsia="楷体" w:hAnsi="Times New Roman"/>
          <w:b/>
          <w:bCs/>
          <w:color w:val="000000" w:themeColor="text1"/>
          <w:sz w:val="24"/>
          <w:szCs w:val="28"/>
        </w:rPr>
        <w:t>etrm</w:t>
      </w:r>
      <w:proofErr w:type="spellEnd"/>
      <w:r>
        <w:rPr>
          <w:rFonts w:ascii="Times New Roman" w:eastAsia="楷体" w:hAnsi="Times New Roman"/>
          <w:b/>
          <w:bCs/>
          <w:color w:val="000000" w:themeColor="text1"/>
          <w:sz w:val="24"/>
          <w:szCs w:val="28"/>
        </w:rPr>
        <w:t xml:space="preserve"> "prolonged". In several papers this ter</w:t>
      </w:r>
      <w:r>
        <w:rPr>
          <w:rFonts w:ascii="Times New Roman" w:eastAsia="楷体" w:hAnsi="Times New Roman"/>
          <w:b/>
          <w:bCs/>
          <w:color w:val="000000" w:themeColor="text1"/>
          <w:sz w:val="24"/>
          <w:szCs w:val="28"/>
        </w:rPr>
        <w:t xml:space="preserve">m includes GnRH </w:t>
      </w:r>
      <w:r>
        <w:rPr>
          <w:rFonts w:ascii="Times New Roman" w:eastAsia="楷体" w:hAnsi="Times New Roman"/>
          <w:b/>
          <w:bCs/>
          <w:sz w:val="24"/>
          <w:szCs w:val="28"/>
        </w:rPr>
        <w:t>agonist treatment for more than 3 months in patients with endometriosis.</w:t>
      </w:r>
    </w:p>
    <w:p w14:paraId="000D3A3A" w14:textId="77777777"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We would like to thank the editor for drawing attention to the ambiguous use of the term “prolonged”, which we now rename “depot GnRH agonist protocol”.</w:t>
      </w:r>
      <w:r>
        <w:rPr>
          <w:rFonts w:ascii="Times New Roman" w:eastAsia="楷体" w:hAnsi="Times New Roman" w:hint="eastAsia"/>
          <w:i/>
          <w:iCs/>
          <w:sz w:val="24"/>
          <w:szCs w:val="28"/>
        </w:rPr>
        <w:t xml:space="preserve"> </w:t>
      </w:r>
    </w:p>
    <w:p w14:paraId="167F75E0" w14:textId="77777777" w:rsidR="00C36267" w:rsidRDefault="00C36267" w:rsidP="00D512E6">
      <w:pPr>
        <w:spacing w:line="360" w:lineRule="auto"/>
        <w:rPr>
          <w:rFonts w:ascii="Times New Roman" w:eastAsia="楷体" w:hAnsi="Times New Roman"/>
          <w:sz w:val="24"/>
          <w:szCs w:val="28"/>
        </w:rPr>
      </w:pPr>
    </w:p>
    <w:p w14:paraId="32D9CBB3" w14:textId="77777777" w:rsidR="00C36267" w:rsidRDefault="00182282" w:rsidP="00D512E6">
      <w:pPr>
        <w:spacing w:line="360" w:lineRule="auto"/>
        <w:rPr>
          <w:rFonts w:ascii="Times New Roman" w:eastAsia="楷体" w:hAnsi="Times New Roman"/>
          <w:b/>
          <w:bCs/>
          <w:color w:val="000000" w:themeColor="text1"/>
          <w:sz w:val="24"/>
          <w:szCs w:val="28"/>
        </w:rPr>
      </w:pPr>
      <w:r>
        <w:rPr>
          <w:rFonts w:ascii="Times New Roman" w:eastAsia="楷体" w:hAnsi="Times New Roman"/>
          <w:b/>
          <w:bCs/>
          <w:color w:val="000000" w:themeColor="text1"/>
          <w:sz w:val="24"/>
          <w:szCs w:val="28"/>
        </w:rPr>
        <w:t>Please detai</w:t>
      </w:r>
      <w:r>
        <w:rPr>
          <w:rFonts w:ascii="Times New Roman" w:eastAsia="楷体" w:hAnsi="Times New Roman"/>
          <w:b/>
          <w:bCs/>
          <w:color w:val="000000" w:themeColor="text1"/>
          <w:sz w:val="24"/>
          <w:szCs w:val="28"/>
        </w:rPr>
        <w:t>l better in the abstract section the "dominant follicular proportions (DFP)".</w:t>
      </w:r>
    </w:p>
    <w:p w14:paraId="6868516F" w14:textId="2C45060B" w:rsidR="00C36267" w:rsidRDefault="00182282" w:rsidP="00D512E6">
      <w:pPr>
        <w:spacing w:line="360" w:lineRule="auto"/>
        <w:rPr>
          <w:rFonts w:ascii="Times New Roman" w:eastAsia="楷体" w:hAnsi="Times New Roman"/>
          <w:i/>
          <w:iCs/>
          <w:sz w:val="24"/>
          <w:szCs w:val="28"/>
        </w:rPr>
      </w:pPr>
      <w:r>
        <w:rPr>
          <w:rFonts w:ascii="Times New Roman" w:eastAsia="楷体" w:hAnsi="Times New Roman"/>
          <w:i/>
          <w:iCs/>
          <w:sz w:val="24"/>
          <w:szCs w:val="28"/>
        </w:rPr>
        <w:t xml:space="preserve">We thank the editor for having raised the point, in response to which we now detail the abstract of "dominant follicular proportions (DFP)" (Line </w:t>
      </w:r>
      <w:r w:rsidR="00672C83">
        <w:rPr>
          <w:rFonts w:ascii="Times New Roman" w:eastAsia="楷体" w:hAnsi="Times New Roman"/>
          <w:i/>
          <w:iCs/>
          <w:sz w:val="24"/>
          <w:szCs w:val="28"/>
        </w:rPr>
        <w:t>1</w:t>
      </w:r>
      <w:r w:rsidR="00672C83">
        <w:rPr>
          <w:rFonts w:ascii="Times New Roman" w:eastAsia="楷体" w:hAnsi="Times New Roman"/>
          <w:i/>
          <w:iCs/>
          <w:sz w:val="24"/>
          <w:szCs w:val="28"/>
        </w:rPr>
        <w:t>6</w:t>
      </w:r>
      <w:r>
        <w:rPr>
          <w:rFonts w:ascii="Times New Roman" w:eastAsia="楷体" w:hAnsi="Times New Roman"/>
          <w:i/>
          <w:iCs/>
          <w:sz w:val="24"/>
          <w:szCs w:val="28"/>
        </w:rPr>
        <w:t xml:space="preserve">-17, Page </w:t>
      </w:r>
      <w:r w:rsidR="00672C83">
        <w:rPr>
          <w:rFonts w:ascii="Times New Roman" w:eastAsia="楷体" w:hAnsi="Times New Roman"/>
          <w:i/>
          <w:iCs/>
          <w:sz w:val="24"/>
          <w:szCs w:val="28"/>
        </w:rPr>
        <w:t>1</w:t>
      </w:r>
      <w:r>
        <w:rPr>
          <w:rFonts w:ascii="Times New Roman" w:eastAsia="楷体" w:hAnsi="Times New Roman"/>
          <w:i/>
          <w:iCs/>
          <w:sz w:val="24"/>
          <w:szCs w:val="28"/>
        </w:rPr>
        <w:t>).</w:t>
      </w:r>
    </w:p>
    <w:sectPr w:rsidR="00C362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0A2"/>
    <w:rsid w:val="00001DE6"/>
    <w:rsid w:val="0001586B"/>
    <w:rsid w:val="000160C0"/>
    <w:rsid w:val="0004592E"/>
    <w:rsid w:val="000601E0"/>
    <w:rsid w:val="00061107"/>
    <w:rsid w:val="00061A23"/>
    <w:rsid w:val="000651D9"/>
    <w:rsid w:val="00074983"/>
    <w:rsid w:val="00080DD6"/>
    <w:rsid w:val="0008191D"/>
    <w:rsid w:val="000940E7"/>
    <w:rsid w:val="000A4F0F"/>
    <w:rsid w:val="000A6416"/>
    <w:rsid w:val="000B271D"/>
    <w:rsid w:val="000B3E5E"/>
    <w:rsid w:val="000B6A6B"/>
    <w:rsid w:val="000D0C0A"/>
    <w:rsid w:val="000D2CDA"/>
    <w:rsid w:val="000D5BD5"/>
    <w:rsid w:val="000F68F7"/>
    <w:rsid w:val="000F7239"/>
    <w:rsid w:val="00100B4F"/>
    <w:rsid w:val="001128CD"/>
    <w:rsid w:val="001129EE"/>
    <w:rsid w:val="00113965"/>
    <w:rsid w:val="00115C02"/>
    <w:rsid w:val="001172F1"/>
    <w:rsid w:val="00123259"/>
    <w:rsid w:val="00127344"/>
    <w:rsid w:val="00131FD4"/>
    <w:rsid w:val="001658EA"/>
    <w:rsid w:val="00182282"/>
    <w:rsid w:val="00182E37"/>
    <w:rsid w:val="00195415"/>
    <w:rsid w:val="001970E8"/>
    <w:rsid w:val="001A2F59"/>
    <w:rsid w:val="001B2022"/>
    <w:rsid w:val="001B548A"/>
    <w:rsid w:val="001B6179"/>
    <w:rsid w:val="001D748F"/>
    <w:rsid w:val="001F1376"/>
    <w:rsid w:val="0021120B"/>
    <w:rsid w:val="00247225"/>
    <w:rsid w:val="00260823"/>
    <w:rsid w:val="00261E16"/>
    <w:rsid w:val="00264EC7"/>
    <w:rsid w:val="00274609"/>
    <w:rsid w:val="00286ECA"/>
    <w:rsid w:val="00287B8C"/>
    <w:rsid w:val="0029135A"/>
    <w:rsid w:val="002A433D"/>
    <w:rsid w:val="002A468C"/>
    <w:rsid w:val="002C1AD7"/>
    <w:rsid w:val="002C3439"/>
    <w:rsid w:val="002C67F2"/>
    <w:rsid w:val="002E26AF"/>
    <w:rsid w:val="0030276E"/>
    <w:rsid w:val="00303D88"/>
    <w:rsid w:val="003202EB"/>
    <w:rsid w:val="00322F84"/>
    <w:rsid w:val="00326A29"/>
    <w:rsid w:val="0033144C"/>
    <w:rsid w:val="0034194F"/>
    <w:rsid w:val="00341C27"/>
    <w:rsid w:val="00342103"/>
    <w:rsid w:val="00352DEE"/>
    <w:rsid w:val="003551D0"/>
    <w:rsid w:val="0035768A"/>
    <w:rsid w:val="0036125D"/>
    <w:rsid w:val="00367A7B"/>
    <w:rsid w:val="00375F9D"/>
    <w:rsid w:val="0038471E"/>
    <w:rsid w:val="003967E6"/>
    <w:rsid w:val="003A604B"/>
    <w:rsid w:val="003A7DAA"/>
    <w:rsid w:val="003C5EEE"/>
    <w:rsid w:val="003D2002"/>
    <w:rsid w:val="003F1A89"/>
    <w:rsid w:val="00400184"/>
    <w:rsid w:val="004037D3"/>
    <w:rsid w:val="00405ED2"/>
    <w:rsid w:val="0041353F"/>
    <w:rsid w:val="004159D6"/>
    <w:rsid w:val="00424D9A"/>
    <w:rsid w:val="00433C3A"/>
    <w:rsid w:val="00445010"/>
    <w:rsid w:val="00445F39"/>
    <w:rsid w:val="00447195"/>
    <w:rsid w:val="00450596"/>
    <w:rsid w:val="00450B3E"/>
    <w:rsid w:val="00452D94"/>
    <w:rsid w:val="00465B6E"/>
    <w:rsid w:val="00481ADC"/>
    <w:rsid w:val="00483A81"/>
    <w:rsid w:val="004861BD"/>
    <w:rsid w:val="00490980"/>
    <w:rsid w:val="004952E9"/>
    <w:rsid w:val="004A3CBF"/>
    <w:rsid w:val="004C1618"/>
    <w:rsid w:val="004C21F2"/>
    <w:rsid w:val="004D5DCA"/>
    <w:rsid w:val="004E2C87"/>
    <w:rsid w:val="004E3937"/>
    <w:rsid w:val="004F4EAF"/>
    <w:rsid w:val="004F6EDB"/>
    <w:rsid w:val="00502747"/>
    <w:rsid w:val="00503717"/>
    <w:rsid w:val="00507682"/>
    <w:rsid w:val="00526647"/>
    <w:rsid w:val="005310AC"/>
    <w:rsid w:val="00552F5F"/>
    <w:rsid w:val="005546FC"/>
    <w:rsid w:val="00571A73"/>
    <w:rsid w:val="0057413D"/>
    <w:rsid w:val="0057737E"/>
    <w:rsid w:val="00581F75"/>
    <w:rsid w:val="00590D9E"/>
    <w:rsid w:val="00591EEC"/>
    <w:rsid w:val="005962F9"/>
    <w:rsid w:val="00596AE0"/>
    <w:rsid w:val="005A1F01"/>
    <w:rsid w:val="005A462E"/>
    <w:rsid w:val="005A6E7F"/>
    <w:rsid w:val="005A7EC4"/>
    <w:rsid w:val="005B6A6C"/>
    <w:rsid w:val="005C18A4"/>
    <w:rsid w:val="005C19F2"/>
    <w:rsid w:val="005C4FA0"/>
    <w:rsid w:val="005C5518"/>
    <w:rsid w:val="005D47A3"/>
    <w:rsid w:val="005D72C0"/>
    <w:rsid w:val="005E15BD"/>
    <w:rsid w:val="006144BE"/>
    <w:rsid w:val="00617304"/>
    <w:rsid w:val="006203D8"/>
    <w:rsid w:val="00625B9C"/>
    <w:rsid w:val="006339D6"/>
    <w:rsid w:val="00636838"/>
    <w:rsid w:val="00636AC2"/>
    <w:rsid w:val="006506C0"/>
    <w:rsid w:val="00652AF0"/>
    <w:rsid w:val="006677DF"/>
    <w:rsid w:val="0067047E"/>
    <w:rsid w:val="00672C83"/>
    <w:rsid w:val="00672FAB"/>
    <w:rsid w:val="006904E7"/>
    <w:rsid w:val="0069613D"/>
    <w:rsid w:val="00697C11"/>
    <w:rsid w:val="006A295A"/>
    <w:rsid w:val="006B0DF7"/>
    <w:rsid w:val="006B4100"/>
    <w:rsid w:val="006E6CC4"/>
    <w:rsid w:val="006E767D"/>
    <w:rsid w:val="006F19AE"/>
    <w:rsid w:val="00701E27"/>
    <w:rsid w:val="00703FC0"/>
    <w:rsid w:val="007059DA"/>
    <w:rsid w:val="00713B98"/>
    <w:rsid w:val="00724124"/>
    <w:rsid w:val="00730B3E"/>
    <w:rsid w:val="00741FE5"/>
    <w:rsid w:val="00747017"/>
    <w:rsid w:val="007641F2"/>
    <w:rsid w:val="007644C9"/>
    <w:rsid w:val="00767A1C"/>
    <w:rsid w:val="00782C2F"/>
    <w:rsid w:val="007A06C9"/>
    <w:rsid w:val="007A419F"/>
    <w:rsid w:val="007A546E"/>
    <w:rsid w:val="007B24E3"/>
    <w:rsid w:val="007C460E"/>
    <w:rsid w:val="007D3AD0"/>
    <w:rsid w:val="007E7916"/>
    <w:rsid w:val="007F341E"/>
    <w:rsid w:val="008029AA"/>
    <w:rsid w:val="0082199F"/>
    <w:rsid w:val="00825906"/>
    <w:rsid w:val="00827F1D"/>
    <w:rsid w:val="008317AC"/>
    <w:rsid w:val="0083187F"/>
    <w:rsid w:val="00832280"/>
    <w:rsid w:val="00842412"/>
    <w:rsid w:val="00855EC7"/>
    <w:rsid w:val="00856F54"/>
    <w:rsid w:val="0086552F"/>
    <w:rsid w:val="00870DDD"/>
    <w:rsid w:val="008724A8"/>
    <w:rsid w:val="00877EE4"/>
    <w:rsid w:val="008945BA"/>
    <w:rsid w:val="00896F6B"/>
    <w:rsid w:val="008A365E"/>
    <w:rsid w:val="008A770B"/>
    <w:rsid w:val="008B5CE9"/>
    <w:rsid w:val="008C1752"/>
    <w:rsid w:val="008D3339"/>
    <w:rsid w:val="008D4700"/>
    <w:rsid w:val="008D7FBD"/>
    <w:rsid w:val="008E32E1"/>
    <w:rsid w:val="008E4237"/>
    <w:rsid w:val="00900CF5"/>
    <w:rsid w:val="00912CBC"/>
    <w:rsid w:val="00916E19"/>
    <w:rsid w:val="0092585B"/>
    <w:rsid w:val="009468EC"/>
    <w:rsid w:val="009514E0"/>
    <w:rsid w:val="009541FE"/>
    <w:rsid w:val="0097390A"/>
    <w:rsid w:val="009A3313"/>
    <w:rsid w:val="009A471A"/>
    <w:rsid w:val="009A4FD3"/>
    <w:rsid w:val="009A6B2C"/>
    <w:rsid w:val="009B2549"/>
    <w:rsid w:val="009C02A7"/>
    <w:rsid w:val="009E47EC"/>
    <w:rsid w:val="009E7895"/>
    <w:rsid w:val="00A02453"/>
    <w:rsid w:val="00A05C4B"/>
    <w:rsid w:val="00A07764"/>
    <w:rsid w:val="00A15CCB"/>
    <w:rsid w:val="00A16BFC"/>
    <w:rsid w:val="00A2291A"/>
    <w:rsid w:val="00A27501"/>
    <w:rsid w:val="00A27C56"/>
    <w:rsid w:val="00A34ED5"/>
    <w:rsid w:val="00A355C5"/>
    <w:rsid w:val="00A36E28"/>
    <w:rsid w:val="00A404F1"/>
    <w:rsid w:val="00A507B8"/>
    <w:rsid w:val="00A608A3"/>
    <w:rsid w:val="00A64A34"/>
    <w:rsid w:val="00A77193"/>
    <w:rsid w:val="00A80BBD"/>
    <w:rsid w:val="00A92802"/>
    <w:rsid w:val="00A92C13"/>
    <w:rsid w:val="00A945DA"/>
    <w:rsid w:val="00AA54EC"/>
    <w:rsid w:val="00AB0F4E"/>
    <w:rsid w:val="00AC2005"/>
    <w:rsid w:val="00AF119A"/>
    <w:rsid w:val="00B00DC8"/>
    <w:rsid w:val="00B15201"/>
    <w:rsid w:val="00B35054"/>
    <w:rsid w:val="00B40F7B"/>
    <w:rsid w:val="00B43D15"/>
    <w:rsid w:val="00B6029F"/>
    <w:rsid w:val="00B864CD"/>
    <w:rsid w:val="00B9455D"/>
    <w:rsid w:val="00B95023"/>
    <w:rsid w:val="00B96D32"/>
    <w:rsid w:val="00BA08F3"/>
    <w:rsid w:val="00BA1A93"/>
    <w:rsid w:val="00BB07FC"/>
    <w:rsid w:val="00BB0C4A"/>
    <w:rsid w:val="00BB244D"/>
    <w:rsid w:val="00BE3440"/>
    <w:rsid w:val="00C16439"/>
    <w:rsid w:val="00C205A0"/>
    <w:rsid w:val="00C244EA"/>
    <w:rsid w:val="00C305B8"/>
    <w:rsid w:val="00C36267"/>
    <w:rsid w:val="00C467D2"/>
    <w:rsid w:val="00C47362"/>
    <w:rsid w:val="00C53863"/>
    <w:rsid w:val="00C669BD"/>
    <w:rsid w:val="00C71392"/>
    <w:rsid w:val="00C7237C"/>
    <w:rsid w:val="00C80AB5"/>
    <w:rsid w:val="00C857BC"/>
    <w:rsid w:val="00C9428C"/>
    <w:rsid w:val="00C97D81"/>
    <w:rsid w:val="00CA7E58"/>
    <w:rsid w:val="00CB7A1B"/>
    <w:rsid w:val="00CC6587"/>
    <w:rsid w:val="00CE5F43"/>
    <w:rsid w:val="00D03E0A"/>
    <w:rsid w:val="00D1386C"/>
    <w:rsid w:val="00D17584"/>
    <w:rsid w:val="00D17D04"/>
    <w:rsid w:val="00D408A3"/>
    <w:rsid w:val="00D442C7"/>
    <w:rsid w:val="00D4475F"/>
    <w:rsid w:val="00D4551E"/>
    <w:rsid w:val="00D512E6"/>
    <w:rsid w:val="00D867BA"/>
    <w:rsid w:val="00D87AB4"/>
    <w:rsid w:val="00D87B21"/>
    <w:rsid w:val="00D913C8"/>
    <w:rsid w:val="00D91A2A"/>
    <w:rsid w:val="00DA00BD"/>
    <w:rsid w:val="00DA2838"/>
    <w:rsid w:val="00DD4F9E"/>
    <w:rsid w:val="00DD7E83"/>
    <w:rsid w:val="00DE2C5F"/>
    <w:rsid w:val="00DE4CDA"/>
    <w:rsid w:val="00DF04F0"/>
    <w:rsid w:val="00DF0D44"/>
    <w:rsid w:val="00E109E6"/>
    <w:rsid w:val="00E1257F"/>
    <w:rsid w:val="00E166C9"/>
    <w:rsid w:val="00E26065"/>
    <w:rsid w:val="00E300D5"/>
    <w:rsid w:val="00E333DB"/>
    <w:rsid w:val="00E34DE8"/>
    <w:rsid w:val="00E36392"/>
    <w:rsid w:val="00E5415A"/>
    <w:rsid w:val="00E72AE3"/>
    <w:rsid w:val="00E8377B"/>
    <w:rsid w:val="00E84EF3"/>
    <w:rsid w:val="00EB4C27"/>
    <w:rsid w:val="00EB68D3"/>
    <w:rsid w:val="00EC18E9"/>
    <w:rsid w:val="00EC3DB9"/>
    <w:rsid w:val="00EC5599"/>
    <w:rsid w:val="00ED0D46"/>
    <w:rsid w:val="00ED373F"/>
    <w:rsid w:val="00EE0FA1"/>
    <w:rsid w:val="00EE13B3"/>
    <w:rsid w:val="00EE337B"/>
    <w:rsid w:val="00EE3421"/>
    <w:rsid w:val="00EE4864"/>
    <w:rsid w:val="00EE6B10"/>
    <w:rsid w:val="00EE70A2"/>
    <w:rsid w:val="00EF1EAB"/>
    <w:rsid w:val="00EF3294"/>
    <w:rsid w:val="00EF3CD3"/>
    <w:rsid w:val="00F01560"/>
    <w:rsid w:val="00F048E9"/>
    <w:rsid w:val="00F06197"/>
    <w:rsid w:val="00F22859"/>
    <w:rsid w:val="00F251E3"/>
    <w:rsid w:val="00F25771"/>
    <w:rsid w:val="00F2589E"/>
    <w:rsid w:val="00F26C32"/>
    <w:rsid w:val="00F52C0A"/>
    <w:rsid w:val="00F54E07"/>
    <w:rsid w:val="00F57602"/>
    <w:rsid w:val="00F72525"/>
    <w:rsid w:val="00F77DB7"/>
    <w:rsid w:val="00F84544"/>
    <w:rsid w:val="00F87706"/>
    <w:rsid w:val="00FA2450"/>
    <w:rsid w:val="00FB17C9"/>
    <w:rsid w:val="00FC1BE3"/>
    <w:rsid w:val="00FC53CE"/>
    <w:rsid w:val="00FD31E5"/>
    <w:rsid w:val="00FE2F7A"/>
    <w:rsid w:val="00FE5E99"/>
    <w:rsid w:val="00FF596E"/>
    <w:rsid w:val="0A9C7B63"/>
    <w:rsid w:val="345E211C"/>
    <w:rsid w:val="426B3E2B"/>
    <w:rsid w:val="59F576F8"/>
    <w:rsid w:val="5CFF1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0348"/>
  <w15:docId w15:val="{EECA8771-F4FC-4322-B97E-F3A5EDF9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character" w:styleId="ab">
    <w:name w:val="annotation reference"/>
    <w:basedOn w:val="a0"/>
    <w:uiPriority w:val="99"/>
    <w:semiHidden/>
    <w:unhideWhenUsed/>
    <w:rPr>
      <w:sz w:val="21"/>
      <w:szCs w:val="21"/>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c">
    <w:name w:val="List Paragraph"/>
    <w:basedOn w:val="a"/>
    <w:uiPriority w:val="34"/>
    <w:qFormat/>
    <w:pPr>
      <w:ind w:firstLineChars="200" w:firstLine="420"/>
    </w:pPr>
  </w:style>
  <w:style w:type="character" w:customStyle="1" w:styleId="a4">
    <w:name w:val="批注文字 字符"/>
    <w:basedOn w:val="a0"/>
    <w:link w:val="a3"/>
    <w:uiPriority w:val="99"/>
    <w:semiHidden/>
  </w:style>
  <w:style w:type="character" w:customStyle="1" w:styleId="aa">
    <w:name w:val="批注主题 字符"/>
    <w:basedOn w:val="a4"/>
    <w:link w:val="a9"/>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F4994-3737-5E47-9F54-C76DBFF5B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9257</Characters>
  <Application>Microsoft Office Word</Application>
  <DocSecurity>0</DocSecurity>
  <Lines>77</Lines>
  <Paragraphs>21</Paragraphs>
  <ScaleCrop>false</ScaleCrop>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苏厚铭</dc:creator>
  <cp:lastModifiedBy>苏厚铭</cp:lastModifiedBy>
  <cp:revision>2</cp:revision>
  <dcterms:created xsi:type="dcterms:W3CDTF">2022-03-16T12:49:00Z</dcterms:created>
  <dcterms:modified xsi:type="dcterms:W3CDTF">2022-03-16T12:49:00Z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55800739DE634E0EB2B0915D471038BB</vt:lpwstr>
  </property>
</Properties>
</file>