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86" w:rsidRPr="00F331EB" w:rsidRDefault="00F331EB" w:rsidP="008A1786">
      <w:pPr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  <w:r w:rsidRPr="00F331EB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0E03A2" w:rsidRPr="000E03A2">
        <w:rPr>
          <w:rFonts w:ascii="Times New Roman" w:eastAsiaTheme="minorEastAsia" w:hAnsi="Times New Roman" w:hint="eastAsia"/>
          <w:b/>
          <w:color w:val="FF0000"/>
          <w:sz w:val="24"/>
          <w:szCs w:val="24"/>
        </w:rPr>
        <w:t>5</w:t>
      </w:r>
      <w:r w:rsidRPr="00F331E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B2449A" w:rsidRPr="00F331EB">
        <w:rPr>
          <w:rFonts w:ascii="Times New Roman" w:hAnsi="Times New Roman"/>
          <w:b/>
          <w:sz w:val="24"/>
          <w:szCs w:val="24"/>
        </w:rPr>
        <w:t>:</w:t>
      </w:r>
      <w:bookmarkStart w:id="0" w:name="_GoBack"/>
      <w:r w:rsidRPr="00F331EB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E9120F" w:rsidRPr="00F331EB">
        <w:rPr>
          <w:rFonts w:ascii="Times New Roman" w:hAnsi="Times New Roman"/>
          <w:b/>
          <w:sz w:val="24"/>
          <w:szCs w:val="24"/>
        </w:rPr>
        <w:t>GO enrichment analysis of the target genes</w:t>
      </w:r>
      <w:r w:rsidR="00D97B40" w:rsidRPr="00F331EB">
        <w:rPr>
          <w:rFonts w:ascii="Times New Roman" w:eastAsiaTheme="minorEastAsia" w:hAnsi="Times New Roman"/>
          <w:b/>
          <w:sz w:val="24"/>
          <w:szCs w:val="24"/>
        </w:rPr>
        <w:t>.</w:t>
      </w:r>
      <w:bookmarkEnd w:id="0"/>
    </w:p>
    <w:tbl>
      <w:tblPr>
        <w:tblW w:w="8428" w:type="dxa"/>
        <w:tblInd w:w="94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715"/>
        <w:gridCol w:w="4820"/>
        <w:gridCol w:w="865"/>
        <w:gridCol w:w="1028"/>
      </w:tblGrid>
      <w:tr w:rsidR="005B7B90" w:rsidRPr="00F331EB" w:rsidTr="00F331EB">
        <w:trPr>
          <w:trHeight w:val="270"/>
        </w:trPr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B90" w:rsidRPr="00F331EB" w:rsidRDefault="005B7B90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Category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B90" w:rsidRPr="00F331EB" w:rsidRDefault="005B7B90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Term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B90" w:rsidRPr="00F331EB" w:rsidRDefault="005B7B90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Count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B90" w:rsidRPr="00F331EB" w:rsidRDefault="005B7B90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P-Value</w:t>
            </w:r>
          </w:p>
        </w:tc>
      </w:tr>
      <w:tr w:rsidR="005B7B90" w:rsidRPr="00F331EB" w:rsidTr="00F331EB">
        <w:trPr>
          <w:trHeight w:val="270"/>
        </w:trPr>
        <w:tc>
          <w:tcPr>
            <w:tcW w:w="17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B90" w:rsidRPr="00F331EB" w:rsidRDefault="005B7B90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B90" w:rsidRPr="00F331EB" w:rsidRDefault="005B7B90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intracellular signal transduction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B90" w:rsidRPr="00F331EB" w:rsidRDefault="005B7B90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B90" w:rsidRPr="00F331EB" w:rsidRDefault="005B7B90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0.00023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nervous system development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0.00037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phospholipid biosynthetic process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transcription, DNA-templated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0.0013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regulation of circadian rhythm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0.0019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phosphatidylinositol biosynthetic process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0.0029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histone deacetylation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0.0035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negative regulation of transcription from RNA polymerase II promoter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0.0038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positive regulation of transcription from RNA polymerase II promoter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0.0042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regulation of protein heterodimerization activity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0.0043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eye development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0.0061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actin cytoskeleton organization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0.0061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transforming growth factor beta receptor signaling pathway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0.0062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protein transport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0.0077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hideMark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GOTERM_BP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signal transduction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0.0078</w:t>
            </w:r>
          </w:p>
        </w:tc>
      </w:tr>
      <w:tr w:rsidR="005B7B90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vAlign w:val="bottom"/>
          </w:tcPr>
          <w:p w:rsidR="005B7B90" w:rsidRPr="00F331EB" w:rsidRDefault="005B7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5B7B90" w:rsidRPr="00F331EB" w:rsidRDefault="005B7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5B7B90" w:rsidRPr="00F331EB" w:rsidRDefault="005B7B90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5B7B90" w:rsidRPr="00F331EB" w:rsidRDefault="005B7B90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early endosome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0.0001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cytosol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0.0002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neuron projection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0.00022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synaptic vesicle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0.00086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intracellular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0.0015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Golgi membrane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0.0015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endosome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0.0023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phagocytic vesicle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0.0027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cytoplasm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0.0028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endoplasmic reticulum membrane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0.0039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lamellipodium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0.0043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Golgi apparatus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0.0056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endoplasmic reticulum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0.0061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membrane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0.0096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GOTERM_CC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nucleus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555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0.012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  <w:vAlign w:val="bottom"/>
          </w:tcPr>
          <w:p w:rsidR="00297E23" w:rsidRPr="00F331EB" w:rsidRDefault="00297E23" w:rsidP="00297E2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protein binding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917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0.00016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transcription factor activity, sequence-specific DNA binding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0.0012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metal ion binding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0.0038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zinc ion binding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0.0048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ubiquitin protein ligase activity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0.007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lastRenderedPageBreak/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protein serine/threonine kinase activity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0.0078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SNAP receptor activity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SNARE binding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0.011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sequence-specific DNA binding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0.012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myosin V binding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0.019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vitamin D response element binding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0.026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histone deacetylase activity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1-acylglycerol-3-phosphate O-acyltransferase activity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0.031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ubiquitin-protein transferase activity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0.036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chemorepellent activity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297E23" w:rsidRPr="00F331EB" w:rsidTr="00F331EB">
        <w:trPr>
          <w:trHeight w:val="270"/>
        </w:trPr>
        <w:tc>
          <w:tcPr>
            <w:tcW w:w="1715" w:type="dxa"/>
            <w:shd w:val="clear" w:color="auto" w:fill="auto"/>
            <w:noWrap/>
          </w:tcPr>
          <w:p w:rsidR="00297E23" w:rsidRPr="00F331EB" w:rsidRDefault="00297E23">
            <w:pPr>
              <w:rPr>
                <w:rFonts w:ascii="Times New Roman" w:hAnsi="Times New Roman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GOTERM_MF</w:t>
            </w:r>
          </w:p>
        </w:tc>
        <w:tc>
          <w:tcPr>
            <w:tcW w:w="4820" w:type="dxa"/>
            <w:shd w:val="clear" w:color="auto" w:fill="auto"/>
            <w:noWrap/>
            <w:vAlign w:val="bottom"/>
          </w:tcPr>
          <w:p w:rsidR="00297E23" w:rsidRPr="00F331EB" w:rsidRDefault="00297E23">
            <w:pPr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DNA binding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297E23" w:rsidRPr="00F331EB" w:rsidRDefault="00297E23" w:rsidP="00E704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1EB">
              <w:rPr>
                <w:rFonts w:ascii="Times New Roman" w:hAnsi="Times New Roman"/>
                <w:sz w:val="24"/>
                <w:szCs w:val="24"/>
              </w:rPr>
              <w:t>0.043</w:t>
            </w:r>
          </w:p>
        </w:tc>
      </w:tr>
    </w:tbl>
    <w:p w:rsidR="008A1786" w:rsidRPr="00F331EB" w:rsidRDefault="008A1786" w:rsidP="008A1786">
      <w:pPr>
        <w:jc w:val="left"/>
        <w:rPr>
          <w:rFonts w:ascii="Times New Roman" w:hAnsi="Times New Roman"/>
        </w:rPr>
      </w:pPr>
    </w:p>
    <w:sectPr w:rsidR="008A1786" w:rsidRPr="00F331EB" w:rsidSect="00DC1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B11" w:rsidRDefault="00FD5B11" w:rsidP="00633B34">
      <w:r>
        <w:separator/>
      </w:r>
    </w:p>
  </w:endnote>
  <w:endnote w:type="continuationSeparator" w:id="1">
    <w:p w:rsidR="00FD5B11" w:rsidRDefault="00FD5B11" w:rsidP="00633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B11" w:rsidRDefault="00FD5B11" w:rsidP="00633B34">
      <w:r>
        <w:separator/>
      </w:r>
    </w:p>
  </w:footnote>
  <w:footnote w:type="continuationSeparator" w:id="1">
    <w:p w:rsidR="00FD5B11" w:rsidRDefault="00FD5B11" w:rsidP="00633B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786"/>
    <w:rsid w:val="000A0A1D"/>
    <w:rsid w:val="000E03A2"/>
    <w:rsid w:val="00185356"/>
    <w:rsid w:val="0019600E"/>
    <w:rsid w:val="00196D64"/>
    <w:rsid w:val="00297E23"/>
    <w:rsid w:val="00307BA8"/>
    <w:rsid w:val="003902A2"/>
    <w:rsid w:val="003A63E2"/>
    <w:rsid w:val="004177ED"/>
    <w:rsid w:val="0053001F"/>
    <w:rsid w:val="005B7B90"/>
    <w:rsid w:val="00633B34"/>
    <w:rsid w:val="006B5DB0"/>
    <w:rsid w:val="006C7562"/>
    <w:rsid w:val="00721BB3"/>
    <w:rsid w:val="00796406"/>
    <w:rsid w:val="007B0DD7"/>
    <w:rsid w:val="00873B70"/>
    <w:rsid w:val="008A1786"/>
    <w:rsid w:val="008B39F0"/>
    <w:rsid w:val="008E0112"/>
    <w:rsid w:val="00B14D6E"/>
    <w:rsid w:val="00B2449A"/>
    <w:rsid w:val="00B7691B"/>
    <w:rsid w:val="00B77CCC"/>
    <w:rsid w:val="00C76309"/>
    <w:rsid w:val="00D512C7"/>
    <w:rsid w:val="00D97B40"/>
    <w:rsid w:val="00DC1920"/>
    <w:rsid w:val="00E7044A"/>
    <w:rsid w:val="00E756D4"/>
    <w:rsid w:val="00E9120F"/>
    <w:rsid w:val="00F029CB"/>
    <w:rsid w:val="00F331EB"/>
    <w:rsid w:val="00FD5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86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B34"/>
    <w:rPr>
      <w:rFonts w:ascii="Calibri" w:eastAsia="SimSun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B34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Win7_64</cp:lastModifiedBy>
  <cp:revision>24</cp:revision>
  <dcterms:created xsi:type="dcterms:W3CDTF">2019-07-01T15:26:00Z</dcterms:created>
  <dcterms:modified xsi:type="dcterms:W3CDTF">2021-11-29T14:31:00Z</dcterms:modified>
</cp:coreProperties>
</file>