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6EBA3" w14:textId="77777777" w:rsidR="0077395E" w:rsidRDefault="0077395E">
      <w:pPr>
        <w:rPr>
          <w:rFonts w:ascii="Times New Roman" w:hAnsi="Times New Roman" w:cs="Times New Roman"/>
          <w:b/>
          <w:bCs/>
          <w:color w:val="000000" w:themeColor="text1"/>
          <w:sz w:val="24"/>
        </w:rPr>
      </w:pPr>
      <w:r w:rsidRPr="0077395E">
        <w:rPr>
          <w:rFonts w:ascii="Times New Roman" w:hAnsi="Times New Roman" w:cs="Times New Roman"/>
          <w:b/>
          <w:bCs/>
          <w:color w:val="000000" w:themeColor="text1"/>
          <w:sz w:val="24"/>
        </w:rPr>
        <w:t>A rare case of highly differentiated follicular carcinoma in ovary with FGFR4 Gly388Arg polymorphism: a case report and literature review</w:t>
      </w:r>
    </w:p>
    <w:p w14:paraId="1574943C" w14:textId="04867DDB" w:rsidR="0053068A" w:rsidRDefault="00993947">
      <w:pPr>
        <w:rPr>
          <w:rFonts w:ascii="Times New Roman" w:hAnsi="Times New Roman" w:cs="Times New Roman"/>
          <w:color w:val="000000" w:themeColor="text1"/>
          <w:sz w:val="24"/>
        </w:rPr>
      </w:pPr>
      <w:r w:rsidRPr="00CF25A1">
        <w:rPr>
          <w:rFonts w:ascii="Times New Roman" w:hAnsi="Times New Roman" w:cs="Times New Roman"/>
          <w:color w:val="000000" w:themeColor="text1"/>
          <w:sz w:val="24"/>
        </w:rPr>
        <w:t>Bao,</w:t>
      </w:r>
      <w:r>
        <w:rPr>
          <w:rFonts w:ascii="Times New Roman" w:hAnsi="Times New Roman" w:cs="Times New Roman"/>
          <w:color w:val="000000" w:themeColor="text1"/>
          <w:sz w:val="24"/>
        </w:rPr>
        <w:t xml:space="preserve"> et al</w:t>
      </w:r>
    </w:p>
    <w:p w14:paraId="6B726275" w14:textId="61F7A69F" w:rsidR="00993947" w:rsidRDefault="00993947">
      <w:pPr>
        <w:rPr>
          <w:rFonts w:ascii="Times New Roman" w:hAnsi="Times New Roman" w:cs="Times New Roman"/>
          <w:color w:val="000000" w:themeColor="text1"/>
          <w:sz w:val="24"/>
        </w:rPr>
      </w:pPr>
    </w:p>
    <w:p w14:paraId="74C00D22" w14:textId="77777777" w:rsidR="00FE0278" w:rsidRDefault="00FE0278">
      <w:pPr>
        <w:rPr>
          <w:rFonts w:ascii="Times New Roman" w:hAnsi="Times New Roman" w:cs="Times New Roman"/>
          <w:color w:val="000000" w:themeColor="text1"/>
          <w:sz w:val="24"/>
        </w:rPr>
      </w:pPr>
    </w:p>
    <w:p w14:paraId="63A2BC34" w14:textId="31BE1229" w:rsidR="00993947" w:rsidRPr="00431E86" w:rsidRDefault="00993947" w:rsidP="00993947">
      <w:pPr>
        <w:spacing w:line="480" w:lineRule="auto"/>
        <w:jc w:val="left"/>
        <w:rPr>
          <w:rFonts w:ascii="Times New Roman" w:hAnsi="Times New Roman" w:cs="Times New Roman"/>
          <w:color w:val="000000" w:themeColor="text1"/>
          <w:sz w:val="24"/>
        </w:rPr>
      </w:pPr>
      <w:r w:rsidRPr="00431E86">
        <w:rPr>
          <w:rFonts w:ascii="Times New Roman" w:hAnsi="Times New Roman" w:cs="Times New Roman"/>
          <w:b/>
          <w:bCs/>
          <w:color w:val="000000" w:themeColor="text1"/>
          <w:sz w:val="24"/>
        </w:rPr>
        <w:t>Material and Methods</w:t>
      </w:r>
    </w:p>
    <w:p w14:paraId="2ADECA91" w14:textId="624EEF76" w:rsidR="00993947" w:rsidRPr="00431E86" w:rsidRDefault="00993947" w:rsidP="00993947">
      <w:pPr>
        <w:spacing w:line="480" w:lineRule="auto"/>
        <w:jc w:val="left"/>
        <w:rPr>
          <w:rFonts w:ascii="Times New Roman" w:hAnsi="Times New Roman" w:cs="Times New Roman"/>
          <w:b/>
          <w:bCs/>
          <w:color w:val="000000" w:themeColor="text1"/>
          <w:sz w:val="24"/>
        </w:rPr>
      </w:pPr>
      <w:r w:rsidRPr="00431E86">
        <w:rPr>
          <w:rFonts w:ascii="Times New Roman" w:hAnsi="Times New Roman" w:cs="Times New Roman"/>
          <w:b/>
          <w:bCs/>
          <w:color w:val="000000" w:themeColor="text1"/>
          <w:sz w:val="24"/>
        </w:rPr>
        <w:t xml:space="preserve">Sample collection and </w:t>
      </w:r>
      <w:bookmarkStart w:id="0" w:name="OLE_LINK7"/>
      <w:bookmarkStart w:id="1" w:name="OLE_LINK8"/>
      <w:r w:rsidRPr="00431E86">
        <w:rPr>
          <w:rFonts w:ascii="Times New Roman" w:hAnsi="Times New Roman" w:cs="Times New Roman"/>
          <w:b/>
          <w:bCs/>
          <w:color w:val="000000" w:themeColor="text1"/>
          <w:sz w:val="24"/>
        </w:rPr>
        <w:t>histological validation</w:t>
      </w:r>
      <w:bookmarkEnd w:id="0"/>
      <w:bookmarkEnd w:id="1"/>
    </w:p>
    <w:p w14:paraId="400DDB3E" w14:textId="77777777" w:rsidR="00993947" w:rsidRPr="00431E86" w:rsidRDefault="00993947" w:rsidP="00993947">
      <w:pPr>
        <w:spacing w:line="480" w:lineRule="auto"/>
        <w:jc w:val="left"/>
        <w:rPr>
          <w:rFonts w:ascii="Times New Roman" w:hAnsi="Times New Roman" w:cs="Times New Roman"/>
          <w:color w:val="000000" w:themeColor="text1"/>
          <w:sz w:val="24"/>
        </w:rPr>
      </w:pPr>
      <w:r w:rsidRPr="00431E86">
        <w:rPr>
          <w:rFonts w:ascii="Times New Roman" w:hAnsi="Times New Roman" w:cs="Times New Roman"/>
          <w:color w:val="000000" w:themeColor="text1"/>
          <w:sz w:val="24"/>
        </w:rPr>
        <w:t xml:space="preserve">Tumor samples from all four operations were obtained for investigation. Formalin fixed, paraffin embedded (FFPE) sections of tumor tissues were stained with hematoxylin and eosin(H&amp;E) and reviewed </w:t>
      </w:r>
      <w:r w:rsidRPr="00431E86">
        <w:rPr>
          <w:rFonts w:ascii="Calibri" w:hAnsi="Calibri" w:cs="Calibri"/>
          <w:color w:val="000000" w:themeColor="text1"/>
          <w:sz w:val="24"/>
        </w:rPr>
        <w:t>﻿</w:t>
      </w:r>
      <w:r w:rsidRPr="00431E86">
        <w:rPr>
          <w:rFonts w:ascii="Times New Roman" w:hAnsi="Times New Roman" w:cs="Times New Roman"/>
          <w:color w:val="000000" w:themeColor="text1"/>
          <w:sz w:val="24"/>
        </w:rPr>
        <w:t xml:space="preserve">in consultation by the authors and other experienced pathologists in our institution. </w:t>
      </w:r>
      <w:r w:rsidRPr="00431E86">
        <w:rPr>
          <w:rFonts w:ascii="Calibri" w:hAnsi="Calibri" w:cs="Calibri"/>
          <w:color w:val="000000" w:themeColor="text1"/>
          <w:sz w:val="24"/>
        </w:rPr>
        <w:t>﻿</w:t>
      </w:r>
    </w:p>
    <w:p w14:paraId="6EA0A6B2" w14:textId="40C62831" w:rsidR="00993947" w:rsidRPr="00431E86" w:rsidRDefault="00993947" w:rsidP="00993947">
      <w:pPr>
        <w:spacing w:line="480" w:lineRule="auto"/>
        <w:jc w:val="left"/>
        <w:rPr>
          <w:rFonts w:ascii="Times New Roman" w:hAnsi="Times New Roman" w:cs="Times New Roman"/>
          <w:color w:val="000000" w:themeColor="text1"/>
          <w:sz w:val="24"/>
        </w:rPr>
      </w:pPr>
      <w:r w:rsidRPr="00431E86">
        <w:rPr>
          <w:rFonts w:ascii="Times New Roman" w:hAnsi="Times New Roman" w:cs="Times New Roman"/>
          <w:color w:val="000000" w:themeColor="text1"/>
          <w:sz w:val="24"/>
        </w:rPr>
        <w:t xml:space="preserve">The tumors were classified as biologically malignant if the ovarian tumor spread beyond the ovary or had penetrated to the ovarian serosa and was on the surface, or recurred, regardless of the earlier findings in the ovary </w:t>
      </w:r>
      <w:r w:rsidRPr="00431E86">
        <w:rPr>
          <w:rFonts w:ascii="Times New Roman" w:hAnsi="Times New Roman" w:cs="Times New Roman"/>
          <w:noProof/>
          <w:color w:val="000000" w:themeColor="text1"/>
          <w:sz w:val="24"/>
        </w:rPr>
        <w:t>(</w:t>
      </w:r>
      <w:r w:rsidR="001D2099">
        <w:rPr>
          <w:rFonts w:ascii="Times New Roman" w:hAnsi="Times New Roman" w:cs="Times New Roman"/>
          <w:noProof/>
          <w:color w:val="000000" w:themeColor="text1"/>
          <w:sz w:val="24"/>
        </w:rPr>
        <w:t>1</w:t>
      </w:r>
      <w:r w:rsidR="00196FBE">
        <w:rPr>
          <w:rFonts w:ascii="Times New Roman" w:hAnsi="Times New Roman" w:cs="Times New Roman"/>
          <w:noProof/>
          <w:color w:val="000000" w:themeColor="text1"/>
          <w:sz w:val="24"/>
        </w:rPr>
        <w:t xml:space="preserve">, </w:t>
      </w:r>
      <w:r w:rsidR="001D2099">
        <w:rPr>
          <w:rFonts w:ascii="Times New Roman" w:hAnsi="Times New Roman" w:cs="Times New Roman"/>
          <w:noProof/>
          <w:color w:val="000000" w:themeColor="text1"/>
          <w:sz w:val="24"/>
        </w:rPr>
        <w:t>2</w:t>
      </w:r>
      <w:r w:rsidRPr="00431E86">
        <w:rPr>
          <w:rFonts w:ascii="Times New Roman" w:hAnsi="Times New Roman" w:cs="Times New Roman"/>
          <w:noProof/>
          <w:color w:val="000000" w:themeColor="text1"/>
          <w:sz w:val="24"/>
        </w:rPr>
        <w:t>)</w:t>
      </w:r>
      <w:r w:rsidRPr="00431E86">
        <w:rPr>
          <w:rFonts w:ascii="Times New Roman" w:hAnsi="Times New Roman" w:cs="Times New Roman"/>
          <w:color w:val="000000" w:themeColor="text1"/>
          <w:sz w:val="24"/>
        </w:rPr>
        <w:t xml:space="preserve">. </w:t>
      </w:r>
      <w:r w:rsidRPr="00431E86">
        <w:rPr>
          <w:rFonts w:ascii="Calibri" w:hAnsi="Calibri" w:cs="Calibri"/>
          <w:color w:val="000000" w:themeColor="text1"/>
          <w:sz w:val="24"/>
        </w:rPr>
        <w:t>﻿</w:t>
      </w:r>
      <w:r w:rsidRPr="00431E86">
        <w:rPr>
          <w:rFonts w:ascii="Times New Roman" w:hAnsi="Times New Roman" w:cs="Times New Roman"/>
          <w:color w:val="000000" w:themeColor="text1"/>
          <w:sz w:val="24"/>
        </w:rPr>
        <w:t xml:space="preserve">The criteria for histologic malignancy and classification were in accordance with those of the World Health Organization and other major reference works </w:t>
      </w:r>
      <w:r w:rsidRPr="00431E86">
        <w:rPr>
          <w:rFonts w:ascii="Times New Roman" w:hAnsi="Times New Roman" w:cs="Times New Roman"/>
          <w:noProof/>
          <w:color w:val="000000" w:themeColor="text1"/>
          <w:sz w:val="24"/>
        </w:rPr>
        <w:t>(</w:t>
      </w:r>
      <w:r w:rsidR="001D2099">
        <w:rPr>
          <w:rFonts w:ascii="Times New Roman" w:hAnsi="Times New Roman" w:cs="Times New Roman"/>
          <w:noProof/>
          <w:color w:val="000000" w:themeColor="text1"/>
          <w:sz w:val="24"/>
        </w:rPr>
        <w:t>2-5</w:t>
      </w:r>
      <w:r w:rsidRPr="00431E86">
        <w:rPr>
          <w:rFonts w:ascii="Times New Roman" w:hAnsi="Times New Roman" w:cs="Times New Roman"/>
          <w:noProof/>
          <w:color w:val="000000" w:themeColor="text1"/>
          <w:sz w:val="24"/>
        </w:rPr>
        <w:t>)</w:t>
      </w:r>
      <w:r w:rsidRPr="00431E86">
        <w:rPr>
          <w:rFonts w:ascii="Times New Roman" w:hAnsi="Times New Roman" w:cs="Times New Roman"/>
          <w:color w:val="000000" w:themeColor="text1"/>
          <w:sz w:val="24"/>
        </w:rPr>
        <w:t>.</w:t>
      </w:r>
    </w:p>
    <w:p w14:paraId="2427FE51" w14:textId="1FB2AA32" w:rsidR="00993947" w:rsidRPr="00431E86" w:rsidRDefault="00993947" w:rsidP="00993947">
      <w:pPr>
        <w:spacing w:line="480" w:lineRule="auto"/>
        <w:rPr>
          <w:rFonts w:ascii="Times New Roman" w:hAnsi="Times New Roman" w:cs="Times New Roman"/>
          <w:b/>
          <w:bCs/>
          <w:color w:val="000000" w:themeColor="text1"/>
          <w:sz w:val="24"/>
        </w:rPr>
      </w:pPr>
      <w:r w:rsidRPr="00431E86">
        <w:rPr>
          <w:rFonts w:ascii="Times New Roman" w:hAnsi="Times New Roman" w:cs="Times New Roman"/>
          <w:b/>
          <w:bCs/>
          <w:color w:val="000000" w:themeColor="text1"/>
          <w:sz w:val="24"/>
        </w:rPr>
        <w:t>Whole-exome sequencing</w:t>
      </w:r>
    </w:p>
    <w:p w14:paraId="2D542273" w14:textId="5A59C495" w:rsidR="00993947" w:rsidRPr="00431E86" w:rsidRDefault="00993947" w:rsidP="00993947">
      <w:pPr>
        <w:spacing w:line="480" w:lineRule="auto"/>
        <w:jc w:val="left"/>
        <w:rPr>
          <w:rFonts w:ascii="Times New Roman" w:hAnsi="Times New Roman" w:cs="Times New Roman"/>
          <w:color w:val="000000" w:themeColor="text1"/>
          <w:sz w:val="24"/>
        </w:rPr>
      </w:pPr>
      <w:r w:rsidRPr="00431E86">
        <w:rPr>
          <w:rFonts w:ascii="Times New Roman" w:hAnsi="Times New Roman" w:cs="Times New Roman"/>
          <w:color w:val="000000" w:themeColor="text1"/>
          <w:sz w:val="24"/>
        </w:rPr>
        <w:t xml:space="preserve">FFPE sections of all operation samples were firstly subjected to H&amp;E staining to detect the tumor cell content. Only samples with a tumor percentage of ≥20% were qualified for subsequent analysis. Finally, whole-exome sequencing was performed on the tumor specimens from 2011 and 2020 to comprehensively evaluate gene alterations. The bioinformation analysis was as carried out following the procedure described in previous work </w:t>
      </w:r>
      <w:r w:rsidRPr="00431E86">
        <w:rPr>
          <w:rFonts w:ascii="Times New Roman" w:hAnsi="Times New Roman" w:cs="Times New Roman"/>
          <w:noProof/>
          <w:color w:val="000000" w:themeColor="text1"/>
          <w:sz w:val="24"/>
        </w:rPr>
        <w:t>(</w:t>
      </w:r>
      <w:r w:rsidR="001D2099">
        <w:rPr>
          <w:rFonts w:ascii="Times New Roman" w:hAnsi="Times New Roman" w:cs="Times New Roman"/>
          <w:noProof/>
          <w:color w:val="000000" w:themeColor="text1"/>
          <w:sz w:val="24"/>
        </w:rPr>
        <w:t>6</w:t>
      </w:r>
      <w:r w:rsidRPr="00431E86">
        <w:rPr>
          <w:rFonts w:ascii="Times New Roman" w:hAnsi="Times New Roman" w:cs="Times New Roman"/>
          <w:noProof/>
          <w:color w:val="000000" w:themeColor="text1"/>
          <w:sz w:val="24"/>
        </w:rPr>
        <w:t>)</w:t>
      </w:r>
      <w:r w:rsidRPr="00431E86">
        <w:rPr>
          <w:rFonts w:ascii="Times New Roman" w:hAnsi="Times New Roman" w:cs="Times New Roman"/>
          <w:color w:val="000000" w:themeColor="text1"/>
          <w:sz w:val="24"/>
        </w:rPr>
        <w:t>.</w:t>
      </w:r>
    </w:p>
    <w:p w14:paraId="0FBA5206" w14:textId="01F7EF05" w:rsidR="00993947" w:rsidRPr="00431E86" w:rsidRDefault="00993947" w:rsidP="00993947">
      <w:pPr>
        <w:spacing w:line="480" w:lineRule="auto"/>
        <w:rPr>
          <w:rFonts w:ascii="Times New Roman" w:hAnsi="Times New Roman" w:cs="Times New Roman"/>
          <w:b/>
          <w:bCs/>
          <w:color w:val="000000" w:themeColor="text1"/>
          <w:sz w:val="24"/>
        </w:rPr>
      </w:pPr>
      <w:r w:rsidRPr="00431E86">
        <w:rPr>
          <w:rFonts w:ascii="Times New Roman" w:hAnsi="Times New Roman" w:cs="Times New Roman"/>
          <w:b/>
          <w:bCs/>
          <w:color w:val="000000" w:themeColor="text1"/>
          <w:sz w:val="24"/>
        </w:rPr>
        <w:t>Droplet digital PCR</w:t>
      </w:r>
    </w:p>
    <w:p w14:paraId="79E96527" w14:textId="77777777" w:rsidR="00993947" w:rsidRPr="00431E86" w:rsidRDefault="00993947" w:rsidP="00993947">
      <w:pPr>
        <w:spacing w:line="480" w:lineRule="auto"/>
        <w:rPr>
          <w:rFonts w:ascii="Times New Roman" w:hAnsi="Times New Roman" w:cs="Times New Roman"/>
          <w:color w:val="000000" w:themeColor="text1"/>
          <w:sz w:val="24"/>
        </w:rPr>
      </w:pPr>
      <w:bookmarkStart w:id="2" w:name="OLE_LINK54"/>
      <w:bookmarkStart w:id="3" w:name="OLE_LINK55"/>
      <w:r w:rsidRPr="00431E86">
        <w:rPr>
          <w:rFonts w:ascii="Times New Roman" w:hAnsi="Times New Roman" w:cs="Times New Roman"/>
          <w:color w:val="000000" w:themeColor="text1"/>
          <w:sz w:val="24"/>
        </w:rPr>
        <w:t>Following the whole-exome sequencing, droplet digital PCR was performed on the peripheral blood samples from the patient’s son to detect targeted germline gene mutation.</w:t>
      </w:r>
    </w:p>
    <w:p w14:paraId="09DA731F" w14:textId="781587BF" w:rsidR="00993947" w:rsidRPr="00431E86" w:rsidRDefault="00993947" w:rsidP="00993947">
      <w:pPr>
        <w:spacing w:line="480" w:lineRule="auto"/>
        <w:rPr>
          <w:rFonts w:ascii="Times New Roman" w:hAnsi="Times New Roman" w:cs="Times New Roman"/>
          <w:color w:val="000000" w:themeColor="text1"/>
          <w:sz w:val="24"/>
        </w:rPr>
      </w:pPr>
      <w:r w:rsidRPr="00431E86">
        <w:rPr>
          <w:rFonts w:ascii="Times New Roman" w:hAnsi="Times New Roman" w:cs="Times New Roman"/>
          <w:b/>
          <w:bCs/>
          <w:color w:val="000000" w:themeColor="text1"/>
          <w:sz w:val="24"/>
        </w:rPr>
        <w:t>Literature review</w:t>
      </w:r>
    </w:p>
    <w:p w14:paraId="504E45E8" w14:textId="77777777" w:rsidR="007134B3" w:rsidRDefault="00993947" w:rsidP="007134B3">
      <w:pPr>
        <w:spacing w:line="480" w:lineRule="auto"/>
        <w:rPr>
          <w:rFonts w:ascii="Times New Roman" w:hAnsi="Times New Roman" w:cs="Times New Roman"/>
          <w:color w:val="000000" w:themeColor="text1"/>
          <w:sz w:val="24"/>
        </w:rPr>
      </w:pPr>
      <w:r w:rsidRPr="00431E86">
        <w:rPr>
          <w:rFonts w:ascii="Times New Roman" w:hAnsi="Times New Roman" w:cs="Times New Roman"/>
          <w:color w:val="000000" w:themeColor="text1"/>
          <w:sz w:val="24"/>
        </w:rPr>
        <w:t xml:space="preserve">We searched the </w:t>
      </w:r>
      <w:r w:rsidR="00075C8E" w:rsidRPr="00431E86">
        <w:rPr>
          <w:rFonts w:ascii="Times New Roman" w:hAnsi="Times New Roman" w:cs="Times New Roman"/>
          <w:color w:val="000000" w:themeColor="text1"/>
          <w:sz w:val="24"/>
        </w:rPr>
        <w:t>PubMed</w:t>
      </w:r>
      <w:r w:rsidRPr="00431E86">
        <w:rPr>
          <w:rFonts w:ascii="Times New Roman" w:hAnsi="Times New Roman" w:cs="Times New Roman"/>
          <w:color w:val="000000" w:themeColor="text1"/>
          <w:sz w:val="24"/>
        </w:rPr>
        <w:t xml:space="preserve"> database from 2008 to September 2021 for all cases of HDFCO, using different combinations of keywords ‘struma </w:t>
      </w:r>
      <w:proofErr w:type="spellStart"/>
      <w:r w:rsidRPr="00431E86">
        <w:rPr>
          <w:rFonts w:ascii="Times New Roman" w:hAnsi="Times New Roman" w:cs="Times New Roman"/>
          <w:color w:val="000000" w:themeColor="text1"/>
          <w:sz w:val="24"/>
        </w:rPr>
        <w:t>ovarii</w:t>
      </w:r>
      <w:proofErr w:type="spellEnd"/>
      <w:r w:rsidRPr="00431E86">
        <w:rPr>
          <w:rFonts w:ascii="Times New Roman" w:hAnsi="Times New Roman" w:cs="Times New Roman"/>
          <w:color w:val="000000" w:themeColor="text1"/>
          <w:sz w:val="24"/>
        </w:rPr>
        <w:t xml:space="preserve">’, ‘highly differentiated follicular carcinoma’, </w:t>
      </w:r>
      <w:r w:rsidRPr="00431E86">
        <w:rPr>
          <w:rFonts w:ascii="Times New Roman" w:hAnsi="Times New Roman" w:cs="Times New Roman"/>
          <w:color w:val="000000" w:themeColor="text1"/>
          <w:sz w:val="24"/>
        </w:rPr>
        <w:lastRenderedPageBreak/>
        <w:t xml:space="preserve">‘malignant’ and ‘ovarian’ without any restriction. </w:t>
      </w:r>
      <w:r w:rsidRPr="00431E86">
        <w:rPr>
          <w:rFonts w:ascii="Calibri" w:hAnsi="Calibri" w:cs="Calibri"/>
          <w:color w:val="000000" w:themeColor="text1"/>
          <w:sz w:val="24"/>
        </w:rPr>
        <w:t>﻿</w:t>
      </w:r>
      <w:r w:rsidRPr="00431E86">
        <w:rPr>
          <w:rFonts w:ascii="Times New Roman" w:hAnsi="Times New Roman" w:cs="Times New Roman"/>
          <w:color w:val="000000" w:themeColor="text1"/>
          <w:sz w:val="24"/>
        </w:rPr>
        <w:t xml:space="preserve">Appropriate publications were firstly evaluated by checking the titles and abstracts. Full text review was then performed to confirm the pathological diagnosis of HDFCO and to exclude duplicate cases. The references of all finally selected publications were also checked for additional studies that might have been missed in the initial search. The original data on clinical features and survival were collected from selected studies. </w:t>
      </w:r>
      <w:bookmarkEnd w:id="2"/>
      <w:bookmarkEnd w:id="3"/>
    </w:p>
    <w:p w14:paraId="42702A13" w14:textId="007980C9" w:rsidR="001D2099" w:rsidRPr="007134B3" w:rsidRDefault="003C314C" w:rsidP="007134B3">
      <w:pPr>
        <w:spacing w:line="480" w:lineRule="auto"/>
        <w:rPr>
          <w:rFonts w:ascii="Times New Roman" w:hAnsi="Times New Roman" w:cs="Times New Roman"/>
          <w:color w:val="000000" w:themeColor="text1"/>
          <w:sz w:val="24"/>
        </w:rPr>
      </w:pPr>
      <w:r w:rsidRPr="00D41B02">
        <w:rPr>
          <w:rFonts w:ascii="Times New Roman" w:hAnsi="Times New Roman" w:cs="Times New Roman"/>
          <w:b/>
          <w:bCs/>
          <w:color w:val="000000" w:themeColor="text1"/>
          <w:sz w:val="24"/>
        </w:rPr>
        <w:t>References</w:t>
      </w:r>
    </w:p>
    <w:p w14:paraId="0FE417DE" w14:textId="44AAF280" w:rsidR="001D2099" w:rsidRPr="00EB6DB8" w:rsidRDefault="001D2099" w:rsidP="001D2099">
      <w:pPr>
        <w:spacing w:line="480" w:lineRule="auto"/>
        <w:jc w:val="left"/>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1. </w:t>
      </w:r>
      <w:r w:rsidRPr="00EB6DB8">
        <w:rPr>
          <w:rFonts w:ascii="Times New Roman" w:hAnsi="Times New Roman" w:cs="Times New Roman"/>
          <w:color w:val="000000" w:themeColor="text1"/>
          <w:sz w:val="24"/>
        </w:rPr>
        <w:t xml:space="preserve">Devaney K, Snyder R, Norris HJ, </w:t>
      </w:r>
      <w:proofErr w:type="spellStart"/>
      <w:r w:rsidRPr="00EB6DB8">
        <w:rPr>
          <w:rFonts w:ascii="Times New Roman" w:hAnsi="Times New Roman" w:cs="Times New Roman"/>
          <w:color w:val="000000" w:themeColor="text1"/>
          <w:sz w:val="24"/>
        </w:rPr>
        <w:t>Tavassoli</w:t>
      </w:r>
      <w:proofErr w:type="spellEnd"/>
      <w:r w:rsidRPr="00EB6DB8">
        <w:rPr>
          <w:rFonts w:ascii="Times New Roman" w:hAnsi="Times New Roman" w:cs="Times New Roman"/>
          <w:color w:val="000000" w:themeColor="text1"/>
          <w:sz w:val="24"/>
        </w:rPr>
        <w:t xml:space="preserve"> FA. Proliferative and histologically malignant struma </w:t>
      </w:r>
      <w:proofErr w:type="spellStart"/>
      <w:r w:rsidRPr="00EB6DB8">
        <w:rPr>
          <w:rFonts w:ascii="Times New Roman" w:hAnsi="Times New Roman" w:cs="Times New Roman"/>
          <w:color w:val="000000" w:themeColor="text1"/>
          <w:sz w:val="24"/>
        </w:rPr>
        <w:t>ovarii</w:t>
      </w:r>
      <w:proofErr w:type="spellEnd"/>
      <w:r w:rsidRPr="00EB6DB8">
        <w:rPr>
          <w:rFonts w:ascii="Times New Roman" w:hAnsi="Times New Roman" w:cs="Times New Roman"/>
          <w:color w:val="000000" w:themeColor="text1"/>
          <w:sz w:val="24"/>
        </w:rPr>
        <w:t xml:space="preserve">: a clinicopathologic study of 54 cases. Int J </w:t>
      </w:r>
      <w:proofErr w:type="spellStart"/>
      <w:r w:rsidRPr="00EB6DB8">
        <w:rPr>
          <w:rFonts w:ascii="Times New Roman" w:hAnsi="Times New Roman" w:cs="Times New Roman"/>
          <w:color w:val="000000" w:themeColor="text1"/>
          <w:sz w:val="24"/>
        </w:rPr>
        <w:t>Gynecol</w:t>
      </w:r>
      <w:proofErr w:type="spellEnd"/>
      <w:r w:rsidRPr="00EB6DB8">
        <w:rPr>
          <w:rFonts w:ascii="Times New Roman" w:hAnsi="Times New Roman" w:cs="Times New Roman"/>
          <w:color w:val="000000" w:themeColor="text1"/>
          <w:sz w:val="24"/>
        </w:rPr>
        <w:t xml:space="preserve"> </w:t>
      </w:r>
      <w:proofErr w:type="spellStart"/>
      <w:r w:rsidRPr="00EB6DB8">
        <w:rPr>
          <w:rFonts w:ascii="Times New Roman" w:hAnsi="Times New Roman" w:cs="Times New Roman"/>
          <w:color w:val="000000" w:themeColor="text1"/>
          <w:sz w:val="24"/>
        </w:rPr>
        <w:t>Pathol</w:t>
      </w:r>
      <w:proofErr w:type="spellEnd"/>
      <w:r w:rsidRPr="00EB6DB8">
        <w:rPr>
          <w:rFonts w:ascii="Times New Roman" w:hAnsi="Times New Roman" w:cs="Times New Roman"/>
          <w:color w:val="000000" w:themeColor="text1"/>
          <w:sz w:val="24"/>
        </w:rPr>
        <w:t>. 1993;12(4):333-43.</w:t>
      </w:r>
    </w:p>
    <w:p w14:paraId="3C74561F" w14:textId="6100F937" w:rsidR="001D2099" w:rsidRPr="00EB6DB8" w:rsidRDefault="001D2099" w:rsidP="001D2099">
      <w:pPr>
        <w:spacing w:line="480" w:lineRule="auto"/>
        <w:jc w:val="left"/>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2. </w:t>
      </w:r>
      <w:proofErr w:type="spellStart"/>
      <w:r w:rsidRPr="00EB6DB8">
        <w:rPr>
          <w:rFonts w:ascii="Times New Roman" w:hAnsi="Times New Roman" w:cs="Times New Roman"/>
          <w:color w:val="000000" w:themeColor="text1"/>
          <w:sz w:val="24"/>
        </w:rPr>
        <w:t>Robboy</w:t>
      </w:r>
      <w:proofErr w:type="spellEnd"/>
      <w:r w:rsidRPr="00EB6DB8">
        <w:rPr>
          <w:rFonts w:ascii="Times New Roman" w:hAnsi="Times New Roman" w:cs="Times New Roman"/>
          <w:color w:val="000000" w:themeColor="text1"/>
          <w:sz w:val="24"/>
        </w:rPr>
        <w:t xml:space="preserve"> SJ, </w:t>
      </w:r>
      <w:proofErr w:type="spellStart"/>
      <w:r w:rsidRPr="00EB6DB8">
        <w:rPr>
          <w:rFonts w:ascii="Times New Roman" w:hAnsi="Times New Roman" w:cs="Times New Roman"/>
          <w:color w:val="000000" w:themeColor="text1"/>
          <w:sz w:val="24"/>
        </w:rPr>
        <w:t>Shaco</w:t>
      </w:r>
      <w:proofErr w:type="spellEnd"/>
      <w:r w:rsidRPr="00EB6DB8">
        <w:rPr>
          <w:rFonts w:ascii="Times New Roman" w:hAnsi="Times New Roman" w:cs="Times New Roman"/>
          <w:color w:val="000000" w:themeColor="text1"/>
          <w:sz w:val="24"/>
        </w:rPr>
        <w:t xml:space="preserve">-Levy R, Peng RY, Snyder MJ, Donahue J, Bentley RC, et al. Malignant struma </w:t>
      </w:r>
      <w:proofErr w:type="spellStart"/>
      <w:r w:rsidRPr="00EB6DB8">
        <w:rPr>
          <w:rFonts w:ascii="Times New Roman" w:hAnsi="Times New Roman" w:cs="Times New Roman"/>
          <w:color w:val="000000" w:themeColor="text1"/>
          <w:sz w:val="24"/>
        </w:rPr>
        <w:t>ovarii</w:t>
      </w:r>
      <w:proofErr w:type="spellEnd"/>
      <w:r w:rsidRPr="00EB6DB8">
        <w:rPr>
          <w:rFonts w:ascii="Times New Roman" w:hAnsi="Times New Roman" w:cs="Times New Roman"/>
          <w:color w:val="000000" w:themeColor="text1"/>
          <w:sz w:val="24"/>
        </w:rPr>
        <w:t xml:space="preserve">: an analysis of 88 cases, including 27 with extraovarian spread. Int J </w:t>
      </w:r>
      <w:proofErr w:type="spellStart"/>
      <w:r w:rsidRPr="00EB6DB8">
        <w:rPr>
          <w:rFonts w:ascii="Times New Roman" w:hAnsi="Times New Roman" w:cs="Times New Roman"/>
          <w:color w:val="000000" w:themeColor="text1"/>
          <w:sz w:val="24"/>
        </w:rPr>
        <w:t>Gynecol</w:t>
      </w:r>
      <w:proofErr w:type="spellEnd"/>
      <w:r w:rsidRPr="00EB6DB8">
        <w:rPr>
          <w:rFonts w:ascii="Times New Roman" w:hAnsi="Times New Roman" w:cs="Times New Roman"/>
          <w:color w:val="000000" w:themeColor="text1"/>
          <w:sz w:val="24"/>
        </w:rPr>
        <w:t xml:space="preserve"> </w:t>
      </w:r>
      <w:proofErr w:type="spellStart"/>
      <w:r w:rsidRPr="00EB6DB8">
        <w:rPr>
          <w:rFonts w:ascii="Times New Roman" w:hAnsi="Times New Roman" w:cs="Times New Roman"/>
          <w:color w:val="000000" w:themeColor="text1"/>
          <w:sz w:val="24"/>
        </w:rPr>
        <w:t>Pathol</w:t>
      </w:r>
      <w:proofErr w:type="spellEnd"/>
      <w:r w:rsidRPr="00EB6DB8">
        <w:rPr>
          <w:rFonts w:ascii="Times New Roman" w:hAnsi="Times New Roman" w:cs="Times New Roman"/>
          <w:color w:val="000000" w:themeColor="text1"/>
          <w:sz w:val="24"/>
        </w:rPr>
        <w:t>. 2009;28(5):405-22.</w:t>
      </w:r>
    </w:p>
    <w:p w14:paraId="5618BF1F" w14:textId="4658A1F3" w:rsidR="001D2099" w:rsidRPr="00EB6DB8" w:rsidRDefault="001D2099" w:rsidP="001D2099">
      <w:pPr>
        <w:spacing w:line="480" w:lineRule="auto"/>
        <w:jc w:val="left"/>
        <w:rPr>
          <w:rFonts w:ascii="Times New Roman" w:hAnsi="Times New Roman" w:cs="Times New Roman"/>
          <w:color w:val="000000" w:themeColor="text1"/>
          <w:sz w:val="24"/>
        </w:rPr>
      </w:pPr>
      <w:r>
        <w:rPr>
          <w:rFonts w:ascii="Times New Roman" w:hAnsi="Times New Roman" w:cs="Times New Roman"/>
          <w:color w:val="000000" w:themeColor="text1"/>
          <w:sz w:val="24"/>
        </w:rPr>
        <w:t>3</w:t>
      </w:r>
      <w:r w:rsidRPr="00EB6DB8">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EB6DB8">
        <w:rPr>
          <w:rFonts w:ascii="Times New Roman" w:hAnsi="Times New Roman" w:cs="Times New Roman"/>
          <w:color w:val="000000" w:themeColor="text1"/>
          <w:sz w:val="24"/>
        </w:rPr>
        <w:t xml:space="preserve">Garg K, </w:t>
      </w:r>
      <w:proofErr w:type="spellStart"/>
      <w:r w:rsidRPr="00EB6DB8">
        <w:rPr>
          <w:rFonts w:ascii="Times New Roman" w:hAnsi="Times New Roman" w:cs="Times New Roman"/>
          <w:color w:val="000000" w:themeColor="text1"/>
          <w:sz w:val="24"/>
        </w:rPr>
        <w:t>Soslow</w:t>
      </w:r>
      <w:proofErr w:type="spellEnd"/>
      <w:r w:rsidRPr="00EB6DB8">
        <w:rPr>
          <w:rFonts w:ascii="Times New Roman" w:hAnsi="Times New Roman" w:cs="Times New Roman"/>
          <w:color w:val="000000" w:themeColor="text1"/>
          <w:sz w:val="24"/>
        </w:rPr>
        <w:t xml:space="preserve"> RA, Rivera M, Tuttle MR, Ghossein RA. Histologically bland "extremely well differentiated" thyroid carcinomas arising in struma </w:t>
      </w:r>
      <w:proofErr w:type="spellStart"/>
      <w:r w:rsidRPr="00EB6DB8">
        <w:rPr>
          <w:rFonts w:ascii="Times New Roman" w:hAnsi="Times New Roman" w:cs="Times New Roman"/>
          <w:color w:val="000000" w:themeColor="text1"/>
          <w:sz w:val="24"/>
        </w:rPr>
        <w:t>ovarii</w:t>
      </w:r>
      <w:proofErr w:type="spellEnd"/>
      <w:r w:rsidRPr="00EB6DB8">
        <w:rPr>
          <w:rFonts w:ascii="Times New Roman" w:hAnsi="Times New Roman" w:cs="Times New Roman"/>
          <w:color w:val="000000" w:themeColor="text1"/>
          <w:sz w:val="24"/>
        </w:rPr>
        <w:t xml:space="preserve"> can recur and metastasize. Int J </w:t>
      </w:r>
      <w:proofErr w:type="spellStart"/>
      <w:r w:rsidRPr="00EB6DB8">
        <w:rPr>
          <w:rFonts w:ascii="Times New Roman" w:hAnsi="Times New Roman" w:cs="Times New Roman"/>
          <w:color w:val="000000" w:themeColor="text1"/>
          <w:sz w:val="24"/>
        </w:rPr>
        <w:t>Gynecol</w:t>
      </w:r>
      <w:proofErr w:type="spellEnd"/>
      <w:r w:rsidRPr="00EB6DB8">
        <w:rPr>
          <w:rFonts w:ascii="Times New Roman" w:hAnsi="Times New Roman" w:cs="Times New Roman"/>
          <w:color w:val="000000" w:themeColor="text1"/>
          <w:sz w:val="24"/>
        </w:rPr>
        <w:t xml:space="preserve"> </w:t>
      </w:r>
      <w:proofErr w:type="spellStart"/>
      <w:r w:rsidRPr="00EB6DB8">
        <w:rPr>
          <w:rFonts w:ascii="Times New Roman" w:hAnsi="Times New Roman" w:cs="Times New Roman"/>
          <w:color w:val="000000" w:themeColor="text1"/>
          <w:sz w:val="24"/>
        </w:rPr>
        <w:t>Pathol</w:t>
      </w:r>
      <w:proofErr w:type="spellEnd"/>
      <w:r w:rsidRPr="00EB6DB8">
        <w:rPr>
          <w:rFonts w:ascii="Times New Roman" w:hAnsi="Times New Roman" w:cs="Times New Roman"/>
          <w:color w:val="000000" w:themeColor="text1"/>
          <w:sz w:val="24"/>
        </w:rPr>
        <w:t>. 2009;28(3):222-30.</w:t>
      </w:r>
    </w:p>
    <w:p w14:paraId="0E68FCA1" w14:textId="31AE80C4" w:rsidR="001D2099" w:rsidRPr="00EB6DB8" w:rsidRDefault="001D2099" w:rsidP="001D2099">
      <w:pPr>
        <w:spacing w:line="480" w:lineRule="auto"/>
        <w:jc w:val="left"/>
        <w:rPr>
          <w:rFonts w:ascii="Times New Roman" w:hAnsi="Times New Roman" w:cs="Times New Roman"/>
          <w:color w:val="000000" w:themeColor="text1"/>
          <w:sz w:val="24"/>
        </w:rPr>
      </w:pPr>
      <w:r>
        <w:rPr>
          <w:rFonts w:ascii="Times New Roman" w:hAnsi="Times New Roman" w:cs="Times New Roman"/>
          <w:color w:val="000000" w:themeColor="text1"/>
          <w:sz w:val="24"/>
        </w:rPr>
        <w:t>4</w:t>
      </w:r>
      <w:r w:rsidRPr="00EB6DB8">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EB6DB8">
        <w:rPr>
          <w:rFonts w:ascii="Times New Roman" w:hAnsi="Times New Roman" w:cs="Times New Roman"/>
          <w:color w:val="000000" w:themeColor="text1"/>
          <w:sz w:val="24"/>
        </w:rPr>
        <w:t xml:space="preserve">Roth LM, Miller AW, 3rd, </w:t>
      </w:r>
      <w:proofErr w:type="spellStart"/>
      <w:r w:rsidRPr="00EB6DB8">
        <w:rPr>
          <w:rFonts w:ascii="Times New Roman" w:hAnsi="Times New Roman" w:cs="Times New Roman"/>
          <w:color w:val="000000" w:themeColor="text1"/>
          <w:sz w:val="24"/>
        </w:rPr>
        <w:t>Talerman</w:t>
      </w:r>
      <w:proofErr w:type="spellEnd"/>
      <w:r w:rsidRPr="00EB6DB8">
        <w:rPr>
          <w:rFonts w:ascii="Times New Roman" w:hAnsi="Times New Roman" w:cs="Times New Roman"/>
          <w:color w:val="000000" w:themeColor="text1"/>
          <w:sz w:val="24"/>
        </w:rPr>
        <w:t xml:space="preserve"> A. Typical thyroid-type carcinoma arising in struma </w:t>
      </w:r>
      <w:proofErr w:type="spellStart"/>
      <w:r w:rsidRPr="00EB6DB8">
        <w:rPr>
          <w:rFonts w:ascii="Times New Roman" w:hAnsi="Times New Roman" w:cs="Times New Roman"/>
          <w:color w:val="000000" w:themeColor="text1"/>
          <w:sz w:val="24"/>
        </w:rPr>
        <w:t>ovarii</w:t>
      </w:r>
      <w:proofErr w:type="spellEnd"/>
      <w:r w:rsidRPr="00EB6DB8">
        <w:rPr>
          <w:rFonts w:ascii="Times New Roman" w:hAnsi="Times New Roman" w:cs="Times New Roman"/>
          <w:color w:val="000000" w:themeColor="text1"/>
          <w:sz w:val="24"/>
        </w:rPr>
        <w:t xml:space="preserve">: a report of 4 cases and review of the literature. Int J </w:t>
      </w:r>
      <w:proofErr w:type="spellStart"/>
      <w:r w:rsidRPr="00EB6DB8">
        <w:rPr>
          <w:rFonts w:ascii="Times New Roman" w:hAnsi="Times New Roman" w:cs="Times New Roman"/>
          <w:color w:val="000000" w:themeColor="text1"/>
          <w:sz w:val="24"/>
        </w:rPr>
        <w:t>Gynecol</w:t>
      </w:r>
      <w:proofErr w:type="spellEnd"/>
      <w:r w:rsidRPr="00EB6DB8">
        <w:rPr>
          <w:rFonts w:ascii="Times New Roman" w:hAnsi="Times New Roman" w:cs="Times New Roman"/>
          <w:color w:val="000000" w:themeColor="text1"/>
          <w:sz w:val="24"/>
        </w:rPr>
        <w:t xml:space="preserve"> </w:t>
      </w:r>
      <w:proofErr w:type="spellStart"/>
      <w:r w:rsidRPr="00EB6DB8">
        <w:rPr>
          <w:rFonts w:ascii="Times New Roman" w:hAnsi="Times New Roman" w:cs="Times New Roman"/>
          <w:color w:val="000000" w:themeColor="text1"/>
          <w:sz w:val="24"/>
        </w:rPr>
        <w:t>Pathol</w:t>
      </w:r>
      <w:proofErr w:type="spellEnd"/>
      <w:r w:rsidRPr="00EB6DB8">
        <w:rPr>
          <w:rFonts w:ascii="Times New Roman" w:hAnsi="Times New Roman" w:cs="Times New Roman"/>
          <w:color w:val="000000" w:themeColor="text1"/>
          <w:sz w:val="24"/>
        </w:rPr>
        <w:t>. 2008;27(4):496-506.</w:t>
      </w:r>
    </w:p>
    <w:p w14:paraId="6CB06355" w14:textId="1C592B19" w:rsidR="001D2099" w:rsidRPr="00EB6DB8" w:rsidRDefault="001D2099" w:rsidP="001D2099">
      <w:pPr>
        <w:spacing w:line="480" w:lineRule="auto"/>
        <w:jc w:val="left"/>
        <w:rPr>
          <w:rFonts w:ascii="Times New Roman" w:hAnsi="Times New Roman" w:cs="Times New Roman"/>
          <w:color w:val="000000" w:themeColor="text1"/>
          <w:sz w:val="24"/>
        </w:rPr>
      </w:pPr>
      <w:r>
        <w:rPr>
          <w:rFonts w:ascii="Times New Roman" w:hAnsi="Times New Roman" w:cs="Times New Roman"/>
          <w:color w:val="000000" w:themeColor="text1"/>
          <w:sz w:val="24"/>
        </w:rPr>
        <w:t>5</w:t>
      </w:r>
      <w:r w:rsidRPr="00EB6DB8">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proofErr w:type="spellStart"/>
      <w:r w:rsidRPr="00EB6DB8">
        <w:rPr>
          <w:rFonts w:ascii="Times New Roman" w:hAnsi="Times New Roman" w:cs="Times New Roman"/>
          <w:color w:val="000000" w:themeColor="text1"/>
          <w:sz w:val="24"/>
        </w:rPr>
        <w:t>Hedinger</w:t>
      </w:r>
      <w:proofErr w:type="spellEnd"/>
      <w:r w:rsidRPr="00EB6DB8">
        <w:rPr>
          <w:rFonts w:ascii="Times New Roman" w:hAnsi="Times New Roman" w:cs="Times New Roman"/>
          <w:color w:val="000000" w:themeColor="text1"/>
          <w:sz w:val="24"/>
        </w:rPr>
        <w:t xml:space="preserve"> C WE, </w:t>
      </w:r>
      <w:proofErr w:type="spellStart"/>
      <w:r w:rsidRPr="00EB6DB8">
        <w:rPr>
          <w:rFonts w:ascii="Times New Roman" w:hAnsi="Times New Roman" w:cs="Times New Roman"/>
          <w:color w:val="000000" w:themeColor="text1"/>
          <w:sz w:val="24"/>
        </w:rPr>
        <w:t>Sobin</w:t>
      </w:r>
      <w:proofErr w:type="spellEnd"/>
      <w:r w:rsidRPr="00EB6DB8">
        <w:rPr>
          <w:rFonts w:ascii="Times New Roman" w:hAnsi="Times New Roman" w:cs="Times New Roman"/>
          <w:color w:val="000000" w:themeColor="text1"/>
          <w:sz w:val="24"/>
        </w:rPr>
        <w:t xml:space="preserve"> LH. Histological Typing of Thyroid </w:t>
      </w:r>
      <w:proofErr w:type="spellStart"/>
      <w:r w:rsidRPr="00EB6DB8">
        <w:rPr>
          <w:rFonts w:ascii="Times New Roman" w:hAnsi="Times New Roman" w:cs="Times New Roman"/>
          <w:color w:val="000000" w:themeColor="text1"/>
          <w:sz w:val="24"/>
        </w:rPr>
        <w:t>Tumours</w:t>
      </w:r>
      <w:proofErr w:type="spellEnd"/>
      <w:r w:rsidRPr="00EB6DB8">
        <w:rPr>
          <w:rFonts w:ascii="Times New Roman" w:hAnsi="Times New Roman" w:cs="Times New Roman"/>
          <w:color w:val="000000" w:themeColor="text1"/>
          <w:sz w:val="24"/>
        </w:rPr>
        <w:t>. 2nd ed. Berlin: Springer Verlag; 1998.</w:t>
      </w:r>
    </w:p>
    <w:p w14:paraId="31240D34" w14:textId="1E75D6F3" w:rsidR="001D2099" w:rsidRPr="00993947" w:rsidRDefault="001D2099" w:rsidP="00373CB2">
      <w:pPr>
        <w:spacing w:line="480" w:lineRule="auto"/>
        <w:jc w:val="left"/>
        <w:rPr>
          <w:rFonts w:ascii="Times New Roman" w:hAnsi="Times New Roman" w:cs="Times New Roman"/>
          <w:color w:val="000000" w:themeColor="text1"/>
          <w:sz w:val="24"/>
        </w:rPr>
      </w:pPr>
      <w:r>
        <w:rPr>
          <w:rFonts w:ascii="Times New Roman" w:hAnsi="Times New Roman" w:cs="Times New Roman"/>
          <w:color w:val="000000" w:themeColor="text1"/>
          <w:sz w:val="24"/>
        </w:rPr>
        <w:t>6</w:t>
      </w:r>
      <w:r w:rsidRPr="00EB6DB8">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EB6DB8">
        <w:rPr>
          <w:rFonts w:ascii="Times New Roman" w:hAnsi="Times New Roman" w:cs="Times New Roman"/>
          <w:color w:val="000000" w:themeColor="text1"/>
          <w:sz w:val="24"/>
        </w:rPr>
        <w:t xml:space="preserve">Yang N, Li Y, Liu Z, Qin H, Du D, Cao X, et al. The characteristics of </w:t>
      </w:r>
      <w:proofErr w:type="spellStart"/>
      <w:r w:rsidRPr="00EB6DB8">
        <w:rPr>
          <w:rFonts w:ascii="Times New Roman" w:hAnsi="Times New Roman" w:cs="Times New Roman"/>
          <w:color w:val="000000" w:themeColor="text1"/>
          <w:sz w:val="24"/>
        </w:rPr>
        <w:t>ctDNA</w:t>
      </w:r>
      <w:proofErr w:type="spellEnd"/>
      <w:r w:rsidRPr="00EB6DB8">
        <w:rPr>
          <w:rFonts w:ascii="Times New Roman" w:hAnsi="Times New Roman" w:cs="Times New Roman"/>
          <w:color w:val="000000" w:themeColor="text1"/>
          <w:sz w:val="24"/>
        </w:rPr>
        <w:t xml:space="preserve"> reveal the high complexity in matching the corresponding tumor tissues. BMC Cancer. 2018;18(1):319.</w:t>
      </w:r>
    </w:p>
    <w:sectPr w:rsidR="001D2099" w:rsidRPr="00993947" w:rsidSect="009F515A">
      <w:pgSz w:w="11900" w:h="16840"/>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947"/>
    <w:rsid w:val="00003A00"/>
    <w:rsid w:val="00004139"/>
    <w:rsid w:val="000066E2"/>
    <w:rsid w:val="00011AD7"/>
    <w:rsid w:val="000160D9"/>
    <w:rsid w:val="00016E07"/>
    <w:rsid w:val="00020973"/>
    <w:rsid w:val="00020C37"/>
    <w:rsid w:val="00023AB0"/>
    <w:rsid w:val="00040895"/>
    <w:rsid w:val="0004514C"/>
    <w:rsid w:val="00052C3A"/>
    <w:rsid w:val="000659C1"/>
    <w:rsid w:val="00073130"/>
    <w:rsid w:val="00073F2B"/>
    <w:rsid w:val="00075C8E"/>
    <w:rsid w:val="00086C95"/>
    <w:rsid w:val="00093B26"/>
    <w:rsid w:val="000A5CDF"/>
    <w:rsid w:val="000B0772"/>
    <w:rsid w:val="000B3872"/>
    <w:rsid w:val="000B4CA3"/>
    <w:rsid w:val="000B5F72"/>
    <w:rsid w:val="000B6403"/>
    <w:rsid w:val="000B7F9E"/>
    <w:rsid w:val="000C1E0B"/>
    <w:rsid w:val="000C626C"/>
    <w:rsid w:val="000D2B70"/>
    <w:rsid w:val="000E687B"/>
    <w:rsid w:val="000F647D"/>
    <w:rsid w:val="000F7411"/>
    <w:rsid w:val="00115CA7"/>
    <w:rsid w:val="001348C7"/>
    <w:rsid w:val="00136346"/>
    <w:rsid w:val="001430BD"/>
    <w:rsid w:val="00143EC3"/>
    <w:rsid w:val="00152E04"/>
    <w:rsid w:val="00154B9A"/>
    <w:rsid w:val="00164ABD"/>
    <w:rsid w:val="0016699F"/>
    <w:rsid w:val="00180388"/>
    <w:rsid w:val="00185781"/>
    <w:rsid w:val="001858A9"/>
    <w:rsid w:val="00185C58"/>
    <w:rsid w:val="001866E4"/>
    <w:rsid w:val="00194DAB"/>
    <w:rsid w:val="00195667"/>
    <w:rsid w:val="00196FBE"/>
    <w:rsid w:val="001A693B"/>
    <w:rsid w:val="001B2A7C"/>
    <w:rsid w:val="001B4597"/>
    <w:rsid w:val="001B5DFC"/>
    <w:rsid w:val="001C38B3"/>
    <w:rsid w:val="001C3A7F"/>
    <w:rsid w:val="001C5299"/>
    <w:rsid w:val="001C7352"/>
    <w:rsid w:val="001D02CA"/>
    <w:rsid w:val="001D2099"/>
    <w:rsid w:val="001D79B7"/>
    <w:rsid w:val="001E3E6E"/>
    <w:rsid w:val="001F2278"/>
    <w:rsid w:val="0020349B"/>
    <w:rsid w:val="0020641C"/>
    <w:rsid w:val="00215560"/>
    <w:rsid w:val="00216468"/>
    <w:rsid w:val="00220FC9"/>
    <w:rsid w:val="0022159D"/>
    <w:rsid w:val="00232F9D"/>
    <w:rsid w:val="00244583"/>
    <w:rsid w:val="00245D26"/>
    <w:rsid w:val="00251584"/>
    <w:rsid w:val="00254E44"/>
    <w:rsid w:val="00255202"/>
    <w:rsid w:val="00261A86"/>
    <w:rsid w:val="00264D5B"/>
    <w:rsid w:val="00274796"/>
    <w:rsid w:val="002770D6"/>
    <w:rsid w:val="00287024"/>
    <w:rsid w:val="0028784E"/>
    <w:rsid w:val="002A0204"/>
    <w:rsid w:val="002B14A9"/>
    <w:rsid w:val="002C1FB1"/>
    <w:rsid w:val="002C202C"/>
    <w:rsid w:val="002D22F8"/>
    <w:rsid w:val="002D745A"/>
    <w:rsid w:val="002D7635"/>
    <w:rsid w:val="002E03AD"/>
    <w:rsid w:val="002E376B"/>
    <w:rsid w:val="002E3CDE"/>
    <w:rsid w:val="002F43C7"/>
    <w:rsid w:val="003024BA"/>
    <w:rsid w:val="00305904"/>
    <w:rsid w:val="00311F74"/>
    <w:rsid w:val="00316037"/>
    <w:rsid w:val="00316E5A"/>
    <w:rsid w:val="003329CA"/>
    <w:rsid w:val="0033422B"/>
    <w:rsid w:val="00334D98"/>
    <w:rsid w:val="00342865"/>
    <w:rsid w:val="00343940"/>
    <w:rsid w:val="0034504F"/>
    <w:rsid w:val="0036100F"/>
    <w:rsid w:val="003622E1"/>
    <w:rsid w:val="00363658"/>
    <w:rsid w:val="00363BAB"/>
    <w:rsid w:val="003719CF"/>
    <w:rsid w:val="00371E69"/>
    <w:rsid w:val="00373CB2"/>
    <w:rsid w:val="00374000"/>
    <w:rsid w:val="0038336B"/>
    <w:rsid w:val="00385CD8"/>
    <w:rsid w:val="00390316"/>
    <w:rsid w:val="00395A9C"/>
    <w:rsid w:val="003B5B7C"/>
    <w:rsid w:val="003B7A65"/>
    <w:rsid w:val="003C314C"/>
    <w:rsid w:val="003C39D6"/>
    <w:rsid w:val="003C5F74"/>
    <w:rsid w:val="003C799E"/>
    <w:rsid w:val="003F1B8E"/>
    <w:rsid w:val="00401467"/>
    <w:rsid w:val="0040253D"/>
    <w:rsid w:val="00405BC9"/>
    <w:rsid w:val="00406764"/>
    <w:rsid w:val="00413024"/>
    <w:rsid w:val="00446A50"/>
    <w:rsid w:val="00447DED"/>
    <w:rsid w:val="004604C1"/>
    <w:rsid w:val="00465A6F"/>
    <w:rsid w:val="0047167C"/>
    <w:rsid w:val="00473E77"/>
    <w:rsid w:val="00474600"/>
    <w:rsid w:val="00476505"/>
    <w:rsid w:val="00483165"/>
    <w:rsid w:val="00497730"/>
    <w:rsid w:val="004979B5"/>
    <w:rsid w:val="004B384B"/>
    <w:rsid w:val="004B4835"/>
    <w:rsid w:val="004B7B7A"/>
    <w:rsid w:val="004C3324"/>
    <w:rsid w:val="004D1562"/>
    <w:rsid w:val="004D50CC"/>
    <w:rsid w:val="004D6242"/>
    <w:rsid w:val="004E12A7"/>
    <w:rsid w:val="004E6CB0"/>
    <w:rsid w:val="004F081F"/>
    <w:rsid w:val="004F4076"/>
    <w:rsid w:val="004F69CE"/>
    <w:rsid w:val="00501C15"/>
    <w:rsid w:val="00504897"/>
    <w:rsid w:val="005161E2"/>
    <w:rsid w:val="005179CB"/>
    <w:rsid w:val="005218C7"/>
    <w:rsid w:val="00524403"/>
    <w:rsid w:val="00524D23"/>
    <w:rsid w:val="0053068A"/>
    <w:rsid w:val="00533512"/>
    <w:rsid w:val="00554B1F"/>
    <w:rsid w:val="00556B32"/>
    <w:rsid w:val="00556BF1"/>
    <w:rsid w:val="00565F5C"/>
    <w:rsid w:val="00577267"/>
    <w:rsid w:val="00592B63"/>
    <w:rsid w:val="005935C2"/>
    <w:rsid w:val="0059590A"/>
    <w:rsid w:val="00595EA6"/>
    <w:rsid w:val="005A1C89"/>
    <w:rsid w:val="005B422B"/>
    <w:rsid w:val="005C355A"/>
    <w:rsid w:val="005C4212"/>
    <w:rsid w:val="005C67E4"/>
    <w:rsid w:val="005D55E1"/>
    <w:rsid w:val="005E321D"/>
    <w:rsid w:val="005E4378"/>
    <w:rsid w:val="005F2814"/>
    <w:rsid w:val="005F29C9"/>
    <w:rsid w:val="00602B6E"/>
    <w:rsid w:val="00614002"/>
    <w:rsid w:val="00620556"/>
    <w:rsid w:val="00621420"/>
    <w:rsid w:val="00624A37"/>
    <w:rsid w:val="006263F4"/>
    <w:rsid w:val="00646720"/>
    <w:rsid w:val="00655786"/>
    <w:rsid w:val="00661D81"/>
    <w:rsid w:val="00663646"/>
    <w:rsid w:val="00663712"/>
    <w:rsid w:val="006664DB"/>
    <w:rsid w:val="00673CC6"/>
    <w:rsid w:val="006770C1"/>
    <w:rsid w:val="00681318"/>
    <w:rsid w:val="00681390"/>
    <w:rsid w:val="006875F6"/>
    <w:rsid w:val="00687E91"/>
    <w:rsid w:val="006A4352"/>
    <w:rsid w:val="006A7FA1"/>
    <w:rsid w:val="006B58D1"/>
    <w:rsid w:val="006B61EB"/>
    <w:rsid w:val="006C5803"/>
    <w:rsid w:val="006C6D48"/>
    <w:rsid w:val="006D507D"/>
    <w:rsid w:val="006D7A66"/>
    <w:rsid w:val="006E176E"/>
    <w:rsid w:val="006E316D"/>
    <w:rsid w:val="006E4C0A"/>
    <w:rsid w:val="006E520E"/>
    <w:rsid w:val="006E618E"/>
    <w:rsid w:val="006F08A1"/>
    <w:rsid w:val="007134B3"/>
    <w:rsid w:val="00714512"/>
    <w:rsid w:val="00721789"/>
    <w:rsid w:val="007233C2"/>
    <w:rsid w:val="00723886"/>
    <w:rsid w:val="0072497E"/>
    <w:rsid w:val="007315BE"/>
    <w:rsid w:val="00742063"/>
    <w:rsid w:val="00742811"/>
    <w:rsid w:val="0074304A"/>
    <w:rsid w:val="00750E6A"/>
    <w:rsid w:val="00761DF0"/>
    <w:rsid w:val="00762375"/>
    <w:rsid w:val="007726CC"/>
    <w:rsid w:val="0077395E"/>
    <w:rsid w:val="007761FA"/>
    <w:rsid w:val="0077742F"/>
    <w:rsid w:val="00786206"/>
    <w:rsid w:val="00794817"/>
    <w:rsid w:val="007967AB"/>
    <w:rsid w:val="007A5B0C"/>
    <w:rsid w:val="007A6E0A"/>
    <w:rsid w:val="007B070D"/>
    <w:rsid w:val="007C3B37"/>
    <w:rsid w:val="007C49EC"/>
    <w:rsid w:val="007E2805"/>
    <w:rsid w:val="007E3D71"/>
    <w:rsid w:val="007E3ED8"/>
    <w:rsid w:val="007E5F3D"/>
    <w:rsid w:val="007E7F68"/>
    <w:rsid w:val="007F5C2B"/>
    <w:rsid w:val="00812156"/>
    <w:rsid w:val="008123DE"/>
    <w:rsid w:val="008224D5"/>
    <w:rsid w:val="00831E75"/>
    <w:rsid w:val="00840AFD"/>
    <w:rsid w:val="00842E96"/>
    <w:rsid w:val="0084435C"/>
    <w:rsid w:val="00844479"/>
    <w:rsid w:val="00846837"/>
    <w:rsid w:val="00847BD7"/>
    <w:rsid w:val="00847DDA"/>
    <w:rsid w:val="00847E88"/>
    <w:rsid w:val="0085468A"/>
    <w:rsid w:val="00854B10"/>
    <w:rsid w:val="00855D56"/>
    <w:rsid w:val="008601DF"/>
    <w:rsid w:val="00871508"/>
    <w:rsid w:val="00872A46"/>
    <w:rsid w:val="0087458F"/>
    <w:rsid w:val="00895379"/>
    <w:rsid w:val="008B0BE4"/>
    <w:rsid w:val="008B5287"/>
    <w:rsid w:val="008B5955"/>
    <w:rsid w:val="008D034E"/>
    <w:rsid w:val="008D36C0"/>
    <w:rsid w:val="008E2381"/>
    <w:rsid w:val="008E407B"/>
    <w:rsid w:val="008F21B3"/>
    <w:rsid w:val="00901ACE"/>
    <w:rsid w:val="00906DA5"/>
    <w:rsid w:val="00916C59"/>
    <w:rsid w:val="00917E34"/>
    <w:rsid w:val="009245F1"/>
    <w:rsid w:val="0092539A"/>
    <w:rsid w:val="009360FD"/>
    <w:rsid w:val="00936373"/>
    <w:rsid w:val="00937CE9"/>
    <w:rsid w:val="0094759A"/>
    <w:rsid w:val="009479A9"/>
    <w:rsid w:val="00953403"/>
    <w:rsid w:val="009535E3"/>
    <w:rsid w:val="00960495"/>
    <w:rsid w:val="00961839"/>
    <w:rsid w:val="0096481A"/>
    <w:rsid w:val="009654D9"/>
    <w:rsid w:val="00966198"/>
    <w:rsid w:val="00974FD2"/>
    <w:rsid w:val="00985107"/>
    <w:rsid w:val="009879BF"/>
    <w:rsid w:val="00992F63"/>
    <w:rsid w:val="00993210"/>
    <w:rsid w:val="00993947"/>
    <w:rsid w:val="009A7365"/>
    <w:rsid w:val="009B46E5"/>
    <w:rsid w:val="009B728C"/>
    <w:rsid w:val="009C329C"/>
    <w:rsid w:val="009C417E"/>
    <w:rsid w:val="009D6B87"/>
    <w:rsid w:val="009E0216"/>
    <w:rsid w:val="009E1E62"/>
    <w:rsid w:val="009E3988"/>
    <w:rsid w:val="009F1210"/>
    <w:rsid w:val="009F515A"/>
    <w:rsid w:val="009F521C"/>
    <w:rsid w:val="009F651F"/>
    <w:rsid w:val="00A100EE"/>
    <w:rsid w:val="00A10F2B"/>
    <w:rsid w:val="00A16E1F"/>
    <w:rsid w:val="00A32293"/>
    <w:rsid w:val="00A3533D"/>
    <w:rsid w:val="00A410DA"/>
    <w:rsid w:val="00A427A2"/>
    <w:rsid w:val="00A61880"/>
    <w:rsid w:val="00A61A0E"/>
    <w:rsid w:val="00A62830"/>
    <w:rsid w:val="00A72E36"/>
    <w:rsid w:val="00A77481"/>
    <w:rsid w:val="00A839BE"/>
    <w:rsid w:val="00A90F10"/>
    <w:rsid w:val="00A9491C"/>
    <w:rsid w:val="00A95BFF"/>
    <w:rsid w:val="00AA6829"/>
    <w:rsid w:val="00AB282E"/>
    <w:rsid w:val="00AC3415"/>
    <w:rsid w:val="00AC4C0A"/>
    <w:rsid w:val="00AC60D7"/>
    <w:rsid w:val="00AD549D"/>
    <w:rsid w:val="00AD6204"/>
    <w:rsid w:val="00AE0C46"/>
    <w:rsid w:val="00AF0488"/>
    <w:rsid w:val="00AF318F"/>
    <w:rsid w:val="00AF74E3"/>
    <w:rsid w:val="00B050CB"/>
    <w:rsid w:val="00B1391B"/>
    <w:rsid w:val="00B15AD9"/>
    <w:rsid w:val="00B160E7"/>
    <w:rsid w:val="00B2007E"/>
    <w:rsid w:val="00B222B9"/>
    <w:rsid w:val="00B23B7C"/>
    <w:rsid w:val="00B26795"/>
    <w:rsid w:val="00B2686A"/>
    <w:rsid w:val="00B40340"/>
    <w:rsid w:val="00B52ECB"/>
    <w:rsid w:val="00B60EDE"/>
    <w:rsid w:val="00B61881"/>
    <w:rsid w:val="00B66E78"/>
    <w:rsid w:val="00B67688"/>
    <w:rsid w:val="00B8355B"/>
    <w:rsid w:val="00B92D40"/>
    <w:rsid w:val="00BA2D7D"/>
    <w:rsid w:val="00BA65F6"/>
    <w:rsid w:val="00BB0DF0"/>
    <w:rsid w:val="00BB0E2E"/>
    <w:rsid w:val="00BB5C14"/>
    <w:rsid w:val="00BC7B50"/>
    <w:rsid w:val="00BD52B9"/>
    <w:rsid w:val="00BD65A5"/>
    <w:rsid w:val="00BD68FD"/>
    <w:rsid w:val="00BD6E6B"/>
    <w:rsid w:val="00BE1016"/>
    <w:rsid w:val="00BE28D5"/>
    <w:rsid w:val="00BE39CC"/>
    <w:rsid w:val="00BE576D"/>
    <w:rsid w:val="00BE7F60"/>
    <w:rsid w:val="00BF214F"/>
    <w:rsid w:val="00BF6982"/>
    <w:rsid w:val="00C04EB3"/>
    <w:rsid w:val="00C0589F"/>
    <w:rsid w:val="00C11094"/>
    <w:rsid w:val="00C113DB"/>
    <w:rsid w:val="00C1163B"/>
    <w:rsid w:val="00C23E17"/>
    <w:rsid w:val="00C24692"/>
    <w:rsid w:val="00C25042"/>
    <w:rsid w:val="00C25DB7"/>
    <w:rsid w:val="00C34650"/>
    <w:rsid w:val="00C34773"/>
    <w:rsid w:val="00C51BBB"/>
    <w:rsid w:val="00C5615F"/>
    <w:rsid w:val="00C620D4"/>
    <w:rsid w:val="00C6292B"/>
    <w:rsid w:val="00C62CD0"/>
    <w:rsid w:val="00C66C35"/>
    <w:rsid w:val="00C70BF8"/>
    <w:rsid w:val="00C73028"/>
    <w:rsid w:val="00C8068D"/>
    <w:rsid w:val="00C80CEB"/>
    <w:rsid w:val="00C8485E"/>
    <w:rsid w:val="00C84FD7"/>
    <w:rsid w:val="00C912D0"/>
    <w:rsid w:val="00C965C5"/>
    <w:rsid w:val="00C97C75"/>
    <w:rsid w:val="00CA0CF0"/>
    <w:rsid w:val="00CA2484"/>
    <w:rsid w:val="00CA32CF"/>
    <w:rsid w:val="00CA6E9F"/>
    <w:rsid w:val="00CB040B"/>
    <w:rsid w:val="00CB2E11"/>
    <w:rsid w:val="00CE3632"/>
    <w:rsid w:val="00CE3A5F"/>
    <w:rsid w:val="00CF7CD8"/>
    <w:rsid w:val="00D01ABD"/>
    <w:rsid w:val="00D06E9B"/>
    <w:rsid w:val="00D15A5C"/>
    <w:rsid w:val="00D213FE"/>
    <w:rsid w:val="00D216C3"/>
    <w:rsid w:val="00D3243D"/>
    <w:rsid w:val="00D40D7B"/>
    <w:rsid w:val="00D866EA"/>
    <w:rsid w:val="00D95425"/>
    <w:rsid w:val="00DA493F"/>
    <w:rsid w:val="00DB5FAB"/>
    <w:rsid w:val="00DC3F3B"/>
    <w:rsid w:val="00DC78A2"/>
    <w:rsid w:val="00DD2E03"/>
    <w:rsid w:val="00DD508E"/>
    <w:rsid w:val="00E153B4"/>
    <w:rsid w:val="00E201F8"/>
    <w:rsid w:val="00E20E89"/>
    <w:rsid w:val="00E22022"/>
    <w:rsid w:val="00E22307"/>
    <w:rsid w:val="00E24ADA"/>
    <w:rsid w:val="00E421E6"/>
    <w:rsid w:val="00E425FC"/>
    <w:rsid w:val="00E45158"/>
    <w:rsid w:val="00E56F25"/>
    <w:rsid w:val="00E714D3"/>
    <w:rsid w:val="00E774C1"/>
    <w:rsid w:val="00E83A89"/>
    <w:rsid w:val="00E92312"/>
    <w:rsid w:val="00E96FC7"/>
    <w:rsid w:val="00E97EE2"/>
    <w:rsid w:val="00EA2052"/>
    <w:rsid w:val="00EB735A"/>
    <w:rsid w:val="00EB7514"/>
    <w:rsid w:val="00EB76A9"/>
    <w:rsid w:val="00EC62BC"/>
    <w:rsid w:val="00EC7612"/>
    <w:rsid w:val="00ED2A26"/>
    <w:rsid w:val="00ED5F1C"/>
    <w:rsid w:val="00EF3784"/>
    <w:rsid w:val="00EF466B"/>
    <w:rsid w:val="00EF7958"/>
    <w:rsid w:val="00F027FE"/>
    <w:rsid w:val="00F10D0E"/>
    <w:rsid w:val="00F13189"/>
    <w:rsid w:val="00F14389"/>
    <w:rsid w:val="00F14D4A"/>
    <w:rsid w:val="00F37A0B"/>
    <w:rsid w:val="00F439FB"/>
    <w:rsid w:val="00F44DD0"/>
    <w:rsid w:val="00F46A9E"/>
    <w:rsid w:val="00F478C6"/>
    <w:rsid w:val="00F55EB9"/>
    <w:rsid w:val="00F56EDE"/>
    <w:rsid w:val="00F5711D"/>
    <w:rsid w:val="00F6164A"/>
    <w:rsid w:val="00F63C86"/>
    <w:rsid w:val="00F8421B"/>
    <w:rsid w:val="00F84228"/>
    <w:rsid w:val="00F91B96"/>
    <w:rsid w:val="00F951CA"/>
    <w:rsid w:val="00FA1485"/>
    <w:rsid w:val="00FB0AB9"/>
    <w:rsid w:val="00FB3AF6"/>
    <w:rsid w:val="00FB41A3"/>
    <w:rsid w:val="00FC0E82"/>
    <w:rsid w:val="00FC5512"/>
    <w:rsid w:val="00FC7B46"/>
    <w:rsid w:val="00FD26E4"/>
    <w:rsid w:val="00FD703E"/>
    <w:rsid w:val="00FE0278"/>
    <w:rsid w:val="00FE3F6B"/>
    <w:rsid w:val="00FE6363"/>
    <w:rsid w:val="00FE757E"/>
    <w:rsid w:val="00FE7915"/>
    <w:rsid w:val="00FE7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9A329F"/>
  <w15:chartTrackingRefBased/>
  <w15:docId w15:val="{34BB6FFC-8B68-6242-BD3B-8E42706A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9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498</Words>
  <Characters>2842</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A64093</dc:creator>
  <cp:keywords/>
  <dc:description/>
  <cp:lastModifiedBy>A64093</cp:lastModifiedBy>
  <cp:revision>18</cp:revision>
  <dcterms:created xsi:type="dcterms:W3CDTF">2022-02-15T12:28:00Z</dcterms:created>
  <dcterms:modified xsi:type="dcterms:W3CDTF">2022-03-11T15:02:00Z</dcterms:modified>
</cp:coreProperties>
</file>