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1. </w:t>
      </w:r>
      <w:r>
        <w:rPr>
          <w:rFonts w:ascii="Times New Roman" w:hAnsi="Times New Roman" w:cs="Times New Roman"/>
          <w:sz w:val="24"/>
          <w:szCs w:val="24"/>
        </w:rPr>
        <w:t>Gene expression data from Gene Expression Omnibus (GEO) database.</w:t>
      </w:r>
    </w:p>
    <w:tbl>
      <w:tblPr>
        <w:tblStyle w:val="2"/>
        <w:tblpPr w:leftFromText="180" w:rightFromText="180" w:vertAnchor="page" w:horzAnchor="page" w:tblpX="1856" w:tblpY="2281"/>
        <w:tblW w:w="83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032"/>
        <w:gridCol w:w="1134"/>
        <w:gridCol w:w="870"/>
        <w:gridCol w:w="1392"/>
        <w:gridCol w:w="1275"/>
        <w:gridCol w:w="10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Dataset ID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Total samples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Control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PCOS</w:t>
            </w:r>
          </w:p>
        </w:tc>
        <w:tc>
          <w:tcPr>
            <w:tcW w:w="13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Data type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Tissue type</w:t>
            </w: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Country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GSE137684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Microarray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Granulosa cells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GSE80432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Microarray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Granulosa cells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GSE114419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Microarray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Granulosa cells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GSE138518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RNA-seq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Granulosa cells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GSE155489</w:t>
            </w:r>
          </w:p>
        </w:tc>
        <w:tc>
          <w:tcPr>
            <w:tcW w:w="10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RNA-seq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Granulosa cells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</w:tr>
    </w:tbl>
    <w:p>
      <w:pPr>
        <w:rPr>
          <w:rFonts w:hint="eastAsia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B41"/>
    <w:rsid w:val="00064975"/>
    <w:rsid w:val="00FD5B41"/>
    <w:rsid w:val="03A06B6E"/>
    <w:rsid w:val="36F04518"/>
    <w:rsid w:val="5C742515"/>
    <w:rsid w:val="76FE6942"/>
    <w:rsid w:val="7E3B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372</Characters>
  <Lines>3</Lines>
  <Paragraphs>1</Paragraphs>
  <TotalTime>1</TotalTime>
  <ScaleCrop>false</ScaleCrop>
  <LinksUpToDate>false</LinksUpToDate>
  <CharactersWithSpaces>436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2021-11-08T10:36:00Z</dcterms:created>
  <dc:creator>qiao xinbo</dc:creator>
  <cp:lastModifiedBy>那芷菁</cp:lastModifiedBy>
  <dcterms:modified xsi:type="dcterms:W3CDTF">2022-02-11T09:16:46Z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2220B6DFF3514A55A5BF98235EC0DAE0</vt:lpwstr>
  </property>
</Properties>
</file>