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7F" w:rsidRPr="00AC34C9" w:rsidRDefault="006A787F" w:rsidP="006A787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34C9">
        <w:rPr>
          <w:rFonts w:ascii="Arial" w:hAnsi="Arial" w:cs="Arial"/>
          <w:b/>
          <w:bCs/>
          <w:sz w:val="24"/>
          <w:szCs w:val="24"/>
        </w:rPr>
        <w:t>Supplementary figure 1: Bulk RNA-sequencing analyses show</w:t>
      </w:r>
      <w:r>
        <w:rPr>
          <w:rFonts w:ascii="Arial" w:hAnsi="Arial" w:cs="Arial"/>
          <w:b/>
          <w:bCs/>
          <w:sz w:val="24"/>
          <w:szCs w:val="24"/>
        </w:rPr>
        <w:t>ed</w:t>
      </w:r>
      <w:r w:rsidRPr="00AC34C9">
        <w:rPr>
          <w:rFonts w:ascii="Arial" w:hAnsi="Arial" w:cs="Arial"/>
          <w:b/>
          <w:bCs/>
          <w:sz w:val="24"/>
          <w:szCs w:val="24"/>
        </w:rPr>
        <w:t xml:space="preserve"> differences between the control (-DOX-TMP) and induced (+DOX+TMP) conditions.</w:t>
      </w:r>
    </w:p>
    <w:p w:rsidR="006A787F" w:rsidRPr="00AC34C9" w:rsidRDefault="006A787F" w:rsidP="006A78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C34C9">
        <w:rPr>
          <w:rFonts w:ascii="Arial" w:hAnsi="Arial" w:cs="Arial"/>
          <w:b/>
          <w:bCs/>
          <w:sz w:val="24"/>
          <w:szCs w:val="24"/>
        </w:rPr>
        <w:t xml:space="preserve">A. </w:t>
      </w:r>
      <w:r w:rsidRPr="00AC34C9">
        <w:rPr>
          <w:rFonts w:ascii="Arial" w:hAnsi="Arial" w:cs="Arial"/>
          <w:sz w:val="24"/>
          <w:szCs w:val="24"/>
        </w:rPr>
        <w:t xml:space="preserve">Principal component analysis (PCA) comparing samples from different days of differentiation and control (CTRL, -DOX –TMP) and induced (IND, +DOX +TMP) conditions. </w:t>
      </w:r>
      <w:proofErr w:type="gramStart"/>
      <w:r w:rsidRPr="00AC34C9">
        <w:rPr>
          <w:rFonts w:ascii="Arial" w:hAnsi="Arial" w:cs="Arial"/>
          <w:sz w:val="24"/>
          <w:szCs w:val="24"/>
        </w:rPr>
        <w:t>d</w:t>
      </w:r>
      <w:proofErr w:type="gramEnd"/>
      <w:r w:rsidRPr="00AC34C9">
        <w:rPr>
          <w:rFonts w:ascii="Arial" w:hAnsi="Arial" w:cs="Arial"/>
          <w:sz w:val="24"/>
          <w:szCs w:val="24"/>
        </w:rPr>
        <w:t>; day.</w:t>
      </w:r>
      <w:r w:rsidRPr="00AC34C9">
        <w:rPr>
          <w:rFonts w:ascii="Arial" w:hAnsi="Arial" w:cs="Arial"/>
          <w:b/>
          <w:bCs/>
          <w:sz w:val="24"/>
          <w:szCs w:val="24"/>
        </w:rPr>
        <w:t xml:space="preserve"> B. </w:t>
      </w:r>
      <w:r w:rsidRPr="00AC34C9">
        <w:rPr>
          <w:rFonts w:ascii="Arial" w:hAnsi="Arial" w:cs="Arial"/>
          <w:sz w:val="24"/>
          <w:szCs w:val="24"/>
        </w:rPr>
        <w:t xml:space="preserve">Flowchart comparing the number of differentially expressed (black), coding (orange), non-coding (blue), upregulated (green) and downregulated (red) genes </w:t>
      </w:r>
      <w:r>
        <w:rPr>
          <w:rFonts w:ascii="Arial" w:hAnsi="Arial" w:cs="Arial"/>
          <w:sz w:val="24"/>
          <w:szCs w:val="24"/>
        </w:rPr>
        <w:t>in</w:t>
      </w:r>
      <w:r w:rsidRPr="00AC34C9">
        <w:rPr>
          <w:rFonts w:ascii="Arial" w:hAnsi="Arial" w:cs="Arial"/>
          <w:sz w:val="24"/>
          <w:szCs w:val="24"/>
        </w:rPr>
        <w:t xml:space="preserve"> induced (+DOX+TMP) and non-induced (-DOX-TMP) conditions </w:t>
      </w:r>
      <w:r>
        <w:rPr>
          <w:rFonts w:ascii="Arial" w:hAnsi="Arial" w:cs="Arial"/>
          <w:sz w:val="24"/>
          <w:szCs w:val="24"/>
        </w:rPr>
        <w:t>at</w:t>
      </w:r>
      <w:r w:rsidRPr="00AC34C9">
        <w:rPr>
          <w:rFonts w:ascii="Arial" w:hAnsi="Arial" w:cs="Arial"/>
          <w:sz w:val="24"/>
          <w:szCs w:val="24"/>
        </w:rPr>
        <w:t xml:space="preserve"> different </w:t>
      </w:r>
      <w:proofErr w:type="spellStart"/>
      <w:r w:rsidRPr="00AC34C9">
        <w:rPr>
          <w:rFonts w:ascii="Arial" w:hAnsi="Arial" w:cs="Arial"/>
          <w:sz w:val="24"/>
          <w:szCs w:val="24"/>
        </w:rPr>
        <w:t>timepoints</w:t>
      </w:r>
      <w:proofErr w:type="spellEnd"/>
      <w:r w:rsidRPr="00AC34C9">
        <w:rPr>
          <w:rFonts w:ascii="Arial" w:hAnsi="Arial" w:cs="Arial"/>
          <w:sz w:val="24"/>
          <w:szCs w:val="24"/>
        </w:rPr>
        <w:t xml:space="preserve"> in both female and male gonadal differentiation. </w:t>
      </w:r>
      <w:proofErr w:type="gramStart"/>
      <w:r w:rsidRPr="00AC34C9">
        <w:rPr>
          <w:rFonts w:ascii="Arial" w:hAnsi="Arial" w:cs="Arial"/>
          <w:sz w:val="24"/>
          <w:szCs w:val="24"/>
        </w:rPr>
        <w:t>d</w:t>
      </w:r>
      <w:proofErr w:type="gramEnd"/>
      <w:r w:rsidRPr="00AC34C9">
        <w:rPr>
          <w:rFonts w:ascii="Arial" w:hAnsi="Arial" w:cs="Arial"/>
          <w:sz w:val="24"/>
          <w:szCs w:val="24"/>
        </w:rPr>
        <w:t>; day.</w:t>
      </w:r>
    </w:p>
    <w:p w:rsidR="009144F1" w:rsidRDefault="009144F1"/>
    <w:p w:rsidR="006A787F" w:rsidRDefault="006A787F"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84727FD" wp14:editId="6CD5FD82">
            <wp:extent cx="5731510" cy="7070725"/>
            <wp:effectExtent l="0" t="0" r="2540" b="0"/>
            <wp:docPr id="10" name="Picture 10" descr="A screenshot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 screen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7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87F" w:rsidRDefault="006A787F"/>
    <w:p w:rsidR="006A787F" w:rsidRDefault="006A787F"/>
    <w:p w:rsidR="006A787F" w:rsidRPr="00AC34C9" w:rsidRDefault="006A787F" w:rsidP="006A787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34C9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figure 2: Differentially expressed upregulated genes </w:t>
      </w:r>
      <w:r>
        <w:rPr>
          <w:rFonts w:ascii="Arial" w:hAnsi="Arial" w:cs="Arial"/>
          <w:b/>
          <w:bCs/>
          <w:sz w:val="24"/>
          <w:szCs w:val="24"/>
        </w:rPr>
        <w:t>were</w:t>
      </w:r>
      <w:r w:rsidRPr="00AC34C9">
        <w:rPr>
          <w:rFonts w:ascii="Arial" w:hAnsi="Arial" w:cs="Arial"/>
          <w:b/>
          <w:bCs/>
          <w:sz w:val="24"/>
          <w:szCs w:val="24"/>
        </w:rPr>
        <w:t xml:space="preserve"> mostly associated with (adrenal) steroidogenesis.</w:t>
      </w:r>
    </w:p>
    <w:p w:rsidR="006A787F" w:rsidRPr="00AC34C9" w:rsidRDefault="006A787F" w:rsidP="006A787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34C9">
        <w:rPr>
          <w:rFonts w:ascii="Arial" w:hAnsi="Arial" w:cs="Arial"/>
          <w:b/>
          <w:bCs/>
          <w:sz w:val="24"/>
          <w:szCs w:val="24"/>
        </w:rPr>
        <w:t xml:space="preserve">A. </w:t>
      </w:r>
      <w:r w:rsidRPr="00AC34C9">
        <w:rPr>
          <w:rFonts w:ascii="Arial" w:hAnsi="Arial" w:cs="Arial"/>
          <w:sz w:val="24"/>
          <w:szCs w:val="24"/>
        </w:rPr>
        <w:t>RT-qPCR analysis show</w:t>
      </w:r>
      <w:r>
        <w:rPr>
          <w:rFonts w:ascii="Arial" w:hAnsi="Arial" w:cs="Arial"/>
          <w:sz w:val="24"/>
          <w:szCs w:val="24"/>
        </w:rPr>
        <w:t>ed</w:t>
      </w:r>
      <w:r w:rsidRPr="00AC34C9">
        <w:rPr>
          <w:rFonts w:ascii="Arial" w:hAnsi="Arial" w:cs="Arial"/>
          <w:sz w:val="24"/>
          <w:szCs w:val="24"/>
        </w:rPr>
        <w:t xml:space="preserve"> that </w:t>
      </w:r>
      <w:r w:rsidRPr="00AC34C9">
        <w:rPr>
          <w:rFonts w:ascii="Arial" w:hAnsi="Arial" w:cs="Arial"/>
          <w:i/>
          <w:iCs/>
          <w:sz w:val="24"/>
          <w:szCs w:val="24"/>
        </w:rPr>
        <w:t xml:space="preserve">NR5A1 </w:t>
      </w:r>
      <w:r w:rsidRPr="00AC34C9">
        <w:rPr>
          <w:rFonts w:ascii="Arial" w:hAnsi="Arial" w:cs="Arial"/>
          <w:sz w:val="24"/>
          <w:szCs w:val="24"/>
        </w:rPr>
        <w:t>induction upregulate</w:t>
      </w:r>
      <w:r>
        <w:rPr>
          <w:rFonts w:ascii="Arial" w:hAnsi="Arial" w:cs="Arial"/>
          <w:sz w:val="24"/>
          <w:szCs w:val="24"/>
        </w:rPr>
        <w:t>d</w:t>
      </w:r>
      <w:r w:rsidRPr="00AC34C9">
        <w:rPr>
          <w:rFonts w:ascii="Arial" w:hAnsi="Arial" w:cs="Arial"/>
          <w:sz w:val="24"/>
          <w:szCs w:val="24"/>
        </w:rPr>
        <w:t xml:space="preserve"> the markers </w:t>
      </w:r>
      <w:r w:rsidRPr="00AC34C9">
        <w:rPr>
          <w:rFonts w:ascii="Arial" w:hAnsi="Arial" w:cs="Arial"/>
          <w:i/>
          <w:iCs/>
          <w:sz w:val="24"/>
          <w:szCs w:val="24"/>
        </w:rPr>
        <w:t>HPGD, GSTA1</w:t>
      </w:r>
      <w:r w:rsidRPr="00AC34C9">
        <w:rPr>
          <w:rFonts w:ascii="Arial" w:hAnsi="Arial" w:cs="Arial"/>
          <w:sz w:val="24"/>
          <w:szCs w:val="24"/>
        </w:rPr>
        <w:t xml:space="preserve">, </w:t>
      </w:r>
      <w:r w:rsidRPr="00AC34C9">
        <w:rPr>
          <w:rFonts w:ascii="Arial" w:hAnsi="Arial" w:cs="Arial"/>
          <w:i/>
          <w:iCs/>
          <w:sz w:val="24"/>
          <w:szCs w:val="24"/>
        </w:rPr>
        <w:t>GSTA2</w:t>
      </w:r>
      <w:r w:rsidRPr="00AC34C9">
        <w:rPr>
          <w:rFonts w:ascii="Arial" w:hAnsi="Arial" w:cs="Arial"/>
          <w:sz w:val="24"/>
          <w:szCs w:val="24"/>
        </w:rPr>
        <w:t xml:space="preserve">, </w:t>
      </w:r>
      <w:r w:rsidRPr="00AC34C9">
        <w:rPr>
          <w:rFonts w:ascii="Arial" w:hAnsi="Arial" w:cs="Arial"/>
          <w:i/>
          <w:iCs/>
          <w:sz w:val="24"/>
          <w:szCs w:val="24"/>
        </w:rPr>
        <w:t>WNT6, B4GALNT2</w:t>
      </w:r>
      <w:r w:rsidRPr="00AC34C9">
        <w:rPr>
          <w:rFonts w:ascii="Arial" w:hAnsi="Arial" w:cs="Arial"/>
          <w:sz w:val="24"/>
          <w:szCs w:val="24"/>
        </w:rPr>
        <w:t xml:space="preserve"> and </w:t>
      </w:r>
      <w:r w:rsidRPr="00AC34C9">
        <w:rPr>
          <w:rFonts w:ascii="Arial" w:hAnsi="Arial" w:cs="Arial"/>
          <w:i/>
          <w:iCs/>
          <w:sz w:val="24"/>
          <w:szCs w:val="24"/>
        </w:rPr>
        <w:t>GNRHR</w:t>
      </w:r>
      <w:r w:rsidRPr="00AC34C9">
        <w:rPr>
          <w:rFonts w:ascii="Arial" w:hAnsi="Arial" w:cs="Arial"/>
          <w:sz w:val="24"/>
          <w:szCs w:val="24"/>
        </w:rPr>
        <w:t xml:space="preserve">. Data are reported as mean ± SEM, n=3 biological replicates. </w:t>
      </w:r>
      <w:proofErr w:type="gramStart"/>
      <w:r w:rsidRPr="00AC34C9">
        <w:rPr>
          <w:rFonts w:ascii="Arial" w:hAnsi="Arial" w:cs="Arial"/>
          <w:sz w:val="24"/>
          <w:szCs w:val="24"/>
        </w:rPr>
        <w:t>Two-way ANOVA; 0.12 (ns), 0.033 (*), 0.002 (**), &lt; 0.001 (***).</w:t>
      </w:r>
      <w:proofErr w:type="gramEnd"/>
      <w:r w:rsidRPr="00AC34C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34C9">
        <w:rPr>
          <w:rFonts w:ascii="Arial" w:hAnsi="Arial" w:cs="Arial"/>
          <w:sz w:val="24"/>
          <w:szCs w:val="24"/>
        </w:rPr>
        <w:t>d</w:t>
      </w:r>
      <w:proofErr w:type="gramEnd"/>
      <w:r w:rsidRPr="00AC34C9">
        <w:rPr>
          <w:rFonts w:ascii="Arial" w:hAnsi="Arial" w:cs="Arial"/>
          <w:sz w:val="24"/>
          <w:szCs w:val="24"/>
        </w:rPr>
        <w:t>; day.</w:t>
      </w:r>
      <w:r w:rsidRPr="00AC34C9">
        <w:rPr>
          <w:rFonts w:ascii="Arial" w:hAnsi="Arial" w:cs="Arial"/>
          <w:b/>
          <w:bCs/>
          <w:sz w:val="24"/>
          <w:szCs w:val="24"/>
        </w:rPr>
        <w:t xml:space="preserve"> B. </w:t>
      </w:r>
      <w:r w:rsidRPr="00AC34C9">
        <w:rPr>
          <w:rFonts w:ascii="Arial" w:hAnsi="Arial" w:cs="Arial"/>
          <w:sz w:val="24"/>
          <w:szCs w:val="24"/>
        </w:rPr>
        <w:t xml:space="preserve">Bar charts showing the correlated KEGG 2021 human pathways of the female DE genes between control (CTRL, -DOX </w:t>
      </w:r>
      <w:r>
        <w:rPr>
          <w:rFonts w:ascii="Arial" w:hAnsi="Arial" w:cs="Arial"/>
          <w:sz w:val="24"/>
          <w:szCs w:val="24"/>
        </w:rPr>
        <w:t>-</w:t>
      </w:r>
      <w:r w:rsidRPr="00AC34C9">
        <w:rPr>
          <w:rFonts w:ascii="Arial" w:hAnsi="Arial" w:cs="Arial"/>
          <w:sz w:val="24"/>
          <w:szCs w:val="24"/>
        </w:rPr>
        <w:t>TMP) and induced (IND, +DOX +TMP) conditions at day</w:t>
      </w:r>
      <w:r>
        <w:rPr>
          <w:rFonts w:ascii="Arial" w:hAnsi="Arial" w:cs="Arial"/>
          <w:sz w:val="24"/>
          <w:szCs w:val="24"/>
        </w:rPr>
        <w:t>s</w:t>
      </w:r>
      <w:r w:rsidRPr="00AC34C9">
        <w:rPr>
          <w:rFonts w:ascii="Arial" w:hAnsi="Arial" w:cs="Arial"/>
          <w:sz w:val="24"/>
          <w:szCs w:val="24"/>
        </w:rPr>
        <w:t xml:space="preserve"> 6, 8 and 10 of gonadal differentiation. The bar charts show the top 10 enriched terms in the chosen library, along with their corresponding p-values. </w:t>
      </w:r>
      <w:proofErr w:type="spellStart"/>
      <w:r w:rsidRPr="00AC34C9">
        <w:rPr>
          <w:rFonts w:ascii="Arial" w:hAnsi="Arial" w:cs="Arial"/>
          <w:sz w:val="24"/>
          <w:szCs w:val="24"/>
        </w:rPr>
        <w:t>Coloured</w:t>
      </w:r>
      <w:proofErr w:type="spellEnd"/>
      <w:r w:rsidRPr="00AC34C9">
        <w:rPr>
          <w:rFonts w:ascii="Arial" w:hAnsi="Arial" w:cs="Arial"/>
          <w:sz w:val="24"/>
          <w:szCs w:val="24"/>
        </w:rPr>
        <w:t xml:space="preserve"> bars correspond to terms with significant p-values (&lt;</w:t>
      </w:r>
      <w:r>
        <w:rPr>
          <w:rFonts w:ascii="Arial" w:hAnsi="Arial" w:cs="Arial"/>
          <w:sz w:val="24"/>
          <w:szCs w:val="24"/>
        </w:rPr>
        <w:t> </w:t>
      </w:r>
      <w:r w:rsidRPr="00AC34C9">
        <w:rPr>
          <w:rFonts w:ascii="Arial" w:hAnsi="Arial" w:cs="Arial"/>
          <w:sz w:val="24"/>
          <w:szCs w:val="24"/>
        </w:rPr>
        <w:t>0.05). An asterisk (*) next to a p-value indicates the term also ha</w:t>
      </w:r>
      <w:r>
        <w:rPr>
          <w:rFonts w:ascii="Arial" w:hAnsi="Arial" w:cs="Arial"/>
          <w:sz w:val="24"/>
          <w:szCs w:val="24"/>
        </w:rPr>
        <w:t>d</w:t>
      </w:r>
      <w:r w:rsidRPr="00AC34C9">
        <w:rPr>
          <w:rFonts w:ascii="Arial" w:hAnsi="Arial" w:cs="Arial"/>
          <w:sz w:val="24"/>
          <w:szCs w:val="24"/>
        </w:rPr>
        <w:t xml:space="preserve"> a significant adjusted p-value (&lt;</w:t>
      </w:r>
      <w:r>
        <w:rPr>
          <w:rFonts w:ascii="Arial" w:hAnsi="Arial" w:cs="Arial"/>
          <w:sz w:val="24"/>
          <w:szCs w:val="24"/>
        </w:rPr>
        <w:t> </w:t>
      </w:r>
      <w:r w:rsidRPr="00AC34C9">
        <w:rPr>
          <w:rFonts w:ascii="Arial" w:hAnsi="Arial" w:cs="Arial"/>
          <w:sz w:val="24"/>
          <w:szCs w:val="24"/>
        </w:rPr>
        <w:t>0.05).</w:t>
      </w:r>
    </w:p>
    <w:p w:rsidR="006A787F" w:rsidRDefault="006A787F"/>
    <w:p w:rsidR="006A787F" w:rsidRDefault="006A787F"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66105A5" wp14:editId="73224442">
            <wp:extent cx="5731510" cy="6431915"/>
            <wp:effectExtent l="0" t="0" r="2540" b="6985"/>
            <wp:docPr id="12" name="Picture 12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graph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3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87F" w:rsidRDefault="006A787F"/>
    <w:p w:rsidR="006A787F" w:rsidRPr="00AC34C9" w:rsidRDefault="006A787F" w:rsidP="006A78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C34C9">
        <w:rPr>
          <w:rFonts w:ascii="Arial" w:hAnsi="Arial" w:cs="Arial"/>
          <w:b/>
          <w:bCs/>
          <w:sz w:val="24"/>
          <w:szCs w:val="24"/>
        </w:rPr>
        <w:t xml:space="preserve">Supplementary figure 3: Adrenal, testicular, and ovarian steroidogenesis markers </w:t>
      </w:r>
      <w:r>
        <w:rPr>
          <w:rFonts w:ascii="Arial" w:hAnsi="Arial" w:cs="Arial"/>
          <w:b/>
          <w:bCs/>
          <w:sz w:val="24"/>
          <w:szCs w:val="24"/>
        </w:rPr>
        <w:t>were</w:t>
      </w:r>
      <w:r w:rsidRPr="00AC34C9">
        <w:rPr>
          <w:rFonts w:ascii="Arial" w:hAnsi="Arial" w:cs="Arial"/>
          <w:b/>
          <w:bCs/>
          <w:sz w:val="24"/>
          <w:szCs w:val="24"/>
        </w:rPr>
        <w:t xml:space="preserve"> upregulated upon </w:t>
      </w:r>
      <w:r w:rsidRPr="00AC34C9">
        <w:rPr>
          <w:rFonts w:ascii="Arial" w:hAnsi="Arial" w:cs="Arial"/>
          <w:b/>
          <w:bCs/>
          <w:i/>
          <w:iCs/>
          <w:sz w:val="24"/>
          <w:szCs w:val="24"/>
        </w:rPr>
        <w:t>NR5A1</w:t>
      </w:r>
      <w:r w:rsidRPr="00AC34C9">
        <w:rPr>
          <w:rFonts w:ascii="Arial" w:hAnsi="Arial" w:cs="Arial"/>
          <w:b/>
          <w:bCs/>
          <w:sz w:val="24"/>
          <w:szCs w:val="24"/>
        </w:rPr>
        <w:t xml:space="preserve"> induction. </w:t>
      </w:r>
    </w:p>
    <w:p w:rsidR="006A787F" w:rsidRPr="00AC34C9" w:rsidRDefault="006A787F" w:rsidP="006A787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C34C9">
        <w:rPr>
          <w:rFonts w:ascii="Arial" w:hAnsi="Arial" w:cs="Arial"/>
          <w:sz w:val="24"/>
          <w:szCs w:val="24"/>
        </w:rPr>
        <w:lastRenderedPageBreak/>
        <w:t xml:space="preserve">Comparison of the expression of RNA-sequenced non-induced (CTRL, -DOX-TMP) and induced (IND, +DOX+TMP) samples. Known adrenal, testicular and ovarian steroidogenic markers </w:t>
      </w:r>
      <w:r>
        <w:rPr>
          <w:rFonts w:ascii="Arial" w:hAnsi="Arial" w:cs="Arial"/>
          <w:sz w:val="24"/>
          <w:szCs w:val="24"/>
        </w:rPr>
        <w:t>were</w:t>
      </w:r>
      <w:r w:rsidRPr="00AC34C9">
        <w:rPr>
          <w:rFonts w:ascii="Arial" w:hAnsi="Arial" w:cs="Arial"/>
          <w:sz w:val="24"/>
          <w:szCs w:val="24"/>
        </w:rPr>
        <w:t xml:space="preserve"> upregulated upon </w:t>
      </w:r>
      <w:r w:rsidRPr="00AC34C9">
        <w:rPr>
          <w:rFonts w:ascii="Arial" w:hAnsi="Arial" w:cs="Arial"/>
          <w:i/>
          <w:iCs/>
          <w:sz w:val="24"/>
          <w:szCs w:val="24"/>
        </w:rPr>
        <w:t>NR5A1</w:t>
      </w:r>
      <w:r w:rsidRPr="00AC34C9">
        <w:rPr>
          <w:rFonts w:ascii="Arial" w:hAnsi="Arial" w:cs="Arial"/>
          <w:sz w:val="24"/>
          <w:szCs w:val="24"/>
        </w:rPr>
        <w:t xml:space="preserve"> induction. Each square represents the expression of a specific gene within a technical replicate. The intensity of gene expression is indicated by a </w:t>
      </w:r>
      <w:proofErr w:type="spellStart"/>
      <w:r w:rsidRPr="00AC34C9">
        <w:rPr>
          <w:rFonts w:ascii="Arial" w:hAnsi="Arial" w:cs="Arial"/>
          <w:sz w:val="24"/>
          <w:szCs w:val="24"/>
        </w:rPr>
        <w:t>colour</w:t>
      </w:r>
      <w:proofErr w:type="spellEnd"/>
      <w:r w:rsidRPr="00AC34C9">
        <w:rPr>
          <w:rFonts w:ascii="Arial" w:hAnsi="Arial" w:cs="Arial"/>
          <w:sz w:val="24"/>
          <w:szCs w:val="24"/>
        </w:rPr>
        <w:t xml:space="preserve"> scale based on row z-scores (red, highest expression levels; blue, lowest expression levels). </w:t>
      </w:r>
      <w:proofErr w:type="gramStart"/>
      <w:r w:rsidRPr="00AC34C9">
        <w:rPr>
          <w:rFonts w:ascii="Arial" w:hAnsi="Arial" w:cs="Arial"/>
          <w:sz w:val="24"/>
          <w:szCs w:val="24"/>
        </w:rPr>
        <w:t>d</w:t>
      </w:r>
      <w:proofErr w:type="gramEnd"/>
      <w:r w:rsidRPr="00AC34C9">
        <w:rPr>
          <w:rFonts w:ascii="Arial" w:hAnsi="Arial" w:cs="Arial"/>
          <w:sz w:val="24"/>
          <w:szCs w:val="24"/>
        </w:rPr>
        <w:t>, day.</w:t>
      </w:r>
    </w:p>
    <w:p w:rsidR="006A787F" w:rsidRDefault="006A787F">
      <w:bookmarkStart w:id="0" w:name="_GoBack"/>
      <w:bookmarkEnd w:id="0"/>
    </w:p>
    <w:p w:rsidR="006A787F" w:rsidRDefault="006A787F"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1719030" wp14:editId="5CB5738D">
            <wp:extent cx="5731510" cy="5868035"/>
            <wp:effectExtent l="0" t="0" r="0" b="0"/>
            <wp:docPr id="13" name="Picture 13" descr="A screenshot of a computer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 game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7F"/>
    <w:rsid w:val="00012A53"/>
    <w:rsid w:val="00021A4D"/>
    <w:rsid w:val="000303D9"/>
    <w:rsid w:val="00030EFF"/>
    <w:rsid w:val="000440D7"/>
    <w:rsid w:val="00055615"/>
    <w:rsid w:val="00066976"/>
    <w:rsid w:val="00071B6C"/>
    <w:rsid w:val="00074973"/>
    <w:rsid w:val="00093F98"/>
    <w:rsid w:val="000B0E3A"/>
    <w:rsid w:val="000B3F62"/>
    <w:rsid w:val="000B7C80"/>
    <w:rsid w:val="000D33E6"/>
    <w:rsid w:val="000D4286"/>
    <w:rsid w:val="000E1E24"/>
    <w:rsid w:val="00102D91"/>
    <w:rsid w:val="001050C9"/>
    <w:rsid w:val="00107414"/>
    <w:rsid w:val="0013330A"/>
    <w:rsid w:val="00152089"/>
    <w:rsid w:val="00153895"/>
    <w:rsid w:val="0017678E"/>
    <w:rsid w:val="00177C7A"/>
    <w:rsid w:val="0018119B"/>
    <w:rsid w:val="00196F00"/>
    <w:rsid w:val="001A5727"/>
    <w:rsid w:val="001A5AAC"/>
    <w:rsid w:val="001A70A1"/>
    <w:rsid w:val="001C553D"/>
    <w:rsid w:val="001E5BE4"/>
    <w:rsid w:val="0020203C"/>
    <w:rsid w:val="00203965"/>
    <w:rsid w:val="0020596D"/>
    <w:rsid w:val="002061D7"/>
    <w:rsid w:val="00215CF1"/>
    <w:rsid w:val="0021716F"/>
    <w:rsid w:val="00224B31"/>
    <w:rsid w:val="00232B3E"/>
    <w:rsid w:val="00232DF0"/>
    <w:rsid w:val="002360A9"/>
    <w:rsid w:val="00236BFA"/>
    <w:rsid w:val="002515E7"/>
    <w:rsid w:val="00267864"/>
    <w:rsid w:val="00274E27"/>
    <w:rsid w:val="00277C4C"/>
    <w:rsid w:val="00280143"/>
    <w:rsid w:val="002830F5"/>
    <w:rsid w:val="00284A6F"/>
    <w:rsid w:val="002925D4"/>
    <w:rsid w:val="002964E4"/>
    <w:rsid w:val="002A334B"/>
    <w:rsid w:val="002B32C5"/>
    <w:rsid w:val="002C2630"/>
    <w:rsid w:val="002C278F"/>
    <w:rsid w:val="002D4028"/>
    <w:rsid w:val="002E2138"/>
    <w:rsid w:val="002E46AC"/>
    <w:rsid w:val="002E788F"/>
    <w:rsid w:val="002F11F0"/>
    <w:rsid w:val="002F321A"/>
    <w:rsid w:val="00310252"/>
    <w:rsid w:val="00310DF0"/>
    <w:rsid w:val="00313837"/>
    <w:rsid w:val="0031435E"/>
    <w:rsid w:val="00314B5B"/>
    <w:rsid w:val="00352BBF"/>
    <w:rsid w:val="00362A81"/>
    <w:rsid w:val="00375906"/>
    <w:rsid w:val="00381E78"/>
    <w:rsid w:val="00395AC3"/>
    <w:rsid w:val="003A1877"/>
    <w:rsid w:val="003A3DE1"/>
    <w:rsid w:val="003A4288"/>
    <w:rsid w:val="003A5BE1"/>
    <w:rsid w:val="003B6F09"/>
    <w:rsid w:val="003C0979"/>
    <w:rsid w:val="003C1294"/>
    <w:rsid w:val="003D527C"/>
    <w:rsid w:val="003E7973"/>
    <w:rsid w:val="003F0036"/>
    <w:rsid w:val="003F1D2A"/>
    <w:rsid w:val="004013AD"/>
    <w:rsid w:val="00402C49"/>
    <w:rsid w:val="004044D3"/>
    <w:rsid w:val="0041668A"/>
    <w:rsid w:val="0043045D"/>
    <w:rsid w:val="00445CB1"/>
    <w:rsid w:val="004466F1"/>
    <w:rsid w:val="004530BA"/>
    <w:rsid w:val="004566D1"/>
    <w:rsid w:val="00456E69"/>
    <w:rsid w:val="00460B46"/>
    <w:rsid w:val="00462E96"/>
    <w:rsid w:val="004706A5"/>
    <w:rsid w:val="00481531"/>
    <w:rsid w:val="00490B76"/>
    <w:rsid w:val="00490BF1"/>
    <w:rsid w:val="00492A6A"/>
    <w:rsid w:val="00496FD9"/>
    <w:rsid w:val="004B65D5"/>
    <w:rsid w:val="004C0252"/>
    <w:rsid w:val="004D3605"/>
    <w:rsid w:val="004D3A49"/>
    <w:rsid w:val="004D4614"/>
    <w:rsid w:val="004D5633"/>
    <w:rsid w:val="004E473B"/>
    <w:rsid w:val="004F5CBE"/>
    <w:rsid w:val="0052682B"/>
    <w:rsid w:val="00535C00"/>
    <w:rsid w:val="0054065A"/>
    <w:rsid w:val="00543528"/>
    <w:rsid w:val="00543B7D"/>
    <w:rsid w:val="00552630"/>
    <w:rsid w:val="00560F79"/>
    <w:rsid w:val="00561ED1"/>
    <w:rsid w:val="005729E5"/>
    <w:rsid w:val="005850A6"/>
    <w:rsid w:val="005941ED"/>
    <w:rsid w:val="00596876"/>
    <w:rsid w:val="005A14D8"/>
    <w:rsid w:val="005A5376"/>
    <w:rsid w:val="005C78D3"/>
    <w:rsid w:val="005F444F"/>
    <w:rsid w:val="005F5C1F"/>
    <w:rsid w:val="005F61D0"/>
    <w:rsid w:val="00601DF4"/>
    <w:rsid w:val="0060542F"/>
    <w:rsid w:val="0060543B"/>
    <w:rsid w:val="00617EE0"/>
    <w:rsid w:val="0063670A"/>
    <w:rsid w:val="006368FB"/>
    <w:rsid w:val="00652F57"/>
    <w:rsid w:val="00671A64"/>
    <w:rsid w:val="00674867"/>
    <w:rsid w:val="00692AC4"/>
    <w:rsid w:val="00694899"/>
    <w:rsid w:val="00695A5A"/>
    <w:rsid w:val="00696641"/>
    <w:rsid w:val="00697A4F"/>
    <w:rsid w:val="006A1004"/>
    <w:rsid w:val="006A787F"/>
    <w:rsid w:val="006A7FEB"/>
    <w:rsid w:val="006B15A6"/>
    <w:rsid w:val="006D36E4"/>
    <w:rsid w:val="006D43CB"/>
    <w:rsid w:val="006D6078"/>
    <w:rsid w:val="006E2BF0"/>
    <w:rsid w:val="006E7616"/>
    <w:rsid w:val="006F0A45"/>
    <w:rsid w:val="006F316B"/>
    <w:rsid w:val="006F6A38"/>
    <w:rsid w:val="00716176"/>
    <w:rsid w:val="00720A44"/>
    <w:rsid w:val="00720DE5"/>
    <w:rsid w:val="00731AFB"/>
    <w:rsid w:val="007440D2"/>
    <w:rsid w:val="00750B13"/>
    <w:rsid w:val="007521F9"/>
    <w:rsid w:val="00764E54"/>
    <w:rsid w:val="0079113D"/>
    <w:rsid w:val="00792917"/>
    <w:rsid w:val="00793AE4"/>
    <w:rsid w:val="007A4B03"/>
    <w:rsid w:val="007A61E6"/>
    <w:rsid w:val="007B1AFF"/>
    <w:rsid w:val="007D0540"/>
    <w:rsid w:val="007E02B5"/>
    <w:rsid w:val="007E3E92"/>
    <w:rsid w:val="007E3FC2"/>
    <w:rsid w:val="007E4F11"/>
    <w:rsid w:val="00806340"/>
    <w:rsid w:val="008152DA"/>
    <w:rsid w:val="008264D4"/>
    <w:rsid w:val="0082778C"/>
    <w:rsid w:val="00827921"/>
    <w:rsid w:val="0083231C"/>
    <w:rsid w:val="00833E3D"/>
    <w:rsid w:val="00835DC2"/>
    <w:rsid w:val="00846B3A"/>
    <w:rsid w:val="00863FB4"/>
    <w:rsid w:val="00864355"/>
    <w:rsid w:val="0089150A"/>
    <w:rsid w:val="0089248D"/>
    <w:rsid w:val="008A27F4"/>
    <w:rsid w:val="008B6522"/>
    <w:rsid w:val="008C56FF"/>
    <w:rsid w:val="008C777F"/>
    <w:rsid w:val="008E400D"/>
    <w:rsid w:val="008F07E7"/>
    <w:rsid w:val="009144F1"/>
    <w:rsid w:val="00915C39"/>
    <w:rsid w:val="009302BE"/>
    <w:rsid w:val="009351BB"/>
    <w:rsid w:val="0094754A"/>
    <w:rsid w:val="00952332"/>
    <w:rsid w:val="00957BCB"/>
    <w:rsid w:val="00966742"/>
    <w:rsid w:val="00974A3B"/>
    <w:rsid w:val="00981C01"/>
    <w:rsid w:val="00984577"/>
    <w:rsid w:val="00990718"/>
    <w:rsid w:val="009A0F7F"/>
    <w:rsid w:val="009A3EE1"/>
    <w:rsid w:val="009B111E"/>
    <w:rsid w:val="009C308B"/>
    <w:rsid w:val="009C3351"/>
    <w:rsid w:val="009C36A4"/>
    <w:rsid w:val="009C40BA"/>
    <w:rsid w:val="009D154F"/>
    <w:rsid w:val="009D3CD1"/>
    <w:rsid w:val="009F3F00"/>
    <w:rsid w:val="009F4DF7"/>
    <w:rsid w:val="00A00FD9"/>
    <w:rsid w:val="00A0135E"/>
    <w:rsid w:val="00A057CF"/>
    <w:rsid w:val="00A06B4E"/>
    <w:rsid w:val="00A11B41"/>
    <w:rsid w:val="00A123F8"/>
    <w:rsid w:val="00A2023D"/>
    <w:rsid w:val="00A376AA"/>
    <w:rsid w:val="00A41AF8"/>
    <w:rsid w:val="00A55331"/>
    <w:rsid w:val="00A64330"/>
    <w:rsid w:val="00A731D4"/>
    <w:rsid w:val="00A83711"/>
    <w:rsid w:val="00A961E2"/>
    <w:rsid w:val="00AA0FAA"/>
    <w:rsid w:val="00AA167F"/>
    <w:rsid w:val="00AA2C5B"/>
    <w:rsid w:val="00AC4359"/>
    <w:rsid w:val="00AD7083"/>
    <w:rsid w:val="00AE0603"/>
    <w:rsid w:val="00AF19BB"/>
    <w:rsid w:val="00B06990"/>
    <w:rsid w:val="00B125AB"/>
    <w:rsid w:val="00B22141"/>
    <w:rsid w:val="00B35734"/>
    <w:rsid w:val="00B37B3D"/>
    <w:rsid w:val="00B40BEE"/>
    <w:rsid w:val="00B54759"/>
    <w:rsid w:val="00B62081"/>
    <w:rsid w:val="00B66333"/>
    <w:rsid w:val="00B745E6"/>
    <w:rsid w:val="00B74F75"/>
    <w:rsid w:val="00B75E01"/>
    <w:rsid w:val="00B80D60"/>
    <w:rsid w:val="00B84098"/>
    <w:rsid w:val="00B90EBF"/>
    <w:rsid w:val="00B9695B"/>
    <w:rsid w:val="00BA1768"/>
    <w:rsid w:val="00BA1F1E"/>
    <w:rsid w:val="00BC6344"/>
    <w:rsid w:val="00BC6A46"/>
    <w:rsid w:val="00BD0E0C"/>
    <w:rsid w:val="00BE70E9"/>
    <w:rsid w:val="00C04352"/>
    <w:rsid w:val="00C1607F"/>
    <w:rsid w:val="00C263F4"/>
    <w:rsid w:val="00C30658"/>
    <w:rsid w:val="00C30A89"/>
    <w:rsid w:val="00C31E36"/>
    <w:rsid w:val="00C81E3D"/>
    <w:rsid w:val="00C82C3A"/>
    <w:rsid w:val="00C914B6"/>
    <w:rsid w:val="00C97F88"/>
    <w:rsid w:val="00CA21F8"/>
    <w:rsid w:val="00CA3158"/>
    <w:rsid w:val="00CB4D49"/>
    <w:rsid w:val="00CB6C94"/>
    <w:rsid w:val="00CC1C3F"/>
    <w:rsid w:val="00CC303E"/>
    <w:rsid w:val="00CC41C0"/>
    <w:rsid w:val="00CC43D1"/>
    <w:rsid w:val="00CC5E35"/>
    <w:rsid w:val="00CD7181"/>
    <w:rsid w:val="00CE074D"/>
    <w:rsid w:val="00CE7152"/>
    <w:rsid w:val="00CF6415"/>
    <w:rsid w:val="00D0218F"/>
    <w:rsid w:val="00D05AA7"/>
    <w:rsid w:val="00D12142"/>
    <w:rsid w:val="00D13E16"/>
    <w:rsid w:val="00D16FDF"/>
    <w:rsid w:val="00D33A6C"/>
    <w:rsid w:val="00D41AD2"/>
    <w:rsid w:val="00D46739"/>
    <w:rsid w:val="00D72FCB"/>
    <w:rsid w:val="00D756AE"/>
    <w:rsid w:val="00D9124A"/>
    <w:rsid w:val="00D9449E"/>
    <w:rsid w:val="00DB080E"/>
    <w:rsid w:val="00DD2179"/>
    <w:rsid w:val="00E01FA0"/>
    <w:rsid w:val="00E10E80"/>
    <w:rsid w:val="00E12388"/>
    <w:rsid w:val="00E22514"/>
    <w:rsid w:val="00E23FCF"/>
    <w:rsid w:val="00E24707"/>
    <w:rsid w:val="00E3669F"/>
    <w:rsid w:val="00E42278"/>
    <w:rsid w:val="00E422EF"/>
    <w:rsid w:val="00E44445"/>
    <w:rsid w:val="00E473D7"/>
    <w:rsid w:val="00E52408"/>
    <w:rsid w:val="00E67EFD"/>
    <w:rsid w:val="00E77965"/>
    <w:rsid w:val="00E868B1"/>
    <w:rsid w:val="00E87EC2"/>
    <w:rsid w:val="00E90AF4"/>
    <w:rsid w:val="00E93561"/>
    <w:rsid w:val="00EC045A"/>
    <w:rsid w:val="00EC04F4"/>
    <w:rsid w:val="00EC3AE7"/>
    <w:rsid w:val="00ED79A1"/>
    <w:rsid w:val="00EE1371"/>
    <w:rsid w:val="00EF328E"/>
    <w:rsid w:val="00F0164B"/>
    <w:rsid w:val="00F06179"/>
    <w:rsid w:val="00F207FB"/>
    <w:rsid w:val="00F279AD"/>
    <w:rsid w:val="00F3419C"/>
    <w:rsid w:val="00F372CA"/>
    <w:rsid w:val="00F37A99"/>
    <w:rsid w:val="00F45223"/>
    <w:rsid w:val="00F51992"/>
    <w:rsid w:val="00F542EB"/>
    <w:rsid w:val="00F66EDA"/>
    <w:rsid w:val="00F67A11"/>
    <w:rsid w:val="00F80FD7"/>
    <w:rsid w:val="00F93850"/>
    <w:rsid w:val="00F9632A"/>
    <w:rsid w:val="00FA2F70"/>
    <w:rsid w:val="00FA6F90"/>
    <w:rsid w:val="00FC5AC3"/>
    <w:rsid w:val="00FE7F28"/>
    <w:rsid w:val="00FF4013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2023-08-25T11:47:00Z</dcterms:created>
  <dcterms:modified xsi:type="dcterms:W3CDTF">2023-08-25T11:50:00Z</dcterms:modified>
</cp:coreProperties>
</file>