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5894" w14:textId="77777777" w:rsidR="006B50A7" w:rsidRPr="008226A5" w:rsidRDefault="006B50A7" w:rsidP="006B50A7">
      <w:pPr>
        <w:spacing w:line="480" w:lineRule="auto"/>
        <w:rPr>
          <w:rFonts w:ascii="Arial" w:eastAsia="Malgun Gothic" w:hAnsi="Arial" w:cs="Arial"/>
          <w:b/>
          <w:bCs/>
          <w:lang w:eastAsia="ko-KR"/>
        </w:rPr>
      </w:pPr>
      <w:r w:rsidRPr="008226A5">
        <w:rPr>
          <w:rFonts w:ascii="Arial" w:eastAsia="Malgun Gothic" w:hAnsi="Arial" w:cs="Arial"/>
          <w:b/>
          <w:bCs/>
          <w:lang w:eastAsia="ko-KR"/>
        </w:rPr>
        <w:t>Supplementary Figures:</w:t>
      </w:r>
    </w:p>
    <w:p w14:paraId="03C1FD70" w14:textId="77777777" w:rsidR="006B50A7" w:rsidRDefault="006B50A7" w:rsidP="006B50A7">
      <w:pPr>
        <w:spacing w:line="480" w:lineRule="auto"/>
        <w:rPr>
          <w:rFonts w:ascii="Arial" w:eastAsia="Malgun Gothic" w:hAnsi="Arial" w:cs="Arial"/>
          <w:lang w:eastAsia="ko-KR"/>
        </w:rPr>
      </w:pPr>
      <w:r>
        <w:rPr>
          <w:rFonts w:ascii="Arial" w:eastAsia="Malgun Gothic" w:hAnsi="Arial" w:cs="Arial" w:hint="eastAsia"/>
          <w:noProof/>
          <w:lang w:eastAsia="ko-KR"/>
        </w:rPr>
        <w:drawing>
          <wp:inline distT="0" distB="0" distL="0" distR="0" wp14:anchorId="326FD737" wp14:editId="1C374C60">
            <wp:extent cx="3511410" cy="2190307"/>
            <wp:effectExtent l="0" t="0" r="0" b="635"/>
            <wp:docPr id="905024083" name="그림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024083" name="그림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49" t="36515" r="37744" b="34606"/>
                    <a:stretch/>
                  </pic:blipFill>
                  <pic:spPr bwMode="auto">
                    <a:xfrm>
                      <a:off x="0" y="0"/>
                      <a:ext cx="3512965" cy="219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2452BB" w14:textId="77777777" w:rsidR="006B50A7" w:rsidRDefault="006B50A7" w:rsidP="006B50A7">
      <w:pPr>
        <w:spacing w:line="480" w:lineRule="auto"/>
        <w:rPr>
          <w:rFonts w:ascii="Arial" w:eastAsia="Malgun Gothic" w:hAnsi="Arial" w:cs="Arial"/>
          <w:lang w:eastAsia="ko-KR"/>
        </w:rPr>
      </w:pPr>
      <w:r w:rsidRPr="008226A5">
        <w:rPr>
          <w:rFonts w:ascii="Arial" w:eastAsia="Malgun Gothic" w:hAnsi="Arial" w:cs="Arial"/>
          <w:b/>
          <w:bCs/>
          <w:lang w:eastAsia="ko-KR"/>
        </w:rPr>
        <w:t xml:space="preserve">Figure S1. CAY10566 increased apoptosis and ER stress in A2780 cells. </w:t>
      </w:r>
      <w:r w:rsidRPr="002B2120">
        <w:rPr>
          <w:rFonts w:ascii="Arial" w:eastAsia="Malgun Gothic" w:hAnsi="Arial" w:cs="Arial"/>
          <w:lang w:eastAsia="ko-KR"/>
        </w:rPr>
        <w:t xml:space="preserve">A2780 cells were treated with CAY10566 (20 </w:t>
      </w:r>
      <w:proofErr w:type="spellStart"/>
      <w:r w:rsidRPr="002B2120">
        <w:rPr>
          <w:rFonts w:ascii="Arial" w:eastAsia="Malgun Gothic" w:hAnsi="Arial" w:cs="Arial"/>
          <w:lang w:eastAsia="ko-KR"/>
        </w:rPr>
        <w:t>nM</w:t>
      </w:r>
      <w:proofErr w:type="spellEnd"/>
      <w:r w:rsidRPr="002B2120">
        <w:rPr>
          <w:rFonts w:ascii="Arial" w:eastAsia="Malgun Gothic" w:hAnsi="Arial" w:cs="Arial"/>
          <w:lang w:eastAsia="ko-KR"/>
        </w:rPr>
        <w:t xml:space="preserve">) for 48 hours and protein expression of apoptosis and ER stress markers was examined by western blot analysis. (A) The expression levels of apoptosis marker proteins, PARP and cleaved </w:t>
      </w:r>
      <w:proofErr w:type="gramStart"/>
      <w:r w:rsidRPr="002B2120">
        <w:rPr>
          <w:rFonts w:ascii="Arial" w:eastAsia="Malgun Gothic" w:hAnsi="Arial" w:cs="Arial"/>
          <w:lang w:eastAsia="ko-KR"/>
        </w:rPr>
        <w:t>caspase-3</w:t>
      </w:r>
      <w:proofErr w:type="gramEnd"/>
      <w:r w:rsidRPr="002B2120">
        <w:rPr>
          <w:rFonts w:ascii="Arial" w:eastAsia="Malgun Gothic" w:hAnsi="Arial" w:cs="Arial"/>
          <w:lang w:eastAsia="ko-KR"/>
        </w:rPr>
        <w:t>. (B) The expression levels of ER stress marker proteins, p-PERK, IRE1α, ATF4, and CHOP. GAPDH was used as a loading control.</w:t>
      </w:r>
    </w:p>
    <w:p w14:paraId="4086ADBE" w14:textId="77777777" w:rsidR="006B50A7" w:rsidRDefault="006B50A7" w:rsidP="006B50A7">
      <w:pPr>
        <w:spacing w:line="480" w:lineRule="auto"/>
        <w:rPr>
          <w:rFonts w:ascii="Arial" w:eastAsia="Malgun Gothic" w:hAnsi="Arial" w:cs="Arial"/>
          <w:lang w:eastAsia="ko-KR"/>
        </w:rPr>
      </w:pPr>
    </w:p>
    <w:p w14:paraId="09C43BC0" w14:textId="77777777" w:rsidR="006B50A7" w:rsidRDefault="006B50A7" w:rsidP="006B50A7">
      <w:pPr>
        <w:spacing w:line="480" w:lineRule="auto"/>
        <w:rPr>
          <w:rFonts w:ascii="Arial" w:eastAsia="Malgun Gothic" w:hAnsi="Arial" w:cs="Arial"/>
          <w:lang w:eastAsia="ko-KR"/>
        </w:rPr>
      </w:pPr>
      <w:r>
        <w:rPr>
          <w:rFonts w:ascii="Arial" w:eastAsia="Malgun Gothic" w:hAnsi="Arial" w:cs="Arial" w:hint="eastAsia"/>
          <w:noProof/>
          <w:lang w:eastAsia="ko-KR"/>
        </w:rPr>
        <w:drawing>
          <wp:inline distT="0" distB="0" distL="0" distR="0" wp14:anchorId="2674635A" wp14:editId="47301F8D">
            <wp:extent cx="5624623" cy="2376270"/>
            <wp:effectExtent l="0" t="0" r="0" b="5080"/>
            <wp:docPr id="86761832" name="그림 4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61832" name="그림 4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3" t="33173" r="22175" b="33649"/>
                    <a:stretch/>
                  </pic:blipFill>
                  <pic:spPr bwMode="auto">
                    <a:xfrm>
                      <a:off x="0" y="0"/>
                      <a:ext cx="5632252" cy="237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4F38A" w14:textId="77777777" w:rsidR="006B50A7" w:rsidRDefault="006B50A7" w:rsidP="006B50A7">
      <w:pPr>
        <w:spacing w:line="480" w:lineRule="auto"/>
        <w:rPr>
          <w:rFonts w:ascii="Arial" w:eastAsia="Malgun Gothic" w:hAnsi="Arial" w:cs="Arial"/>
          <w:lang w:eastAsia="ko-KR"/>
        </w:rPr>
      </w:pPr>
      <w:r w:rsidRPr="008226A5">
        <w:rPr>
          <w:rFonts w:ascii="Arial" w:eastAsia="Malgun Gothic" w:hAnsi="Arial" w:cs="Arial"/>
          <w:b/>
          <w:bCs/>
          <w:lang w:eastAsia="ko-KR"/>
        </w:rPr>
        <w:lastRenderedPageBreak/>
        <w:t>Figure S2. Western blot analysis of exogenous oleic acid and CAY10566 treatment on apoptosis and ER stress markers.</w:t>
      </w:r>
      <w:r>
        <w:rPr>
          <w:rFonts w:ascii="Arial" w:eastAsia="Malgun Gothic" w:hAnsi="Arial" w:cs="Arial"/>
          <w:lang w:eastAsia="ko-KR"/>
        </w:rPr>
        <w:t xml:space="preserve"> </w:t>
      </w:r>
      <w:r w:rsidRPr="002B2120">
        <w:rPr>
          <w:rFonts w:ascii="Arial" w:eastAsia="Malgun Gothic" w:hAnsi="Arial" w:cs="Arial"/>
          <w:lang w:eastAsia="ko-KR"/>
        </w:rPr>
        <w:t>(A) Assessment of apoptosis and (B) ER stress markers in PA-1 cells following treatment with exogenous oleic acid and CAY10566.</w:t>
      </w:r>
    </w:p>
    <w:p w14:paraId="44B4ABAB" w14:textId="77777777" w:rsidR="00197549" w:rsidRDefault="00197549"/>
    <w:sectPr w:rsidR="00197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A7"/>
    <w:rsid w:val="00197549"/>
    <w:rsid w:val="002D67D5"/>
    <w:rsid w:val="0037573B"/>
    <w:rsid w:val="006B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B17CE"/>
  <w15:chartTrackingRefBased/>
  <w15:docId w15:val="{91E2F6BA-578F-4844-B1D9-8E06A91D7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0A7"/>
    <w:pPr>
      <w:spacing w:after="200" w:line="276" w:lineRule="auto"/>
    </w:pPr>
    <w:rPr>
      <w:rFonts w:eastAsiaTheme="minorEastAsia"/>
      <w:kern w:val="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603</Characters>
  <Application>Microsoft Office Word</Application>
  <DocSecurity>0</DocSecurity>
  <Lines>5</Lines>
  <Paragraphs>1</Paragraphs>
  <ScaleCrop>false</ScaleCrop>
  <Company>Springer Nature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Jayshree Uchappa Soli</cp:lastModifiedBy>
  <cp:revision>1</cp:revision>
  <dcterms:created xsi:type="dcterms:W3CDTF">2024-03-15T12:22:00Z</dcterms:created>
  <dcterms:modified xsi:type="dcterms:W3CDTF">2024-03-15T12:22:00Z</dcterms:modified>
</cp:coreProperties>
</file>