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supplementary materials</w:t>
      </w:r>
    </w:p>
    <w:p>
      <w:pPr>
        <w:spacing w:line="480" w:lineRule="auto"/>
        <w:jc w:val="center"/>
        <w:rPr>
          <w:rFonts w:ascii="Times New Roman" w:hAnsi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 New Roman" w:hAnsi="Times New Roman" w:eastAsia="仿宋_GB2312"/>
          <w:sz w:val="28"/>
          <w:szCs w:val="28"/>
          <w:lang w:val="en-US"/>
        </w:rPr>
      </w:pPr>
      <w:r>
        <w:rPr>
          <w:b/>
          <w:bCs/>
          <w:sz w:val="24"/>
        </w:rPr>
        <w:t>Supplementary Table 1.</w:t>
      </w:r>
      <w:r>
        <w:rPr>
          <w:sz w:val="24"/>
        </w:rPr>
        <w:t xml:space="preserve"> Primers for </w:t>
      </w:r>
      <w:r>
        <w:rPr>
          <w:i/>
          <w:iCs/>
          <w:sz w:val="24"/>
        </w:rPr>
        <w:t>hmgb1</w:t>
      </w:r>
      <w:r>
        <w:rPr>
          <w:sz w:val="24"/>
        </w:rPr>
        <w:t xml:space="preserve">, </w:t>
      </w:r>
      <w:r>
        <w:rPr>
          <w:i/>
          <w:iCs/>
          <w:sz w:val="24"/>
        </w:rPr>
        <w:t>fgf2</w:t>
      </w:r>
      <w:r>
        <w:rPr>
          <w:sz w:val="24"/>
        </w:rPr>
        <w:t xml:space="preserve"> and </w:t>
      </w:r>
      <w:r>
        <w:rPr>
          <w:i/>
          <w:iCs/>
          <w:sz w:val="24"/>
        </w:rPr>
        <w:t>gapdh</w:t>
      </w:r>
    </w:p>
    <w:tbl>
      <w:tblPr>
        <w:tblStyle w:val="14"/>
        <w:tblW w:w="8359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544"/>
        <w:gridCol w:w="3686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9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kern w:val="0"/>
                <w:sz w:val="24"/>
              </w:rPr>
            </w:pPr>
            <w:r>
              <w:rPr>
                <w:rFonts w:hint="default" w:cs="Times New Roman"/>
                <w:b/>
                <w:bCs/>
                <w:kern w:val="0"/>
                <w:sz w:val="24"/>
              </w:rPr>
              <w:t>Gene</w:t>
            </w:r>
          </w:p>
        </w:tc>
        <w:tc>
          <w:tcPr>
            <w:tcW w:w="3544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4"/>
              </w:rPr>
              <w:t>Forward sequence (5'-3')</w:t>
            </w:r>
          </w:p>
        </w:tc>
        <w:tc>
          <w:tcPr>
            <w:tcW w:w="3686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4"/>
              </w:rPr>
              <w:t>Reverse sequence (5'-3')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  <w:t>gapdh</w:t>
            </w:r>
          </w:p>
        </w:tc>
        <w:tc>
          <w:tcPr>
            <w:tcW w:w="354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AAGAAGGTGGTGAAGCAGG</w:t>
            </w:r>
          </w:p>
        </w:tc>
        <w:tc>
          <w:tcPr>
            <w:tcW w:w="368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GAAGGTGGAAGAGTGGGAGT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  <w:t>hmgb1</w:t>
            </w:r>
          </w:p>
        </w:tc>
        <w:tc>
          <w:tcPr>
            <w:tcW w:w="354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CCCAGCGAAGGCTATCACA</w:t>
            </w:r>
          </w:p>
        </w:tc>
        <w:tc>
          <w:tcPr>
            <w:tcW w:w="368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TTCATAAAGGGACAAACCACAG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  <w:t>fgf2</w:t>
            </w:r>
          </w:p>
        </w:tc>
        <w:tc>
          <w:tcPr>
            <w:tcW w:w="354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TTGCTATGAAGGAAGATGGACG</w:t>
            </w:r>
          </w:p>
        </w:tc>
        <w:tc>
          <w:tcPr>
            <w:tcW w:w="368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CCCAGTTCGTTTCAGTGCC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  <w:t>pcdhb21</w:t>
            </w:r>
          </w:p>
        </w:tc>
        <w:tc>
          <w:tcPr>
            <w:tcW w:w="354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GCTAGTCAAGGACAATGGCG</w:t>
            </w:r>
          </w:p>
        </w:tc>
        <w:tc>
          <w:tcPr>
            <w:tcW w:w="368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ACAGACAAGAGGAAGAGCGAAG</w:t>
            </w:r>
          </w:p>
        </w:tc>
      </w:tr>
    </w:tbl>
    <w:p>
      <w:pPr>
        <w:spacing w:line="480" w:lineRule="auto"/>
        <w:rPr>
          <w:rFonts w:ascii="Times New Roman" w:hAnsi="Times New Roman" w:eastAsia="仿宋_GB2312"/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p>
      <w:pPr>
        <w:spacing w:line="480" w:lineRule="auto"/>
        <w:rPr>
          <w:sz w:val="24"/>
        </w:rPr>
      </w:pPr>
      <w:r>
        <w:rPr>
          <w:b/>
          <w:bCs/>
          <w:sz w:val="24"/>
        </w:rPr>
        <w:t xml:space="preserve">Supplementary Table 2. </w:t>
      </w:r>
      <w:r>
        <w:rPr>
          <w:i/>
          <w:iCs/>
          <w:sz w:val="24"/>
        </w:rPr>
        <w:t>hmgb1</w:t>
      </w:r>
      <w:r>
        <w:rPr>
          <w:sz w:val="24"/>
        </w:rPr>
        <w:t xml:space="preserve">, </w:t>
      </w:r>
      <w:r>
        <w:rPr>
          <w:i/>
          <w:iCs/>
          <w:sz w:val="24"/>
        </w:rPr>
        <w:t>pcdhb21</w:t>
      </w:r>
      <w:r>
        <w:rPr>
          <w:sz w:val="24"/>
        </w:rPr>
        <w:t xml:space="preserve"> and </w:t>
      </w:r>
      <w:r>
        <w:rPr>
          <w:i/>
          <w:iCs/>
          <w:sz w:val="24"/>
        </w:rPr>
        <w:t>fgf2</w:t>
      </w:r>
      <w:r>
        <w:rPr>
          <w:sz w:val="24"/>
        </w:rPr>
        <w:t xml:space="preserve"> expression </w:t>
      </w:r>
    </w:p>
    <w:p>
      <w:pPr>
        <w:spacing w:line="480" w:lineRule="auto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tbl>
      <w:tblPr>
        <w:tblStyle w:val="14"/>
        <w:tblW w:w="8275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1366"/>
        <w:gridCol w:w="2131"/>
        <w:gridCol w:w="1063"/>
        <w:gridCol w:w="1036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684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/>
                <w:bCs/>
                <w:kern w:val="0"/>
                <w:sz w:val="24"/>
              </w:rPr>
            </w:pPr>
            <w:r>
              <w:rPr>
                <w:rFonts w:hint="default" w:cs="Times New Roman"/>
                <w:b/>
                <w:bCs/>
                <w:kern w:val="0"/>
                <w:sz w:val="24"/>
              </w:rPr>
              <w:t>Gene ID</w:t>
            </w:r>
          </w:p>
        </w:tc>
        <w:tc>
          <w:tcPr>
            <w:tcW w:w="1363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4"/>
              </w:rPr>
              <w:t>gene_name</w:t>
            </w:r>
          </w:p>
        </w:tc>
        <w:tc>
          <w:tcPr>
            <w:tcW w:w="2158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4"/>
              </w:rPr>
              <w:t>Description</w:t>
            </w:r>
          </w:p>
        </w:tc>
        <w:tc>
          <w:tcPr>
            <w:tcW w:w="2070" w:type="dxa"/>
            <w:gridSpan w:val="2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4"/>
              </w:rPr>
              <w:t>FC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68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6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2158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067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RNAseq</w:t>
            </w:r>
          </w:p>
        </w:tc>
        <w:tc>
          <w:tcPr>
            <w:tcW w:w="100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realtime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8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/>
                <w:bCs/>
                <w:kern w:val="0"/>
                <w:sz w:val="24"/>
              </w:rPr>
            </w:pPr>
            <w:r>
              <w:rPr>
                <w:rFonts w:hint="default" w:cs="Times New Roman"/>
                <w:b/>
                <w:bCs/>
                <w:kern w:val="0"/>
                <w:sz w:val="24"/>
              </w:rPr>
              <w:t>ENSMUSG00000066551</w:t>
            </w:r>
          </w:p>
        </w:tc>
        <w:tc>
          <w:tcPr>
            <w:tcW w:w="136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hmgb1</w:t>
            </w:r>
          </w:p>
        </w:tc>
        <w:tc>
          <w:tcPr>
            <w:tcW w:w="2158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high mobility group box 1</w:t>
            </w:r>
          </w:p>
        </w:tc>
        <w:tc>
          <w:tcPr>
            <w:tcW w:w="1067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2.5</w:t>
            </w:r>
          </w:p>
        </w:tc>
        <w:tc>
          <w:tcPr>
            <w:tcW w:w="100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2.02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68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/>
                <w:bCs/>
                <w:kern w:val="0"/>
                <w:sz w:val="24"/>
              </w:rPr>
            </w:pPr>
            <w:r>
              <w:rPr>
                <w:rFonts w:hint="default" w:cs="Times New Roman"/>
                <w:b/>
                <w:bCs/>
                <w:kern w:val="0"/>
                <w:sz w:val="24"/>
              </w:rPr>
              <w:t>ENSMUSG00000037225</w:t>
            </w:r>
          </w:p>
        </w:tc>
        <w:tc>
          <w:tcPr>
            <w:tcW w:w="136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fgf2</w:t>
            </w:r>
            <w:r>
              <w:rPr>
                <w:kern w:val="0"/>
                <w:sz w:val="24"/>
              </w:rPr>
              <w:t>*</w:t>
            </w:r>
          </w:p>
        </w:tc>
        <w:tc>
          <w:tcPr>
            <w:tcW w:w="2158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fibroblast growth factor 2</w:t>
            </w:r>
          </w:p>
        </w:tc>
        <w:tc>
          <w:tcPr>
            <w:tcW w:w="1067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-4.47</w:t>
            </w:r>
          </w:p>
        </w:tc>
        <w:tc>
          <w:tcPr>
            <w:tcW w:w="100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-9.29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84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rFonts w:hint="default" w:cs="Times New Roman"/>
                <w:b/>
                <w:bCs/>
                <w:kern w:val="0"/>
                <w:sz w:val="24"/>
              </w:rPr>
            </w:pPr>
            <w:r>
              <w:rPr>
                <w:rFonts w:hint="default" w:cs="Times New Roman"/>
                <w:b/>
                <w:bCs/>
                <w:kern w:val="0"/>
                <w:sz w:val="24"/>
              </w:rPr>
              <w:t>ENSMUSG00000044022</w:t>
            </w:r>
          </w:p>
        </w:tc>
        <w:tc>
          <w:tcPr>
            <w:tcW w:w="136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pcdhb21</w:t>
            </w:r>
            <w:r>
              <w:rPr>
                <w:kern w:val="0"/>
                <w:sz w:val="24"/>
              </w:rPr>
              <w:t>*</w:t>
            </w:r>
          </w:p>
        </w:tc>
        <w:tc>
          <w:tcPr>
            <w:tcW w:w="2158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protocadherin beta 21</w:t>
            </w:r>
          </w:p>
        </w:tc>
        <w:tc>
          <w:tcPr>
            <w:tcW w:w="1067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12.18</w:t>
            </w:r>
          </w:p>
        </w:tc>
        <w:tc>
          <w:tcPr>
            <w:tcW w:w="1003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2.05</w:t>
            </w:r>
          </w:p>
        </w:tc>
      </w:tr>
    </w:tbl>
    <w:p>
      <w:pPr>
        <w:spacing w:line="480" w:lineRule="auto"/>
        <w:rPr>
          <w:rFonts w:ascii="Times New Roman" w:hAnsi="Times New Roman" w:eastAsia="仿宋_GB2312"/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p>
      <w:pPr>
        <w:spacing w:line="480" w:lineRule="auto"/>
        <w:rPr>
          <w:color w:val="101214"/>
          <w:sz w:val="24"/>
          <w:shd w:val="clear" w:color="auto" w:fill="FFFFFF"/>
        </w:rPr>
      </w:pPr>
      <w:r>
        <w:rPr>
          <w:b/>
          <w:bCs/>
          <w:sz w:val="24"/>
        </w:rPr>
        <w:t>Supplementary Table 3.</w:t>
      </w:r>
      <w:r>
        <w:rPr>
          <w:sz w:val="24"/>
        </w:rPr>
        <w:t xml:space="preserve"> List of top 10 </w:t>
      </w:r>
      <w:r>
        <w:rPr>
          <w:color w:val="101214"/>
          <w:sz w:val="24"/>
          <w:shd w:val="clear" w:color="auto" w:fill="FFFFFF"/>
        </w:rPr>
        <w:t>differentially expressed</w:t>
      </w:r>
      <w:r>
        <w:rPr>
          <w:sz w:val="24"/>
        </w:rPr>
        <w:t xml:space="preserve"> g</w:t>
      </w:r>
      <w:r>
        <w:rPr>
          <w:color w:val="101214"/>
          <w:sz w:val="24"/>
          <w:shd w:val="clear" w:color="auto" w:fill="FFFFFF"/>
        </w:rPr>
        <w:t>enes between control and cKO(HE) mice, ranked according to p-values</w:t>
      </w:r>
    </w:p>
    <w:p>
      <w:pPr>
        <w:spacing w:line="480" w:lineRule="auto"/>
        <w:rPr>
          <w:color w:val="101214"/>
          <w:sz w:val="24"/>
          <w:shd w:val="clear" w:color="auto" w:fill="FFFFFF"/>
        </w:rPr>
      </w:pPr>
      <w:r>
        <w:rPr>
          <w:color w:val="101214"/>
          <w:sz w:val="24"/>
          <w:shd w:val="clear" w:color="auto" w:fill="FFFFFF"/>
        </w:rPr>
        <w:t xml:space="preserve"> </w:t>
      </w:r>
    </w:p>
    <w:tbl>
      <w:tblPr>
        <w:tblStyle w:val="14"/>
        <w:tblW w:w="8365" w:type="dxa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4209"/>
        <w:gridCol w:w="1620"/>
        <w:gridCol w:w="1440"/>
      </w:tblGrid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kern w:val="0"/>
                <w:sz w:val="22"/>
                <w:szCs w:val="22"/>
              </w:rPr>
              <w:t>Gene Name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  <w:t>Annotation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  <w:t>Fold Change</w:t>
            </w:r>
            <w:r>
              <w:rPr>
                <w:rFonts w:hint="default" w:cs="Times New Roman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  <w:t>(cKO/Control)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666666" w:sz="12" w:space="0"/>
              <w:right w:val="single" w:color="999999" w:sz="4" w:space="0"/>
              <w:insideH w:val="single" w:sz="12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 w:val="0"/>
                <w:bCs w:val="0"/>
                <w:kern w:val="0"/>
                <w:sz w:val="22"/>
                <w:szCs w:val="22"/>
              </w:rPr>
              <w:t>P value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 w:val="0"/>
                <w:bCs w:val="0"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rpl37rt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ribosomal protein L37, retrotransposed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203.04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3.67454E-37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gm4350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predicted gene 4350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13.28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7.38054E-14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pcna-ps2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proliferating cell nuclear antigen pseudogene 2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19.62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6.44209E-12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pakap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paralemmin A kinase anchor protein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100.25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1.05204E-08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gm17535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predicted gene, 17535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7278.59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4.86076E-07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pla2g4e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phospholipase A2, group IVE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9.50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1.47861E-06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gm10800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predicted gene 10800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516.01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9.32042E-06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duox2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dual oxidase 2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46.78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1.19778E-05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gm10722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predicted gene 10722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302.84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1.18436E-05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lrrc14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leucine rich repeat containing 14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5.538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2.11363E-05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ugcg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UDP-glucose ceramide glucosyltransferase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-8.73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1.23E-21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gm37915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predicted gene, 37915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-154.89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2.48E-17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uqcr11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ubiquinol-cytochrome c reductase, complex III subunit XI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-12.43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6.32E-17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uba52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ubiquitin A-52 residue ribosomal protein fusion product 1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-13.16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2.02E-15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rpl41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ribosomal protein L41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-9.30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1.64E-10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ndufa11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NADH:ubiquinone oxidoreductase subunit A11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-5.42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4.36E-08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gm1673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predicted gene 1673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-4.81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5.98E-08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gm10076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predicted gene 10076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-12.34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9.64E-08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samhd1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SAM domain and HD domain, 1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-3.80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1.06E-07</w:t>
            </w:r>
          </w:p>
        </w:tc>
      </w:tr>
      <w:tr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</w:pPr>
            <w:r>
              <w:rPr>
                <w:rFonts w:hint="default" w:cs="Times New Roman"/>
                <w:b/>
                <w:bCs/>
                <w:i/>
                <w:iCs/>
                <w:kern w:val="0"/>
                <w:sz w:val="22"/>
                <w:szCs w:val="22"/>
              </w:rPr>
              <w:t>gm6166</w:t>
            </w:r>
          </w:p>
        </w:tc>
        <w:tc>
          <w:tcPr>
            <w:tcW w:w="4209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predicted gene 6166 </w:t>
            </w:r>
          </w:p>
        </w:tc>
        <w:tc>
          <w:tcPr>
            <w:tcW w:w="162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-53.57</w:t>
            </w:r>
          </w:p>
        </w:tc>
        <w:tc>
          <w:tcPr>
            <w:tcW w:w="1440" w:type="dxa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7.84E-06</w:t>
            </w:r>
          </w:p>
        </w:tc>
      </w:tr>
    </w:tbl>
    <w:p>
      <w:pPr>
        <w:spacing w:line="480" w:lineRule="auto"/>
        <w:rPr>
          <w:rFonts w:ascii="Times New Roman" w:hAnsi="Times New Roman" w:eastAsia="仿宋_GB2312"/>
          <w:sz w:val="24"/>
        </w:rPr>
      </w:pPr>
      <w:r>
        <w:rPr>
          <w:sz w:val="24"/>
        </w:rPr>
        <w:t xml:space="preserve"> </w:t>
      </w:r>
    </w:p>
    <w:p>
      <w:pPr>
        <w:spacing w:line="480" w:lineRule="auto"/>
        <w:rPr>
          <w:sz w:val="24"/>
        </w:rPr>
      </w:pPr>
      <w:r>
        <w:rPr>
          <w:sz w:val="24"/>
        </w:rPr>
        <w:t xml:space="preserve"> </w:t>
      </w:r>
    </w:p>
    <w:p>
      <w:pPr>
        <w:spacing w:line="480" w:lineRule="auto"/>
        <w:rPr>
          <w:sz w:val="24"/>
        </w:rPr>
      </w:pPr>
      <w:r>
        <w:rPr>
          <w:b/>
          <w:bCs/>
          <w:sz w:val="24"/>
        </w:rPr>
        <w:t>Supplementary Table 4</w:t>
      </w:r>
      <w:r>
        <w:rPr>
          <w:sz w:val="24"/>
        </w:rPr>
        <w:t>. List of top 5 genes of arginine and proline metabolism and top 5 genes of oxidative phosphorylation</w:t>
      </w:r>
    </w:p>
    <w:p>
      <w:pPr>
        <w:spacing w:line="480" w:lineRule="auto"/>
        <w:rPr>
          <w:sz w:val="24"/>
        </w:rPr>
      </w:pPr>
      <w:r>
        <w:rPr>
          <w:sz w:val="24"/>
        </w:rPr>
        <w:t xml:space="preserve"> </w:t>
      </w:r>
    </w:p>
    <w:tbl>
      <w:tblPr>
        <w:tblStyle w:val="5"/>
        <w:tblW w:w="8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4730"/>
        <w:gridCol w:w="1514"/>
        <w:gridCol w:w="1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 xml:space="preserve">Top 5 genes of arginine and proline metabolism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Gene Name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Annotation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Fold Change (cKO/Control)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azin2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antizyme inhibitor 2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30.94983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0.011739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arg1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arginase, liver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24.98003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0.029765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aoc1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amine oxidase, copper-containing 1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17.32677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0.017056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prodh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proline dehydrogenase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5.370391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smox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spermine oxidase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2.340781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0.023342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8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List of top 5 genes of oxidative phosphorylation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uqcr11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ubiquinol-cytochrome c reductase, complex III subunit XI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-12.43042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6.32E-17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ndufs8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NADH:ubiquinone oxidoreductase core subunit S8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-10.01772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0.044662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cox11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cytochrome c oxidase assembly protein 11, copper chaperone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-8.014056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0.045314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ndufa7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NADH:ubiquinone oxidoreductase subunit A7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-5.472158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0.04254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ndufa11</w:t>
            </w:r>
          </w:p>
        </w:tc>
        <w:tc>
          <w:tcPr>
            <w:tcW w:w="4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NADH:ubiquinone oxidoreductase subunit A11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-5.423126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4.36E-08</w:t>
            </w:r>
          </w:p>
        </w:tc>
      </w:tr>
    </w:tbl>
    <w:p>
      <w:pPr>
        <w:spacing w:line="480" w:lineRule="auto"/>
        <w:rPr>
          <w:rFonts w:ascii="Times New Roman" w:hAnsi="Times New Roman" w:eastAsia="仿宋_GB2312"/>
          <w:bCs/>
          <w:sz w:val="24"/>
          <w:shd w:val="clear" w:color="auto" w:fill="FFFFFF"/>
        </w:rPr>
      </w:pPr>
      <w:r>
        <w:rPr>
          <w:bCs/>
          <w:sz w:val="24"/>
          <w:shd w:val="clear" w:color="auto" w:fill="FFFFFF"/>
        </w:rPr>
        <w:t xml:space="preserve"> </w:t>
      </w:r>
    </w:p>
    <w:p>
      <w:pPr>
        <w:spacing w:line="480" w:lineRule="auto"/>
        <w:rPr>
          <w:bCs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Supplementary Figure 1</w:t>
      </w:r>
      <w:r>
        <w:rPr>
          <w:bCs/>
          <w:sz w:val="24"/>
          <w:shd w:val="clear" w:color="auto" w:fill="FFFFFF"/>
        </w:rPr>
        <w:t xml:space="preserve">. The breeding strategy to generate placenta BDNF knockout mice (A) and genotyping (B). </w:t>
      </w:r>
    </w:p>
    <w:p>
      <w:r>
        <w:drawing>
          <wp:inline distT="0" distB="0" distL="0" distR="0">
            <wp:extent cx="5274310" cy="4904105"/>
            <wp:effectExtent l="0" t="0" r="2540" b="0"/>
            <wp:docPr id="725453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45318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Theme="minorEastAsia"/>
          <w:color w:val="FF0000"/>
          <w:sz w:val="24"/>
          <w:lang w:val="en-US" w:eastAsia="zh-CN"/>
        </w:rPr>
      </w:pPr>
      <w:r>
        <w:rPr>
          <w:b/>
          <w:sz w:val="24"/>
          <w:shd w:val="clear" w:color="auto" w:fill="FFFFFF"/>
        </w:rPr>
        <w:t xml:space="preserve">Supplementary Figure </w:t>
      </w:r>
      <w:r>
        <w:rPr>
          <w:rFonts w:hint="eastAsia"/>
          <w:b/>
          <w:sz w:val="24"/>
          <w:shd w:val="clear" w:color="auto" w:fill="FFFFFF"/>
        </w:rPr>
        <w:t>2</w:t>
      </w:r>
      <w:r>
        <w:rPr>
          <w:bCs/>
          <w:sz w:val="24"/>
          <w:shd w:val="clear" w:color="auto" w:fill="FFFFFF"/>
        </w:rPr>
        <w:t>.</w:t>
      </w:r>
      <w:r>
        <w:rPr>
          <w:rFonts w:hint="eastAsia"/>
          <w:bCs/>
          <w:color w:val="FF0000"/>
          <w:sz w:val="24"/>
          <w:shd w:val="clear" w:color="auto" w:fill="FFFFFF"/>
        </w:rPr>
        <w:t xml:space="preserve"> </w:t>
      </w:r>
      <w:r>
        <w:rPr>
          <w:rFonts w:hint="eastAsia" w:ascii="Times New Roman" w:hAnsi="Times New Roman"/>
          <w:color w:val="FF0000"/>
          <w:sz w:val="24"/>
        </w:rPr>
        <w:t>F</w:t>
      </w:r>
      <w:r>
        <w:rPr>
          <w:rFonts w:ascii="Times New Roman" w:hAnsi="Times New Roman"/>
          <w:color w:val="FF0000"/>
          <w:sz w:val="24"/>
        </w:rPr>
        <w:t>ull Western blots</w:t>
      </w:r>
      <w:r>
        <w:rPr>
          <w:rFonts w:hint="eastAsia" w:ascii="Times New Roman" w:hAnsi="Times New Roman"/>
          <w:color w:val="FF0000"/>
          <w:sz w:val="24"/>
        </w:rPr>
        <w:t xml:space="preserve"> of</w:t>
      </w:r>
      <w:r>
        <w:rPr>
          <w:rFonts w:hint="eastAsia" w:ascii="Times New Roman" w:hAnsi="Times New Roman"/>
          <w:color w:val="FF0000"/>
          <w:sz w:val="24"/>
          <w:lang w:val="en-US" w:eastAsia="zh-CN"/>
        </w:rPr>
        <w:t xml:space="preserve"> BDNF.</w:t>
      </w:r>
      <w:bookmarkStart w:id="0" w:name="_GoBack"/>
      <w:bookmarkEnd w:id="0"/>
    </w:p>
    <w:p>
      <w:pPr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eastAsia" w:ascii="Times New Roman" w:hAnsi="Times New Roman" w:eastAsiaTheme="minorEastAsia"/>
          <w:sz w:val="24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新建 PPTX 演示文稿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建 PPTX 演示文稿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5ZmRhM2FlZmViOTRkZTZmMzc2MDBhYTFhNWUwZDkifQ=="/>
  </w:docVars>
  <w:rsids>
    <w:rsidRoot w:val="00AD6DD3"/>
    <w:rsid w:val="003E16B6"/>
    <w:rsid w:val="0043095F"/>
    <w:rsid w:val="004E5FED"/>
    <w:rsid w:val="006D5140"/>
    <w:rsid w:val="00AD6DD3"/>
    <w:rsid w:val="00B804F6"/>
    <w:rsid w:val="00BA5314"/>
    <w:rsid w:val="00BA7B38"/>
    <w:rsid w:val="1E8D4701"/>
    <w:rsid w:val="5E4A72D5"/>
    <w:rsid w:val="620632EC"/>
    <w:rsid w:val="7391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Times New Roman" w:eastAsiaTheme="minorEastAsia"/>
      <w:kern w:val="2"/>
      <w:sz w:val="21"/>
      <w:szCs w:val="24"/>
      <w:lang w:val="en-GB" w:eastAsia="zh-CN" w:bidi="ar-SA"/>
      <w14:ligatures w14:val="none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/>
      <w:sz w:val="18"/>
      <w:szCs w:val="18"/>
      <w:lang w:val="en-US"/>
    </w:rPr>
  </w:style>
  <w:style w:type="paragraph" w:styleId="3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/>
      <w:sz w:val="18"/>
      <w:szCs w:val="18"/>
      <w:lang w:val="en-US"/>
    </w:rPr>
  </w:style>
  <w:style w:type="table" w:styleId="5">
    <w:name w:val="Table Grid"/>
    <w:basedOn w:val="4"/>
    <w:qFormat/>
    <w:uiPriority w:val="99"/>
    <w:rPr>
      <w:rFonts w:eastAsia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0"/>
    <w:rPr>
      <w:b/>
      <w:bCs/>
    </w:rPr>
  </w:style>
  <w:style w:type="character" w:styleId="8">
    <w:name w:val="Emphasis"/>
    <w:qFormat/>
    <w:uiPriority w:val="0"/>
    <w:rPr>
      <w:i/>
      <w:iCs/>
    </w:rPr>
  </w:style>
  <w:style w:type="character" w:styleId="9">
    <w:name w:val="line number"/>
    <w:basedOn w:val="6"/>
    <w:semiHidden/>
    <w:unhideWhenUsed/>
    <w:qFormat/>
    <w:uiPriority w:val="99"/>
  </w:style>
  <w:style w:type="paragraph" w:styleId="10">
    <w:name w:val="No Spacing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  <w14:ligatures w14:val="standardContextual"/>
    </w:rPr>
  </w:style>
  <w:style w:type="character" w:customStyle="1" w:styleId="11">
    <w:name w:val="Subtle Emphasis"/>
    <w:qFormat/>
    <w:uiPriority w:val="19"/>
    <w:rPr>
      <w:i/>
      <w:iCs/>
      <w:color w:val="808080"/>
    </w:rPr>
  </w:style>
  <w:style w:type="character" w:customStyle="1" w:styleId="12">
    <w:name w:val="页眉 字符"/>
    <w:basedOn w:val="6"/>
    <w:link w:val="3"/>
    <w:qFormat/>
    <w:uiPriority w:val="99"/>
    <w:rPr>
      <w:rFonts w:eastAsia="仿宋_GB2312"/>
      <w:sz w:val="18"/>
      <w:szCs w:val="18"/>
      <w14:ligatures w14:val="none"/>
    </w:rPr>
  </w:style>
  <w:style w:type="character" w:customStyle="1" w:styleId="13">
    <w:name w:val="页脚 字符"/>
    <w:basedOn w:val="6"/>
    <w:link w:val="2"/>
    <w:uiPriority w:val="99"/>
    <w:rPr>
      <w:rFonts w:eastAsia="仿宋_GB2312"/>
      <w:sz w:val="18"/>
      <w:szCs w:val="18"/>
      <w14:ligatures w14:val="none"/>
    </w:rPr>
  </w:style>
  <w:style w:type="table" w:customStyle="1" w:styleId="14">
    <w:name w:val="网格表 1 浅色1"/>
    <w:basedOn w:val="4"/>
    <w:qFormat/>
    <w:uiPriority w:val="0"/>
    <w:rPr>
      <w:rFonts w:eastAsia="Times New Roman"/>
      <w:kern w:val="0"/>
      <w14:ligatures w14:val="none"/>
    </w:rPr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rFonts w:hint="default" w:ascii="Times New Roman" w:hAnsi="Times New Roman" w:cs="Times New Roman"/>
        <w:b/>
        <w:bCs/>
      </w:rPr>
      <w:tcPr>
        <w:tcBorders>
          <w:bottom w:val="single" w:color="666666" w:sz="12" w:space="0"/>
        </w:tcBorders>
      </w:tcPr>
    </w:tblStylePr>
    <w:tblStylePr w:type="lastRow">
      <w:rPr>
        <w:rFonts w:hint="default" w:ascii="Times New Roman" w:hAnsi="Times New Roman" w:cs="Times New Roman"/>
        <w:b/>
        <w:bCs/>
      </w:rPr>
      <w:tcPr>
        <w:tcBorders>
          <w:top w:val="double" w:color="666666" w:sz="2" w:space="0"/>
        </w:tcBorders>
      </w:tcPr>
    </w:tblStylePr>
    <w:tblStylePr w:type="firstCol">
      <w:rPr>
        <w:rFonts w:hint="default" w:ascii="Times New Roman" w:hAnsi="Times New Roman" w:cs="Times New Roman"/>
        <w:b/>
        <w:bCs/>
      </w:rPr>
    </w:tblStylePr>
    <w:tblStylePr w:type="lastCol">
      <w:rPr>
        <w:rFonts w:hint="default" w:ascii="Times New Roman" w:hAnsi="Times New Roman" w:cs="Times New Roman"/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377</Words>
  <Characters>2573</Characters>
  <Lines>21</Lines>
  <Paragraphs>6</Paragraphs>
  <TotalTime>12</TotalTime>
  <ScaleCrop>false</ScaleCrop>
  <LinksUpToDate>false</LinksUpToDate>
  <CharactersWithSpaces>2796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2023-12-07T01:04:00Z</dcterms:created>
  <dc:creator>xi xiao</dc:creator>
  <cp:lastModifiedBy>刘斌</cp:lastModifiedBy>
  <dcterms:modified xsi:type="dcterms:W3CDTF">2024-05-13T14:24:42Z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ACA84C3241F74BECB474107E55CB2D60_12</vt:lpwstr>
  </property>
</Properties>
</file>