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4B" w:rsidRPr="00383B9D" w:rsidRDefault="00383B9D">
      <w:pPr>
        <w:rPr>
          <w:rFonts w:ascii="Times New Roman" w:hAnsi="Times New Roman" w:cs="Times New Roman"/>
          <w:b/>
          <w:sz w:val="36"/>
          <w:szCs w:val="36"/>
        </w:rPr>
      </w:pPr>
      <w:r w:rsidRPr="00383B9D">
        <w:rPr>
          <w:rFonts w:ascii="Times New Roman" w:hAnsi="Times New Roman" w:cs="Times New Roman"/>
          <w:b/>
          <w:sz w:val="36"/>
          <w:szCs w:val="36"/>
        </w:rPr>
        <w:t xml:space="preserve">Supplementary Figures </w:t>
      </w:r>
    </w:p>
    <w:p w:rsidR="00383B9D" w:rsidRDefault="00383B9D"/>
    <w:p w:rsidR="00383B9D" w:rsidRDefault="00383B9D">
      <w:r>
        <w:rPr>
          <w:noProof/>
          <w:lang w:val="en-IN" w:eastAsia="en-IN"/>
        </w:rPr>
        <w:drawing>
          <wp:inline distT="0" distB="0" distL="0" distR="0">
            <wp:extent cx="5731510" cy="348043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/>
          <w:color w:val="auto"/>
          <w:kern w:val="2"/>
          <w:sz w:val="21"/>
          <w:szCs w:val="21"/>
        </w:rPr>
      </w:pPr>
      <w:proofErr w:type="gram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Fig.</w:t>
      </w:r>
      <w:proofErr w:type="gram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S1. Characteristics of </w:t>
      </w:r>
      <w:proofErr w:type="spell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lncRNAs</w:t>
      </w:r>
      <w:proofErr w:type="spell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detected in human </w:t>
      </w:r>
      <w:proofErr w:type="spell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granulosa</w:t>
      </w:r>
      <w:proofErr w:type="spell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cells.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proofErr w:type="gram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A-B.</w:t>
      </w:r>
      <w:proofErr w:type="gram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</w:t>
      </w:r>
      <w:proofErr w:type="gram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Venn diagram of detected known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(A) and novel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(B) in human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granulosa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cells.</w:t>
      </w:r>
      <w:proofErr w:type="gram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At least two samples with RPKM </w:t>
      </w:r>
      <w:r w:rsidRPr="009B06C6">
        <w:rPr>
          <w:sz w:val="21"/>
          <w:szCs w:val="21"/>
        </w:rPr>
        <w:t xml:space="preserve">≥ </w:t>
      </w: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0.5 was </w:t>
      </w:r>
      <w:proofErr w:type="gram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is</w:t>
      </w:r>
      <w:proofErr w:type="gram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considered to be detected in the group. 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C. Principal component analysis (PCA) of 67 samples of human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granulosa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cells based on mRNAs. The samples were grouped by stages and the ellipse for each group by the confidence ellipse. 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D. Distribution of exon count of known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, novel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, and protein-coding RNA. 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E. Density of the length distribution of known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, novel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, and protein-coding RNA. </w:t>
      </w:r>
    </w:p>
    <w:p w:rsidR="00383B9D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>
        <w:rPr>
          <w:rFonts w:eastAsiaTheme="majorEastAsia"/>
          <w:bCs/>
          <w:noProof/>
          <w:color w:val="auto"/>
          <w:kern w:val="2"/>
          <w:sz w:val="21"/>
          <w:szCs w:val="21"/>
          <w:lang w:val="en-IN" w:eastAsia="en-IN"/>
        </w:rPr>
        <w:lastRenderedPageBreak/>
        <w:drawing>
          <wp:inline distT="0" distB="0" distL="0" distR="0">
            <wp:extent cx="5731510" cy="258699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/>
          <w:color w:val="auto"/>
          <w:kern w:val="2"/>
          <w:sz w:val="21"/>
          <w:szCs w:val="21"/>
        </w:rPr>
      </w:pPr>
      <w:proofErr w:type="gram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Fig.</w:t>
      </w:r>
      <w:proofErr w:type="gram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S2. </w:t>
      </w:r>
      <w:proofErr w:type="gram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Co-expression analysis of stage-specific </w:t>
      </w:r>
      <w:proofErr w:type="spell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lncRNAs</w:t>
      </w:r>
      <w:proofErr w:type="spell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and mRNAs.</w:t>
      </w:r>
      <w:proofErr w:type="gramEnd"/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/>
          <w:color w:val="auto"/>
          <w:kern w:val="2"/>
          <w:sz w:val="21"/>
          <w:szCs w:val="21"/>
        </w:rPr>
      </w:pP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A. Bar plot shows the number of co-expressed DE mRNAs of stage-specific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lncRNAs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. “</w:t>
      </w:r>
      <w:proofErr w:type="gram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first</w:t>
      </w:r>
      <w:proofErr w:type="gram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” denote directly correlated mRNAs with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lncRNAs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and “second” denote mRNAs correlated with “first” mRNAs. Cutoffs of P-value </w:t>
      </w:r>
      <w:r w:rsidRPr="009B06C6">
        <w:rPr>
          <w:sz w:val="21"/>
          <w:szCs w:val="21"/>
        </w:rPr>
        <w:t>≤ 0.01 and Pearson coefficient ≥ 0.9 were applied to identify the co-expression pairs.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 w:rsidRPr="009B06C6">
        <w:rPr>
          <w:rFonts w:eastAsiaTheme="majorEastAsia" w:hint="eastAsia"/>
          <w:bCs/>
          <w:color w:val="auto"/>
          <w:kern w:val="2"/>
          <w:sz w:val="21"/>
          <w:szCs w:val="21"/>
        </w:rPr>
        <w:t xml:space="preserve">B. </w:t>
      </w: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The top 5 enriched KEGG pathways were illustrated for the mRNAs co-expressed with stage-specific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lncRNAs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among different stages. The color scale shows the row-scaled significance (-log 10 corrected P-value) of the terms.</w:t>
      </w:r>
    </w:p>
    <w:p w:rsidR="00383B9D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>
        <w:rPr>
          <w:rFonts w:eastAsiaTheme="majorEastAsia"/>
          <w:bCs/>
          <w:noProof/>
          <w:color w:val="auto"/>
          <w:kern w:val="2"/>
          <w:sz w:val="21"/>
          <w:szCs w:val="21"/>
          <w:lang w:val="en-IN" w:eastAsia="en-IN"/>
        </w:rPr>
        <w:lastRenderedPageBreak/>
        <w:drawing>
          <wp:inline distT="0" distB="0" distL="0" distR="0">
            <wp:extent cx="5731510" cy="552704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2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/>
          <w:color w:val="auto"/>
          <w:kern w:val="2"/>
          <w:sz w:val="21"/>
          <w:szCs w:val="21"/>
        </w:rPr>
      </w:pPr>
      <w:proofErr w:type="gram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Fig.</w:t>
      </w:r>
      <w:proofErr w:type="gram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S3 Co-expression network plots of </w:t>
      </w:r>
      <w:proofErr w:type="spell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lncRNAs</w:t>
      </w:r>
      <w:proofErr w:type="spell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, mRNAs, TFs, and cell cycle-related terms in </w:t>
      </w:r>
      <w:proofErr w:type="spell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antral</w:t>
      </w:r>
      <w:proofErr w:type="spell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follicle stage.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proofErr w:type="gram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The co-expression network of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lncRNAs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, co-expressed mRNAs and transcription factors (TFs), which are specifically involved in four cell cycle-related terms of the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antral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follicle stage.</w:t>
      </w:r>
      <w:proofErr w:type="gram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LncRNAs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are plotted with the yellow triangle, co-expressed mRNAs are plotted with the blue circle, TFs are plotted with the green circle and the mRNA-enriched GO terms are plotted with the red box. </w:t>
      </w:r>
    </w:p>
    <w:p w:rsidR="00383B9D" w:rsidRDefault="00383B9D" w:rsidP="00383B9D">
      <w:pPr>
        <w:pStyle w:val="Default"/>
        <w:spacing w:line="480" w:lineRule="auto"/>
        <w:jc w:val="both"/>
        <w:rPr>
          <w:sz w:val="21"/>
          <w:szCs w:val="21"/>
        </w:rPr>
      </w:pPr>
    </w:p>
    <w:p w:rsidR="00383B9D" w:rsidRPr="009B06C6" w:rsidRDefault="00383B9D" w:rsidP="00383B9D">
      <w:pPr>
        <w:pStyle w:val="Default"/>
        <w:spacing w:line="480" w:lineRule="auto"/>
        <w:jc w:val="both"/>
        <w:rPr>
          <w:sz w:val="21"/>
          <w:szCs w:val="21"/>
        </w:rPr>
      </w:pPr>
      <w:r>
        <w:rPr>
          <w:noProof/>
          <w:sz w:val="21"/>
          <w:szCs w:val="21"/>
          <w:lang w:val="en-IN" w:eastAsia="en-IN"/>
        </w:rPr>
        <w:lastRenderedPageBreak/>
        <w:drawing>
          <wp:inline distT="0" distB="0" distL="0" distR="0">
            <wp:extent cx="5731510" cy="33407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/>
          <w:color w:val="auto"/>
          <w:kern w:val="2"/>
          <w:sz w:val="21"/>
          <w:szCs w:val="21"/>
        </w:rPr>
      </w:pPr>
      <w:proofErr w:type="gram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Fig.</w:t>
      </w:r>
      <w:proofErr w:type="gram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S4. </w:t>
      </w:r>
      <w:proofErr w:type="gram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WGCNA analysis of all </w:t>
      </w:r>
      <w:proofErr w:type="spell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lncRNAs</w:t>
      </w:r>
      <w:proofErr w:type="spell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and mRNAs.</w:t>
      </w:r>
      <w:proofErr w:type="gramEnd"/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proofErr w:type="gramStart"/>
      <w:r w:rsidRPr="009B06C6">
        <w:rPr>
          <w:rFonts w:eastAsiaTheme="majorEastAsia" w:hint="eastAsia"/>
          <w:bCs/>
          <w:color w:val="auto"/>
          <w:kern w:val="2"/>
          <w:sz w:val="21"/>
          <w:szCs w:val="21"/>
        </w:rPr>
        <w:t>A-B</w:t>
      </w:r>
      <w:r w:rsidRPr="009B06C6">
        <w:rPr>
          <w:rFonts w:eastAsiaTheme="majorEastAsia"/>
          <w:bCs/>
          <w:color w:val="auto"/>
          <w:kern w:val="2"/>
          <w:sz w:val="21"/>
          <w:szCs w:val="21"/>
        </w:rPr>
        <w:t>.</w:t>
      </w:r>
      <w:proofErr w:type="gram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Module plots displaying the top 15 hub genes, as well as the enriched GO terms in each of the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MEdarkturquoise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(A),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MEblack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(B) modules in Fig. </w:t>
      </w:r>
      <w:r w:rsidRPr="009B06C6">
        <w:rPr>
          <w:rFonts w:eastAsiaTheme="majorEastAsia"/>
          <w:b/>
          <w:color w:val="auto"/>
          <w:kern w:val="2"/>
          <w:sz w:val="21"/>
          <w:szCs w:val="21"/>
        </w:rPr>
        <w:t>3</w:t>
      </w:r>
      <w:r w:rsidRPr="009B06C6">
        <w:rPr>
          <w:rFonts w:eastAsiaTheme="majorEastAsia"/>
          <w:bCs/>
          <w:color w:val="auto"/>
          <w:kern w:val="2"/>
          <w:sz w:val="21"/>
          <w:szCs w:val="21"/>
        </w:rPr>
        <w:t>A.</w:t>
      </w:r>
    </w:p>
    <w:p w:rsidR="00383B9D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>
        <w:rPr>
          <w:rFonts w:eastAsiaTheme="majorEastAsia"/>
          <w:bCs/>
          <w:noProof/>
          <w:color w:val="auto"/>
          <w:kern w:val="2"/>
          <w:sz w:val="21"/>
          <w:szCs w:val="21"/>
          <w:lang w:val="en-IN" w:eastAsia="en-IN"/>
        </w:rPr>
        <w:drawing>
          <wp:inline distT="0" distB="0" distL="0" distR="0">
            <wp:extent cx="5731510" cy="4032885"/>
            <wp:effectExtent l="0" t="0" r="254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/>
          <w:color w:val="auto"/>
          <w:kern w:val="2"/>
          <w:sz w:val="21"/>
          <w:szCs w:val="21"/>
        </w:rPr>
      </w:pPr>
      <w:proofErr w:type="gramStart"/>
      <w:r w:rsidRPr="009B06C6">
        <w:rPr>
          <w:rFonts w:eastAsiaTheme="majorEastAsia" w:hint="eastAsia"/>
          <w:b/>
          <w:color w:val="auto"/>
          <w:kern w:val="2"/>
          <w:sz w:val="21"/>
          <w:szCs w:val="21"/>
        </w:rPr>
        <w:lastRenderedPageBreak/>
        <w:t>F</w:t>
      </w:r>
      <w:r w:rsidRPr="009B06C6">
        <w:rPr>
          <w:rFonts w:eastAsiaTheme="majorEastAsia"/>
          <w:b/>
          <w:color w:val="auto"/>
          <w:kern w:val="2"/>
          <w:sz w:val="21"/>
          <w:szCs w:val="21"/>
        </w:rPr>
        <w:t>ig.</w:t>
      </w:r>
      <w:proofErr w:type="gram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S5. </w:t>
      </w:r>
      <w:proofErr w:type="gram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Quality control and cell clustering of the mouse </w:t>
      </w:r>
      <w:r w:rsidRPr="009B06C6">
        <w:rPr>
          <w:rFonts w:eastAsiaTheme="majorEastAsia" w:hint="eastAsia"/>
          <w:b/>
          <w:color w:val="auto"/>
          <w:kern w:val="2"/>
          <w:sz w:val="21"/>
          <w:szCs w:val="21"/>
        </w:rPr>
        <w:t>ovary</w:t>
      </w:r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</w:t>
      </w:r>
      <w:proofErr w:type="spell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scRNA</w:t>
      </w:r>
      <w:proofErr w:type="spell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>-seq.</w:t>
      </w:r>
      <w:proofErr w:type="gramEnd"/>
    </w:p>
    <w:p w:rsidR="00383B9D" w:rsidRPr="009B06C6" w:rsidRDefault="00383B9D" w:rsidP="00383B9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B06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a. </w:t>
      </w:r>
      <w:r w:rsidRPr="009B06C6">
        <w:rPr>
          <w:rFonts w:ascii="Times New Roman" w:eastAsia="DengXian" w:hAnsi="Times New Roman" w:cs="Times New Roman"/>
          <w:color w:val="000000" w:themeColor="text1"/>
          <w:sz w:val="22"/>
          <w:szCs w:val="22"/>
        </w:rPr>
        <w:t xml:space="preserve">Summary of the mouse </w:t>
      </w:r>
      <w:r w:rsidRPr="009B06C6">
        <w:rPr>
          <w:rFonts w:ascii="Times New Roman" w:eastAsia="DengXian" w:hAnsi="Times New Roman" w:cs="Times New Roman" w:hint="eastAsia"/>
          <w:color w:val="000000" w:themeColor="text1"/>
          <w:sz w:val="22"/>
          <w:szCs w:val="22"/>
        </w:rPr>
        <w:t>ovary</w:t>
      </w:r>
      <w:r w:rsidRPr="009B06C6">
        <w:rPr>
          <w:rFonts w:ascii="Times New Roman" w:eastAsia="DengXian" w:hAnsi="Times New Roman" w:cs="Times New Roman"/>
          <w:color w:val="000000" w:themeColor="text1"/>
          <w:sz w:val="22"/>
          <w:szCs w:val="22"/>
        </w:rPr>
        <w:t xml:space="preserve"> information for </w:t>
      </w:r>
      <w:proofErr w:type="spellStart"/>
      <w:r w:rsidRPr="009B06C6">
        <w:rPr>
          <w:rFonts w:ascii="Times New Roman" w:eastAsia="DengXian" w:hAnsi="Times New Roman" w:cs="Times New Roman"/>
          <w:color w:val="000000" w:themeColor="text1"/>
          <w:sz w:val="22"/>
          <w:szCs w:val="22"/>
        </w:rPr>
        <w:t>scRNA</w:t>
      </w:r>
      <w:proofErr w:type="spellEnd"/>
      <w:r w:rsidRPr="009B06C6">
        <w:rPr>
          <w:rFonts w:ascii="Times New Roman" w:eastAsia="DengXian" w:hAnsi="Times New Roman" w:cs="Times New Roman"/>
          <w:color w:val="000000" w:themeColor="text1"/>
          <w:sz w:val="22"/>
          <w:szCs w:val="22"/>
        </w:rPr>
        <w:t>-seq.</w:t>
      </w:r>
    </w:p>
    <w:p w:rsidR="00383B9D" w:rsidRPr="009B06C6" w:rsidRDefault="00383B9D" w:rsidP="00383B9D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B06C6">
        <w:rPr>
          <w:rFonts w:ascii="Times New Roman" w:hAnsi="Times New Roman" w:cs="Times New Roman"/>
          <w:color w:val="000000" w:themeColor="text1"/>
          <w:sz w:val="22"/>
          <w:szCs w:val="22"/>
        </w:rPr>
        <w:t>b. Violin plots showing the number of the captured counts, genes and mitochondrial ratio in 13-week and 52-week ovarian cells.</w:t>
      </w:r>
    </w:p>
    <w:p w:rsidR="00383B9D" w:rsidRPr="009B06C6" w:rsidRDefault="00383B9D" w:rsidP="00383B9D">
      <w:pPr>
        <w:spacing w:line="480" w:lineRule="auto"/>
        <w:rPr>
          <w:rFonts w:ascii="Times New Roman" w:eastAsia="DengXian" w:hAnsi="Times New Roman" w:cs="Times New Roman"/>
          <w:color w:val="000000" w:themeColor="text1"/>
          <w:sz w:val="22"/>
          <w:szCs w:val="22"/>
        </w:rPr>
      </w:pPr>
      <w:proofErr w:type="gramStart"/>
      <w:r w:rsidRPr="009B06C6">
        <w:rPr>
          <w:rFonts w:ascii="Times New Roman" w:eastAsia="DengXian" w:hAnsi="Times New Roman" w:cs="Times New Roman"/>
          <w:color w:val="000000" w:themeColor="text1"/>
          <w:sz w:val="22"/>
          <w:szCs w:val="22"/>
        </w:rPr>
        <w:t>c</w:t>
      </w:r>
      <w:proofErr w:type="gramEnd"/>
      <w:r w:rsidRPr="009B06C6">
        <w:rPr>
          <w:rFonts w:ascii="Times New Roman" w:eastAsia="DengXian" w:hAnsi="Times New Roman" w:cs="Times New Roman"/>
          <w:color w:val="000000" w:themeColor="text1"/>
          <w:sz w:val="22"/>
          <w:szCs w:val="22"/>
        </w:rPr>
        <w:t xml:space="preserve">. </w:t>
      </w:r>
      <w:r w:rsidRPr="009B06C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t-SNE </w:t>
      </w:r>
      <w:r w:rsidRPr="009B06C6">
        <w:rPr>
          <w:rFonts w:ascii="Times New Roman" w:eastAsia="DengXian" w:hAnsi="Times New Roman" w:cs="Times New Roman"/>
          <w:color w:val="000000" w:themeColor="text1"/>
          <w:sz w:val="22"/>
          <w:szCs w:val="22"/>
        </w:rPr>
        <w:t xml:space="preserve">plots showing 36 major clusters of somatic cells obtained in the control and </w:t>
      </w:r>
      <w:proofErr w:type="spellStart"/>
      <w:r w:rsidRPr="009B06C6">
        <w:rPr>
          <w:rFonts w:ascii="Times New Roman" w:eastAsia="DengXian" w:hAnsi="Times New Roman" w:cs="Times New Roman"/>
          <w:color w:val="000000" w:themeColor="text1"/>
          <w:sz w:val="22"/>
          <w:szCs w:val="22"/>
        </w:rPr>
        <w:t>GnRH</w:t>
      </w:r>
      <w:proofErr w:type="spellEnd"/>
      <w:r w:rsidRPr="009B06C6">
        <w:rPr>
          <w:rFonts w:ascii="Times New Roman" w:eastAsia="DengXian" w:hAnsi="Times New Roman" w:cs="Times New Roman"/>
          <w:color w:val="000000" w:themeColor="text1"/>
          <w:sz w:val="22"/>
          <w:szCs w:val="22"/>
        </w:rPr>
        <w:t>-a group mouse ovaries.</w:t>
      </w:r>
    </w:p>
    <w:p w:rsidR="00383B9D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>
        <w:rPr>
          <w:rFonts w:eastAsiaTheme="majorEastAsia"/>
          <w:bCs/>
          <w:noProof/>
          <w:color w:val="auto"/>
          <w:kern w:val="2"/>
          <w:sz w:val="21"/>
          <w:szCs w:val="21"/>
          <w:lang w:val="en-IN" w:eastAsia="en-IN"/>
        </w:rPr>
        <w:drawing>
          <wp:inline distT="0" distB="0" distL="0" distR="0">
            <wp:extent cx="5731510" cy="3330575"/>
            <wp:effectExtent l="0" t="0" r="254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b/>
          <w:sz w:val="21"/>
          <w:szCs w:val="21"/>
        </w:rPr>
      </w:pPr>
      <w:proofErr w:type="gram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Fig.</w:t>
      </w:r>
      <w:proofErr w:type="gram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S6. </w:t>
      </w:r>
      <w:proofErr w:type="spellStart"/>
      <w:r w:rsidRPr="009B06C6">
        <w:rPr>
          <w:b/>
          <w:sz w:val="21"/>
          <w:szCs w:val="21"/>
        </w:rPr>
        <w:t>Upregulated</w:t>
      </w:r>
      <w:proofErr w:type="spellEnd"/>
      <w:r w:rsidRPr="009B06C6">
        <w:rPr>
          <w:b/>
          <w:sz w:val="21"/>
          <w:szCs w:val="21"/>
        </w:rPr>
        <w:t xml:space="preserve"> SNHG18 increased cell viability of </w:t>
      </w:r>
      <w:proofErr w:type="spellStart"/>
      <w:r w:rsidRPr="009B06C6">
        <w:rPr>
          <w:b/>
          <w:sz w:val="21"/>
          <w:szCs w:val="21"/>
        </w:rPr>
        <w:t>granulosa</w:t>
      </w:r>
      <w:proofErr w:type="spellEnd"/>
      <w:r w:rsidRPr="009B06C6">
        <w:rPr>
          <w:b/>
          <w:sz w:val="21"/>
          <w:szCs w:val="21"/>
        </w:rPr>
        <w:t xml:space="preserve"> cells.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A. </w:t>
      </w:r>
      <w:r w:rsidRPr="009B06C6">
        <w:rPr>
          <w:rFonts w:eastAsiaTheme="majorEastAsia" w:hint="eastAsia"/>
          <w:bCs/>
          <w:color w:val="auto"/>
          <w:kern w:val="2"/>
          <w:sz w:val="21"/>
          <w:szCs w:val="21"/>
        </w:rPr>
        <w:t>The</w:t>
      </w: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expression level of SNHG18 in SNHG18-overexpression SVOG cells detected by RT-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qPCR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.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proofErr w:type="gram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B. 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Annexin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V-FITC/PI staining and flow-</w:t>
      </w:r>
      <w:proofErr w:type="spellStart"/>
      <w:r w:rsidRPr="009B06C6">
        <w:rPr>
          <w:rFonts w:eastAsiaTheme="majorEastAsia"/>
          <w:bCs/>
          <w:color w:val="auto"/>
          <w:kern w:val="2"/>
          <w:sz w:val="21"/>
          <w:szCs w:val="21"/>
        </w:rPr>
        <w:t>cytometry</w:t>
      </w:r>
      <w:proofErr w:type="spellEnd"/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analysis of the proportion of apoptotic SVOG cells.</w:t>
      </w:r>
      <w:proofErr w:type="gramEnd"/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 w:rsidRPr="009B06C6">
        <w:rPr>
          <w:rFonts w:eastAsiaTheme="majorEastAsia"/>
          <w:bCs/>
          <w:color w:val="auto"/>
          <w:kern w:val="2"/>
          <w:sz w:val="21"/>
          <w:szCs w:val="21"/>
        </w:rPr>
        <w:t>C. CCK8 assay of the SNHG18-overexpression SVOG cells.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 w:rsidRPr="009B06C6">
        <w:rPr>
          <w:rFonts w:eastAsiaTheme="majorEastAsia"/>
          <w:bCs/>
          <w:color w:val="auto"/>
          <w:kern w:val="2"/>
          <w:sz w:val="21"/>
          <w:szCs w:val="21"/>
        </w:rPr>
        <w:t>D. The expression level of PRKCE mRNA in SNHG18-overexpression SVOG cells.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 w:rsidRPr="009B06C6">
        <w:rPr>
          <w:rFonts w:eastAsiaTheme="majorEastAsia"/>
          <w:bCs/>
          <w:color w:val="auto"/>
          <w:kern w:val="2"/>
          <w:sz w:val="21"/>
          <w:szCs w:val="21"/>
        </w:rPr>
        <w:t>All of the experiments were performed in triplicate at least and the data were expressed as the mean ± SD. **, P &lt; 0.01; ***, P&lt;0.001.</w:t>
      </w:r>
    </w:p>
    <w:p w:rsidR="00383B9D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>
        <w:rPr>
          <w:rFonts w:eastAsiaTheme="majorEastAsia"/>
          <w:bCs/>
          <w:noProof/>
          <w:color w:val="auto"/>
          <w:kern w:val="2"/>
          <w:sz w:val="21"/>
          <w:szCs w:val="21"/>
          <w:lang w:val="en-IN" w:eastAsia="en-IN"/>
        </w:rPr>
        <w:lastRenderedPageBreak/>
        <w:drawing>
          <wp:inline distT="0" distB="0" distL="0" distR="0">
            <wp:extent cx="5731510" cy="205994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b/>
          <w:sz w:val="21"/>
          <w:szCs w:val="21"/>
        </w:rPr>
      </w:pPr>
      <w:proofErr w:type="gramStart"/>
      <w:r w:rsidRPr="009B06C6">
        <w:rPr>
          <w:rFonts w:eastAsiaTheme="majorEastAsia"/>
          <w:b/>
          <w:color w:val="auto"/>
          <w:kern w:val="2"/>
          <w:sz w:val="21"/>
          <w:szCs w:val="21"/>
        </w:rPr>
        <w:t>Fig.</w:t>
      </w:r>
      <w:proofErr w:type="gramEnd"/>
      <w:r w:rsidRPr="009B06C6">
        <w:rPr>
          <w:rFonts w:eastAsiaTheme="majorEastAsia"/>
          <w:b/>
          <w:color w:val="auto"/>
          <w:kern w:val="2"/>
          <w:sz w:val="21"/>
          <w:szCs w:val="21"/>
        </w:rPr>
        <w:t xml:space="preserve"> S7. </w:t>
      </w:r>
      <w:proofErr w:type="spellStart"/>
      <w:r>
        <w:rPr>
          <w:rFonts w:eastAsiaTheme="majorEastAsia"/>
          <w:b/>
          <w:color w:val="auto"/>
          <w:kern w:val="2"/>
          <w:sz w:val="21"/>
          <w:szCs w:val="21"/>
        </w:rPr>
        <w:t>Dysregulated</w:t>
      </w:r>
      <w:proofErr w:type="spellEnd"/>
      <w:r>
        <w:rPr>
          <w:rFonts w:eastAsiaTheme="majorEastAsia"/>
          <w:b/>
          <w:color w:val="auto"/>
          <w:kern w:val="2"/>
          <w:sz w:val="21"/>
          <w:szCs w:val="21"/>
        </w:rPr>
        <w:t xml:space="preserve"> </w:t>
      </w:r>
      <w:r w:rsidRPr="009B06C6">
        <w:rPr>
          <w:b/>
          <w:sz w:val="21"/>
          <w:szCs w:val="21"/>
        </w:rPr>
        <w:t xml:space="preserve">SNHG18 </w:t>
      </w:r>
      <w:r>
        <w:rPr>
          <w:b/>
          <w:sz w:val="21"/>
          <w:szCs w:val="21"/>
        </w:rPr>
        <w:t xml:space="preserve">interrupted the </w:t>
      </w:r>
      <w:proofErr w:type="spellStart"/>
      <w:r>
        <w:rPr>
          <w:b/>
          <w:sz w:val="21"/>
          <w:szCs w:val="21"/>
        </w:rPr>
        <w:t>glycolysisof</w:t>
      </w:r>
      <w:proofErr w:type="spellEnd"/>
      <w:r>
        <w:rPr>
          <w:b/>
          <w:sz w:val="21"/>
          <w:szCs w:val="21"/>
        </w:rPr>
        <w:t xml:space="preserve"> SVOG cells</w:t>
      </w:r>
      <w:r w:rsidRPr="009B06C6">
        <w:rPr>
          <w:b/>
          <w:sz w:val="21"/>
          <w:szCs w:val="21"/>
        </w:rPr>
        <w:t>.</w:t>
      </w:r>
    </w:p>
    <w:p w:rsidR="00383B9D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 w:rsidRPr="009B06C6">
        <w:rPr>
          <w:rFonts w:eastAsiaTheme="majorEastAsia"/>
          <w:bCs/>
          <w:color w:val="auto"/>
          <w:kern w:val="2"/>
          <w:sz w:val="21"/>
          <w:szCs w:val="21"/>
        </w:rPr>
        <w:t>A.</w:t>
      </w:r>
      <w:r>
        <w:rPr>
          <w:rFonts w:eastAsiaTheme="majorEastAsia"/>
          <w:bCs/>
          <w:color w:val="auto"/>
          <w:kern w:val="2"/>
          <w:sz w:val="21"/>
          <w:szCs w:val="21"/>
        </w:rPr>
        <w:t xml:space="preserve"> </w:t>
      </w:r>
      <w:r w:rsidRPr="009B06C6">
        <w:rPr>
          <w:rFonts w:eastAsiaTheme="majorEastAsia"/>
          <w:bCs/>
          <w:color w:val="auto"/>
          <w:kern w:val="2"/>
          <w:sz w:val="21"/>
          <w:szCs w:val="21"/>
        </w:rPr>
        <w:t>The expression of multiple genes encoding key glycolytic enzyme in SNHG18-knockdown SVOG cells.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>
        <w:rPr>
          <w:rFonts w:eastAsiaTheme="majorEastAsia"/>
          <w:bCs/>
          <w:color w:val="auto"/>
          <w:kern w:val="2"/>
          <w:sz w:val="21"/>
          <w:szCs w:val="21"/>
        </w:rPr>
        <w:t xml:space="preserve">B. </w:t>
      </w: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Western blotting detection of the </w:t>
      </w:r>
      <w:r>
        <w:rPr>
          <w:rFonts w:eastAsiaTheme="majorEastAsia"/>
          <w:bCs/>
          <w:color w:val="auto"/>
          <w:kern w:val="2"/>
          <w:sz w:val="21"/>
          <w:szCs w:val="21"/>
        </w:rPr>
        <w:t>ENO1</w:t>
      </w: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level after supplementation with DCP-LA.</w:t>
      </w:r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C. Western blotting detection of the </w:t>
      </w:r>
      <w:r>
        <w:rPr>
          <w:rFonts w:eastAsiaTheme="majorEastAsia"/>
          <w:bCs/>
          <w:color w:val="auto"/>
          <w:kern w:val="2"/>
          <w:sz w:val="21"/>
          <w:szCs w:val="21"/>
        </w:rPr>
        <w:t>ENO1</w:t>
      </w:r>
      <w:r w:rsidRPr="009B06C6">
        <w:rPr>
          <w:rFonts w:eastAsiaTheme="majorEastAsia"/>
          <w:bCs/>
          <w:color w:val="auto"/>
          <w:kern w:val="2"/>
          <w:sz w:val="21"/>
          <w:szCs w:val="21"/>
        </w:rPr>
        <w:t xml:space="preserve"> level after supplementation with Epsilon V1-2.</w:t>
      </w:r>
      <w:bookmarkStart w:id="0" w:name="_GoBack"/>
      <w:bookmarkEnd w:id="0"/>
    </w:p>
    <w:p w:rsidR="00383B9D" w:rsidRPr="009B06C6" w:rsidRDefault="00383B9D" w:rsidP="00383B9D">
      <w:pPr>
        <w:pStyle w:val="Default"/>
        <w:spacing w:line="480" w:lineRule="auto"/>
        <w:jc w:val="both"/>
        <w:rPr>
          <w:rFonts w:eastAsiaTheme="majorEastAsia"/>
          <w:bCs/>
          <w:color w:val="auto"/>
          <w:kern w:val="2"/>
          <w:sz w:val="21"/>
          <w:szCs w:val="21"/>
        </w:rPr>
      </w:pPr>
    </w:p>
    <w:p w:rsidR="00383B9D" w:rsidRPr="00383B9D" w:rsidRDefault="00383B9D"/>
    <w:sectPr w:rsidR="00383B9D" w:rsidRPr="00383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9D"/>
    <w:rsid w:val="001309A0"/>
    <w:rsid w:val="00383B9D"/>
    <w:rsid w:val="008F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B9D"/>
    <w:pPr>
      <w:spacing w:after="0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3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9D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B9D"/>
    <w:pPr>
      <w:spacing w:after="0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3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B9D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Lingeshwar Sundaramoorthi (Integra)</dc:creator>
  <cp:lastModifiedBy>Lingeshwar Sundaramoorthi (Integra)</cp:lastModifiedBy>
  <cp:revision>1</cp:revision>
  <dcterms:created xsi:type="dcterms:W3CDTF">2024-09-07T15:22:00Z</dcterms:created>
  <dcterms:modified xsi:type="dcterms:W3CDTF">2024-09-07T15:25:00Z</dcterms:modified>
</cp:coreProperties>
</file>