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0E20E">
      <w:pPr>
        <w:tabs>
          <w:tab w:val="left" w:pos="10080"/>
        </w:tabs>
        <w:spacing w:line="48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Supplementary Figure legends</w:t>
      </w:r>
    </w:p>
    <w:p w14:paraId="38C0CFA1">
      <w:pPr>
        <w:tabs>
          <w:tab w:val="left" w:pos="10080"/>
        </w:tabs>
        <w:spacing w:line="480" w:lineRule="auto"/>
        <w:jc w:val="center"/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</w:pPr>
    </w:p>
    <w:p w14:paraId="7F07FA64">
      <w:pPr>
        <w:tabs>
          <w:tab w:val="left" w:pos="10080"/>
        </w:tabs>
        <w:spacing w:line="480" w:lineRule="auto"/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  <w:t xml:space="preserve">Supplementary </w:t>
      </w:r>
      <w:r>
        <w:rPr>
          <w:rFonts w:hint="eastAsia" w:ascii="Times New Roman" w:hAnsi="Times New Roman" w:cs="Times New Roman" w:eastAsiaTheme="majorEastAsia"/>
          <w:b/>
          <w:sz w:val="21"/>
          <w:szCs w:val="21"/>
          <w:lang w:eastAsia="zh-CN"/>
        </w:rPr>
        <w:t>Fig.</w:t>
      </w:r>
      <w:r>
        <w:rPr>
          <w:rFonts w:ascii="Times New Roman" w:hAnsi="Times New Roman" w:cs="Times New Roman" w:eastAsiaTheme="majorEastAsia"/>
          <w:b/>
          <w:sz w:val="21"/>
          <w:szCs w:val="21"/>
        </w:rPr>
        <w:t xml:space="preserve"> </w:t>
      </w:r>
      <w:r>
        <w:rPr>
          <w:rFonts w:hint="eastAsia" w:ascii="Times New Roman" w:hAnsi="Times New Roman" w:cs="Times New Roman" w:eastAsiaTheme="majorEastAsia"/>
          <w:b/>
          <w:sz w:val="21"/>
          <w:szCs w:val="21"/>
          <w:lang w:eastAsia="zh-CN"/>
        </w:rPr>
        <w:t>1</w:t>
      </w:r>
      <w:r>
        <w:rPr>
          <w:rFonts w:hint="eastAsia" w:ascii="Times New Roman" w:hAnsi="Times New Roman" w:cs="Times New Roman" w:eastAsiaTheme="majorEastAsia"/>
          <w:b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 w:eastAsiaTheme="majorEastAsia"/>
          <w:bCs/>
          <w:sz w:val="21"/>
          <w:szCs w:val="21"/>
          <w:lang w:eastAsia="zh-CN"/>
        </w:rPr>
        <w:t>R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>elative expression levels of 16 miRNAs in the control and endometriosis groups. Scatter plots depict seven miRNAs that were upregulated with insignificant differences in relative expression levels (</w:t>
      </w:r>
      <w:r>
        <w:rPr>
          <w:rFonts w:hint="eastAsia" w:ascii="Times New Roman" w:hAnsi="Times New Roman" w:cs="Times New Roman" w:eastAsiaTheme="majorEastAsia"/>
          <w:b/>
          <w:sz w:val="21"/>
          <w:szCs w:val="21"/>
          <w:lang w:eastAsia="zh-CN"/>
        </w:rPr>
        <w:t>A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 xml:space="preserve">) and nine miRNAs that were downregulated with </w:t>
      </w:r>
      <w:r>
        <w:rPr>
          <w:rFonts w:ascii="Times New Roman" w:hAnsi="Times New Roman" w:eastAsia="宋体" w:cs="Times New Roman"/>
          <w:bCs/>
          <w:sz w:val="21"/>
          <w:szCs w:val="21"/>
          <w:lang w:eastAsia="zh-CN"/>
        </w:rPr>
        <w:t>nonsignificant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 xml:space="preserve"> differences in relative expression levels (</w:t>
      </w:r>
      <w:r>
        <w:rPr>
          <w:rFonts w:hint="eastAsia" w:ascii="Times New Roman" w:hAnsi="Times New Roman" w:cs="Times New Roman" w:eastAsiaTheme="majorEastAsia"/>
          <w:b/>
          <w:sz w:val="21"/>
          <w:szCs w:val="21"/>
          <w:lang w:eastAsia="zh-CN"/>
        </w:rPr>
        <w:t>B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>) between the control groups and endometriosis groups. Unpaired</w:t>
      </w:r>
      <w:r>
        <w:rPr>
          <w:rFonts w:ascii="Times New Roman" w:hAnsi="Times New Roman" w:cs="Times New Roman" w:eastAsiaTheme="majorEastAsia"/>
          <w:bCs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cs="Times New Roman" w:eastAsiaTheme="majorEastAsia"/>
          <w:bCs/>
          <w:i/>
          <w:iCs/>
          <w:sz w:val="21"/>
          <w:szCs w:val="21"/>
          <w:lang w:eastAsia="zh-CN"/>
        </w:rPr>
        <w:t>t</w:t>
      </w:r>
      <w:r>
        <w:rPr>
          <w:rFonts w:ascii="Times New Roman" w:hAnsi="Times New Roman" w:cs="Times New Roman" w:eastAsiaTheme="majorEastAsia"/>
          <w:bCs/>
          <w:i/>
          <w:iCs/>
          <w:sz w:val="21"/>
          <w:szCs w:val="21"/>
          <w:lang w:eastAsia="zh-CN"/>
        </w:rPr>
        <w:t>-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>test, *</w:t>
      </w:r>
      <w:r>
        <w:rPr>
          <w:rFonts w:hint="eastAsia" w:ascii="Times New Roman" w:hAnsi="Times New Roman" w:cs="Times New Roman" w:eastAsiaTheme="majorEastAsia"/>
          <w:bCs/>
          <w:i/>
          <w:iCs/>
          <w:sz w:val="21"/>
          <w:szCs w:val="21"/>
          <w:lang w:eastAsia="zh-CN"/>
        </w:rPr>
        <w:t xml:space="preserve">P 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>&lt; 0.05; **</w:t>
      </w:r>
      <w:r>
        <w:rPr>
          <w:rFonts w:hint="eastAsia" w:ascii="Times New Roman" w:hAnsi="Times New Roman" w:cs="Times New Roman" w:eastAsiaTheme="majorEastAsia"/>
          <w:bCs/>
          <w:i/>
          <w:iCs/>
          <w:sz w:val="21"/>
          <w:szCs w:val="21"/>
          <w:lang w:eastAsia="zh-CN"/>
        </w:rPr>
        <w:t>P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 xml:space="preserve"> &lt; 0.01. Mean ± SD shown by bars.</w:t>
      </w:r>
    </w:p>
    <w:p w14:paraId="74ADF364">
      <w:pPr>
        <w:tabs>
          <w:tab w:val="left" w:pos="10080"/>
        </w:tabs>
        <w:spacing w:line="480" w:lineRule="auto"/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</w:pPr>
    </w:p>
    <w:p w14:paraId="46699AED">
      <w:pPr>
        <w:spacing w:line="480" w:lineRule="auto"/>
        <w:rPr>
          <w:rFonts w:hint="eastAsia" w:ascii="Times New Roman" w:hAnsi="Times New Roman" w:cs="Times New Roman" w:eastAsiaTheme="majorEastAsia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ajorEastAsia"/>
          <w:b/>
          <w:bCs w:val="0"/>
          <w:sz w:val="21"/>
          <w:szCs w:val="21"/>
          <w:lang w:eastAsia="zh-CN"/>
        </w:rPr>
        <w:t xml:space="preserve">Supplementary </w:t>
      </w:r>
      <w:r>
        <w:rPr>
          <w:rFonts w:hint="eastAsia" w:ascii="Times New Roman" w:hAnsi="Times New Roman" w:cs="Times New Roman" w:eastAsiaTheme="majorEastAsia"/>
          <w:b/>
          <w:sz w:val="21"/>
          <w:szCs w:val="21"/>
          <w:lang w:eastAsia="zh-CN"/>
        </w:rPr>
        <w:t>Fig.</w:t>
      </w:r>
      <w:r>
        <w:rPr>
          <w:rFonts w:ascii="Times New Roman" w:hAnsi="Times New Roman" w:cs="Times New Roman" w:eastAsiaTheme="majorEastAsia"/>
          <w:b/>
          <w:sz w:val="21"/>
          <w:szCs w:val="21"/>
        </w:rPr>
        <w:t xml:space="preserve"> </w:t>
      </w:r>
      <w:r>
        <w:rPr>
          <w:rFonts w:hint="eastAsia" w:ascii="Times New Roman" w:hAnsi="Times New Roman" w:cs="Times New Roman" w:eastAsiaTheme="majorEastAsia"/>
          <w:b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cs="Times New Roman" w:eastAsiaTheme="majorEastAsia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ajorEastAsia"/>
          <w:b w:val="0"/>
          <w:bCs/>
          <w:sz w:val="21"/>
          <w:szCs w:val="21"/>
          <w:lang w:val="en-US" w:eastAsia="zh-CN"/>
        </w:rPr>
        <w:t xml:space="preserve">Uncropped Western blot images for Figure 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val="en-US" w:eastAsia="zh-CN"/>
        </w:rPr>
        <w:t>3C</w:t>
      </w:r>
      <w:r>
        <w:rPr>
          <w:rFonts w:hint="eastAsia" w:ascii="Times New Roman" w:hAnsi="Times New Roman" w:cs="Times New Roman" w:eastAsiaTheme="majorEastAsia"/>
          <w:b w:val="0"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val="en-US" w:eastAsia="zh-CN"/>
        </w:rPr>
        <w:t xml:space="preserve">Western blotting analysis of proteins considered as the EV-specific markers CD63, CD81 and CD9 and the negative control marker calnexin. 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eastAsia="zh-CN"/>
        </w:rPr>
        <w:t xml:space="preserve">hEECs, </w:t>
      </w:r>
      <w:r>
        <w:rPr>
          <w:rFonts w:hint="eastAsia" w:ascii="Times New Roman" w:hAnsi="Times New Roman" w:cs="Times New Roman"/>
          <w:iCs/>
          <w:sz w:val="21"/>
          <w:szCs w:val="21"/>
          <w:lang w:eastAsia="zh-CN"/>
        </w:rPr>
        <w:t>human endometrial epithelial cells</w:t>
      </w:r>
      <w:r>
        <w:rPr>
          <w:rFonts w:hint="eastAsia" w:ascii="Times New Roman" w:hAnsi="Times New Roman" w:cs="Times New Roman"/>
          <w:iCs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 w:eastAsiaTheme="majorEastAsia"/>
          <w:bCs/>
          <w:sz w:val="21"/>
          <w:szCs w:val="21"/>
          <w:lang w:val="en-US" w:eastAsia="zh-CN"/>
        </w:rPr>
        <w:t>EVs, extracellular vesicles.</w:t>
      </w:r>
    </w:p>
    <w:p w14:paraId="56E77F91">
      <w:pPr>
        <w:tabs>
          <w:tab w:val="left" w:pos="10080"/>
        </w:tabs>
        <w:spacing w:line="480" w:lineRule="auto"/>
        <w:rPr>
          <w:rFonts w:hint="default" w:ascii="Times New Roman" w:hAnsi="Times New Roman" w:cs="Times New Roman" w:eastAsiaTheme="majorEastAsia"/>
          <w:bCs/>
          <w:sz w:val="21"/>
          <w:szCs w:val="21"/>
          <w:lang w:val="en-US" w:eastAsia="zh-CN"/>
        </w:rPr>
      </w:pPr>
    </w:p>
    <w:p w14:paraId="46F220E0">
      <w:pPr>
        <w:tabs>
          <w:tab w:val="left" w:pos="10080"/>
        </w:tabs>
        <w:spacing w:line="480" w:lineRule="auto"/>
        <w:rPr>
          <w:rFonts w:hint="default" w:ascii="Times New Roman" w:hAnsi="Times New Roman" w:cs="Times New Roman" w:eastAsiaTheme="majorEastAsia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 w:val="0"/>
          <w:sz w:val="21"/>
          <w:szCs w:val="21"/>
          <w:lang w:val="en-US" w:eastAsia="zh-CN"/>
        </w:rPr>
        <w:t>Supplementary Fig. 3</w:t>
      </w:r>
      <w:r>
        <w:rPr>
          <w:rFonts w:hint="default" w:ascii="Times New Roman" w:hAnsi="Times New Roman" w:cs="Times New Roman" w:eastAsiaTheme="majorEastAsia"/>
          <w:bCs/>
          <w:sz w:val="21"/>
          <w:szCs w:val="21"/>
          <w:lang w:val="en-US" w:eastAsia="zh-CN"/>
        </w:rPr>
        <w:t xml:space="preserve"> Relative expression levels of hsa-miR-145-5p in the EVs isolated from ULF in the endometriosis and control groups. Scatter plots depicting the relative expression levels of hsa-miR-145-5p in the EVs isolated from ULF between the two groups during the window of implantation (WOI), unpaired t-test. *</w:t>
      </w:r>
      <w:bookmarkStart w:id="0" w:name="_GoBack"/>
      <w:bookmarkEnd w:id="0"/>
      <w:r>
        <w:rPr>
          <w:rFonts w:hint="default" w:ascii="Times New Roman" w:hAnsi="Times New Roman" w:cs="Times New Roman" w:eastAsiaTheme="majorEastAsia"/>
          <w:bCs/>
          <w:i/>
          <w:iCs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 w:eastAsiaTheme="majorEastAsia"/>
          <w:bCs/>
          <w:sz w:val="21"/>
          <w:szCs w:val="21"/>
          <w:lang w:val="en-US" w:eastAsia="zh-CN"/>
        </w:rPr>
        <w:t xml:space="preserve"> &lt; 0.05; **</w:t>
      </w:r>
      <w:r>
        <w:rPr>
          <w:rFonts w:hint="default" w:ascii="Times New Roman" w:hAnsi="Times New Roman" w:cs="Times New Roman" w:eastAsiaTheme="majorEastAsia"/>
          <w:bCs/>
          <w:i/>
          <w:iCs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 w:eastAsiaTheme="majorEastAsia"/>
          <w:bCs/>
          <w:sz w:val="21"/>
          <w:szCs w:val="21"/>
          <w:lang w:val="en-US" w:eastAsia="zh-CN"/>
        </w:rPr>
        <w:t xml:space="preserve"> &lt; 0.01. Mean ± SD shown by bars. EVs, extracellular vesicles. ULF, uterine luminal fluid.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wNzFiM2IyYjk4ZjhjYzZlYThhYWQ2MDUxYWY5MDQifQ=="/>
  </w:docVars>
  <w:rsids>
    <w:rsidRoot w:val="6F186255"/>
    <w:rsid w:val="02586ABC"/>
    <w:rsid w:val="0301396B"/>
    <w:rsid w:val="04AC5B58"/>
    <w:rsid w:val="064E5119"/>
    <w:rsid w:val="06624721"/>
    <w:rsid w:val="06AE5BB8"/>
    <w:rsid w:val="072E6B6C"/>
    <w:rsid w:val="097053A7"/>
    <w:rsid w:val="097E5D15"/>
    <w:rsid w:val="09DE0562"/>
    <w:rsid w:val="0D441024"/>
    <w:rsid w:val="0E010CC3"/>
    <w:rsid w:val="0EB43F87"/>
    <w:rsid w:val="0F607C6B"/>
    <w:rsid w:val="10B4201D"/>
    <w:rsid w:val="10E072B6"/>
    <w:rsid w:val="11B12A00"/>
    <w:rsid w:val="12902616"/>
    <w:rsid w:val="12FA79F9"/>
    <w:rsid w:val="151E03AD"/>
    <w:rsid w:val="169C5074"/>
    <w:rsid w:val="16DF3B6C"/>
    <w:rsid w:val="17B62B1E"/>
    <w:rsid w:val="1FA45952"/>
    <w:rsid w:val="203E5DA7"/>
    <w:rsid w:val="21A97250"/>
    <w:rsid w:val="22372AAE"/>
    <w:rsid w:val="25446CB1"/>
    <w:rsid w:val="26117E9B"/>
    <w:rsid w:val="267A740D"/>
    <w:rsid w:val="270C4509"/>
    <w:rsid w:val="275639D6"/>
    <w:rsid w:val="27AE55C0"/>
    <w:rsid w:val="29B5734A"/>
    <w:rsid w:val="2A0E0598"/>
    <w:rsid w:val="2A7A3E7F"/>
    <w:rsid w:val="2B6F75FC"/>
    <w:rsid w:val="2C1856FE"/>
    <w:rsid w:val="2C42277B"/>
    <w:rsid w:val="2C794C25"/>
    <w:rsid w:val="2C9A4365"/>
    <w:rsid w:val="2F7E1D1C"/>
    <w:rsid w:val="314C01FD"/>
    <w:rsid w:val="31570A76"/>
    <w:rsid w:val="32601BAD"/>
    <w:rsid w:val="33D95B29"/>
    <w:rsid w:val="34735BC7"/>
    <w:rsid w:val="35B00755"/>
    <w:rsid w:val="36FD5C1C"/>
    <w:rsid w:val="399565E0"/>
    <w:rsid w:val="3AAF36D1"/>
    <w:rsid w:val="3AEF1D20"/>
    <w:rsid w:val="3B6224F2"/>
    <w:rsid w:val="3BCE402B"/>
    <w:rsid w:val="3CB925E5"/>
    <w:rsid w:val="3DA8149A"/>
    <w:rsid w:val="4002179B"/>
    <w:rsid w:val="4021297B"/>
    <w:rsid w:val="418A72CE"/>
    <w:rsid w:val="42674891"/>
    <w:rsid w:val="460F3276"/>
    <w:rsid w:val="481B23A6"/>
    <w:rsid w:val="4894561D"/>
    <w:rsid w:val="49AD702E"/>
    <w:rsid w:val="4B3774F7"/>
    <w:rsid w:val="4D1A70D0"/>
    <w:rsid w:val="4D8E361A"/>
    <w:rsid w:val="4EE953AC"/>
    <w:rsid w:val="50744D49"/>
    <w:rsid w:val="51597A9B"/>
    <w:rsid w:val="5178029F"/>
    <w:rsid w:val="521515B8"/>
    <w:rsid w:val="523E560F"/>
    <w:rsid w:val="56535401"/>
    <w:rsid w:val="56CB2CAE"/>
    <w:rsid w:val="574014E1"/>
    <w:rsid w:val="586B0E49"/>
    <w:rsid w:val="58D77C23"/>
    <w:rsid w:val="595A2602"/>
    <w:rsid w:val="5A9102A6"/>
    <w:rsid w:val="5C6F02CA"/>
    <w:rsid w:val="5D0905C7"/>
    <w:rsid w:val="5D4B5084"/>
    <w:rsid w:val="5F5D4BFA"/>
    <w:rsid w:val="5FC02B56"/>
    <w:rsid w:val="5FC44C79"/>
    <w:rsid w:val="60820DBC"/>
    <w:rsid w:val="60E43825"/>
    <w:rsid w:val="62963A2B"/>
    <w:rsid w:val="638906B4"/>
    <w:rsid w:val="63B70D7D"/>
    <w:rsid w:val="64B81251"/>
    <w:rsid w:val="64CA4AE0"/>
    <w:rsid w:val="674848E9"/>
    <w:rsid w:val="67760F4F"/>
    <w:rsid w:val="6A786D8C"/>
    <w:rsid w:val="6C400E08"/>
    <w:rsid w:val="6E753D0F"/>
    <w:rsid w:val="6F186255"/>
    <w:rsid w:val="708752DE"/>
    <w:rsid w:val="70CA3E58"/>
    <w:rsid w:val="726C71D7"/>
    <w:rsid w:val="73D72D76"/>
    <w:rsid w:val="743401C8"/>
    <w:rsid w:val="78EE4DE9"/>
    <w:rsid w:val="7A17211E"/>
    <w:rsid w:val="7BA1383A"/>
    <w:rsid w:val="7F4F5EB6"/>
    <w:rsid w:val="7F8738A2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Book Antiqua" w:hAnsi="Book Antiqua" w:eastAsia="Book Antiqua" w:cs="Book Antiqua"/>
      <w:sz w:val="22"/>
      <w:szCs w:val="22"/>
      <w:lang w:val="en-GB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rFonts w:ascii="Tahoma" w:hAnsi="Tahoma" w:cs="Tahoma"/>
      <w:sz w:val="16"/>
      <w:lang w:val="en-US"/>
    </w:rPr>
  </w:style>
  <w:style w:type="character" w:styleId="5">
    <w:name w:val="annotation reference"/>
    <w:basedOn w:val="4"/>
    <w:qFormat/>
    <w:uiPriority w:val="0"/>
    <w:rPr>
      <w:rFonts w:ascii="Tahoma" w:hAnsi="Tahoma" w:cs="Tahoma"/>
      <w:sz w:val="16"/>
      <w:szCs w:val="21"/>
      <w:u w:val="none"/>
    </w:rPr>
  </w:style>
  <w:style w:type="paragraph" w:customStyle="1" w:styleId="6">
    <w:name w:val="EndNote Bibliography"/>
    <w:basedOn w:val="1"/>
    <w:qFormat/>
    <w:uiPriority w:val="0"/>
    <w:rPr>
      <w:rFonts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644</Characters>
  <Lines>0</Lines>
  <Paragraphs>0</Paragraphs>
  <TotalTime>1</TotalTime>
  <ScaleCrop>false</ScaleCrop>
  <LinksUpToDate>false</LinksUpToDate>
  <CharactersWithSpaces>748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2022-10-15T12:22:00Z</dcterms:created>
  <dc:creator>lixiong</dc:creator>
  <cp:lastModifiedBy>lixiong</cp:lastModifiedBy>
  <dcterms:modified xsi:type="dcterms:W3CDTF">2024-11-26T07:36:54Z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1D0FBCEF5AD8476CB0E20ABC3DE8D0EF_13</vt:lpwstr>
  </property>
</Properties>
</file>