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2A570">
      <w:pPr>
        <w:rPr>
          <w:rFonts w:hint="eastAsia" w:ascii="Times New Roman" w:hAnsi="Times New Roman" w:eastAsia="宋体" w:cs="Times New Roman"/>
          <w:b w:val="0"/>
          <w:bCs/>
          <w:color w:val="auto"/>
          <w:sz w:val="22"/>
          <w:szCs w:val="36"/>
          <w:highlight w:val="none"/>
          <w:lang w:val="en-US" w:eastAsia="zh-CN"/>
        </w:rPr>
      </w:pPr>
      <w:bookmarkStart w:id="0" w:name="OLE_LINK2"/>
      <w:r>
        <w:rPr>
          <w:rFonts w:hint="eastAsia" w:ascii="Times New Roman" w:hAnsi="Times New Roman" w:cs="Times New Roman"/>
          <w:b w:val="0"/>
          <w:bCs/>
          <w:sz w:val="21"/>
          <w:szCs w:val="21"/>
        </w:rPr>
        <w:t>Supplementary</w:t>
      </w:r>
      <w:r>
        <w:rPr>
          <w:rFonts w:hint="eastAsia" w:ascii="Times New Roman" w:hAnsi="Times New Roman" w:cs="Times New Roman"/>
          <w:b w:val="0"/>
          <w:bCs/>
          <w:sz w:val="21"/>
          <w:szCs w:val="21"/>
          <w:lang w:val="en-US" w:eastAsia="zh-CN"/>
        </w:rPr>
        <w:t xml:space="preserve"> </w:t>
      </w:r>
      <w:r>
        <w:rPr>
          <w:rFonts w:hint="default" w:ascii="Times New Roman" w:hAnsi="Times New Roman" w:cs="Times New Roman"/>
          <w:b w:val="0"/>
          <w:bCs/>
          <w:sz w:val="21"/>
          <w:szCs w:val="21"/>
        </w:rPr>
        <w:t xml:space="preserve">Table </w:t>
      </w:r>
      <w:r>
        <w:rPr>
          <w:rFonts w:hint="eastAsia" w:ascii="Times New Roman" w:hAnsi="Times New Roman" w:cs="Times New Roman"/>
          <w:b w:val="0"/>
          <w:bCs/>
          <w:sz w:val="21"/>
          <w:szCs w:val="21"/>
          <w:lang w:val="en-US" w:eastAsia="zh-CN"/>
        </w:rPr>
        <w:t xml:space="preserve">S13 </w:t>
      </w:r>
      <w:r>
        <w:rPr>
          <w:rFonts w:hint="eastAsia" w:ascii="Times New Roman" w:hAnsi="Times New Roman" w:cs="Times New Roman"/>
          <w:b w:val="0"/>
          <w:bCs/>
          <w:color w:val="auto"/>
          <w:sz w:val="22"/>
          <w:szCs w:val="36"/>
          <w:highlight w:val="none"/>
          <w:lang w:val="en-US" w:eastAsia="zh-CN"/>
        </w:rPr>
        <w:t>Detailed c</w:t>
      </w:r>
      <w:r>
        <w:rPr>
          <w:rFonts w:hint="default" w:ascii="Times New Roman" w:hAnsi="Times New Roman" w:eastAsia="Segoe UI" w:cs="Times New Roman"/>
          <w:b w:val="0"/>
          <w:bCs/>
          <w:color w:val="auto"/>
          <w:sz w:val="22"/>
          <w:szCs w:val="36"/>
          <w:highlight w:val="none"/>
        </w:rPr>
        <w:t>haracteristics of included studies</w:t>
      </w:r>
      <w:bookmarkStart w:id="57" w:name="_GoBack"/>
      <w:r>
        <w:rPr>
          <w:rFonts w:hint="eastAsia" w:ascii="Times New Roman" w:hAnsi="Times New Roman" w:cs="Times New Roman"/>
          <w:b w:val="0"/>
          <w:bCs/>
          <w:color w:val="auto"/>
          <w:sz w:val="22"/>
          <w:szCs w:val="36"/>
          <w:highlight w:val="none"/>
          <w:lang w:val="en-US" w:eastAsia="zh-CN"/>
        </w:rPr>
        <w:t>.</w:t>
      </w:r>
      <w:bookmarkEnd w:id="57"/>
    </w:p>
    <w:p w14:paraId="5096E574">
      <w:pPr>
        <w:rPr>
          <w:rFonts w:hint="default" w:ascii="Times New Roman" w:hAnsi="Times New Roman" w:eastAsia="Segoe UI" w:cs="Times New Roman"/>
          <w:b/>
          <w:bCs/>
          <w:color w:val="auto"/>
          <w:sz w:val="22"/>
          <w:szCs w:val="36"/>
          <w:highlight w:val="none"/>
        </w:rPr>
      </w:pPr>
      <w:bookmarkStart w:id="1" w:name="OLE_LINK5"/>
      <w:r>
        <w:rPr>
          <w:rFonts w:hint="default" w:ascii="Times New Roman" w:hAnsi="Times New Roman" w:eastAsia="Segoe UI" w:cs="Times New Roman"/>
          <w:b/>
          <w:bCs/>
          <w:color w:val="auto"/>
          <w:sz w:val="22"/>
          <w:szCs w:val="36"/>
          <w:highlight w:val="none"/>
        </w:rPr>
        <w:t>Wiser 2010</w:t>
      </w:r>
      <w:bookmarkEnd w:id="1"/>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584F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42CF879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043F045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 prospective, randomized, open labeled, controlled study was conducted to evaluate the effect of DHEA administration in patients with a previous poor ovarian response to IVF treatment. </w:t>
            </w:r>
          </w:p>
        </w:tc>
      </w:tr>
      <w:tr w14:paraId="7A4F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98BE3B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0EA77D5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 total of 33 women were enrolled, 17 in the study (DHEA) group and 16 in the control group. A poor response in a previous IVF cycle was defined as retrieval of fewer than five oocytes, poor-quality embryos, or cycle cancellation due to poor response to ovarian stimulation, whenever the gonadotrophin starting dose for induction of ovulation was at least 300 IU/day.</w:t>
            </w:r>
          </w:p>
          <w:p w14:paraId="1E01BB2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Exclusion criteria were patients over the age of 42 and patients who received DHEA at any time before enrollment.</w:t>
            </w:r>
          </w:p>
        </w:tc>
      </w:tr>
      <w:tr w14:paraId="543E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42D0B46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40359DB9">
            <w:pPr>
              <w:widowControl w:val="0"/>
              <w:rPr>
                <w:rFonts w:hint="default" w:ascii="Times New Roman" w:hAnsi="Times New Roman" w:cs="Times New Roman"/>
                <w:b w:val="0"/>
                <w:bCs w:val="0"/>
                <w:color w:val="auto"/>
                <w:sz w:val="22"/>
                <w:szCs w:val="36"/>
                <w:highlight w:val="none"/>
                <w:vertAlign w:val="baseline"/>
                <w:lang w:val="en-US" w:eastAsia="zh-CN"/>
              </w:rPr>
            </w:pPr>
            <w:bookmarkStart w:id="2" w:name="OLE_LINK6"/>
            <w:r>
              <w:rPr>
                <w:rFonts w:hint="default" w:ascii="Times New Roman" w:hAnsi="Times New Roman" w:cs="Times New Roman"/>
                <w:b w:val="0"/>
                <w:bCs w:val="0"/>
                <w:color w:val="auto"/>
                <w:sz w:val="22"/>
                <w:szCs w:val="36"/>
                <w:highlight w:val="none"/>
                <w:vertAlign w:val="baseline"/>
                <w:lang w:val="en-US" w:eastAsia="zh-CN"/>
              </w:rPr>
              <w:t>75 mg DHEA orally, once a day, at least 6 weeks before starting the first cycle of ovulation induction. Patients who did not conceive and continued to the second cycle took DHEA for at least 16</w:t>
            </w:r>
            <w:r>
              <w:rPr>
                <w:rFonts w:hint="eastAsia" w:ascii="Times New Roman" w:hAnsi="Times New Roman" w:cs="Times New Roman"/>
                <w:b w:val="0"/>
                <w:bCs w:val="0"/>
                <w:color w:val="auto"/>
                <w:sz w:val="22"/>
                <w:szCs w:val="36"/>
                <w:highlight w:val="none"/>
                <w:vertAlign w:val="baseline"/>
                <w:lang w:val="en-US" w:eastAsia="zh-CN"/>
              </w:rPr>
              <w:t>-</w:t>
            </w:r>
            <w:r>
              <w:rPr>
                <w:rFonts w:hint="default" w:ascii="Times New Roman" w:hAnsi="Times New Roman" w:cs="Times New Roman"/>
                <w:b w:val="0"/>
                <w:bCs w:val="0"/>
                <w:color w:val="auto"/>
                <w:sz w:val="22"/>
                <w:szCs w:val="36"/>
                <w:highlight w:val="none"/>
                <w:vertAlign w:val="baseline"/>
                <w:lang w:val="en-US" w:eastAsia="zh-CN"/>
              </w:rPr>
              <w:t xml:space="preserve">18 weeks. </w:t>
            </w:r>
            <w:bookmarkEnd w:id="2"/>
          </w:p>
          <w:p w14:paraId="69C4EDF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 xml:space="preserve">A </w:t>
            </w:r>
            <w:r>
              <w:rPr>
                <w:rFonts w:hint="default" w:ascii="Times New Roman" w:hAnsi="Times New Roman" w:cs="Times New Roman"/>
                <w:b w:val="0"/>
                <w:bCs w:val="0"/>
                <w:color w:val="auto"/>
                <w:sz w:val="22"/>
                <w:szCs w:val="36"/>
                <w:highlight w:val="none"/>
                <w:vertAlign w:val="baseline"/>
                <w:lang w:val="en-US" w:eastAsia="zh-CN"/>
              </w:rPr>
              <w:t>long GnRH agonist protocol IVF</w:t>
            </w:r>
            <w:r>
              <w:rPr>
                <w:rFonts w:hint="eastAsia" w:ascii="Times New Roman" w:hAnsi="Times New Roman" w:cs="Times New Roman"/>
                <w:b w:val="0"/>
                <w:bCs w:val="0"/>
                <w:color w:val="auto"/>
                <w:sz w:val="22"/>
                <w:szCs w:val="36"/>
                <w:highlight w:val="none"/>
                <w:vertAlign w:val="baseline"/>
                <w:lang w:val="en-US" w:eastAsia="zh-CN"/>
              </w:rPr>
              <w:t xml:space="preserve"> was used</w:t>
            </w:r>
            <w:r>
              <w:rPr>
                <w:rFonts w:hint="default" w:ascii="Times New Roman" w:hAnsi="Times New Roman" w:cs="Times New Roman"/>
                <w:b w:val="0"/>
                <w:bCs w:val="0"/>
                <w:color w:val="auto"/>
                <w:sz w:val="22"/>
                <w:szCs w:val="36"/>
                <w:highlight w:val="none"/>
                <w:vertAlign w:val="baseline"/>
                <w:lang w:val="en-US" w:eastAsia="zh-CN"/>
              </w:rPr>
              <w:t>.</w:t>
            </w:r>
          </w:p>
        </w:tc>
      </w:tr>
      <w:tr w14:paraId="0F0B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4568075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44A79D9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primary outcome measures were peak estradiol levels, the number of retrieved oocytes, embryo quality and number of embryos reserved for transfer. Secondary outcome measures were pregnancy and live birth rates.</w:t>
            </w:r>
          </w:p>
        </w:tc>
      </w:tr>
      <w:tr w14:paraId="052C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CB9913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0C44B5F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clinicaltrials.gov: NCT01145144</w:t>
            </w:r>
          </w:p>
          <w:p w14:paraId="6E176157">
            <w:pPr>
              <w:widowControl w:val="0"/>
              <w:rPr>
                <w:rFonts w:hint="default" w:ascii="Times New Roman" w:hAnsi="Times New Roman" w:cs="Times New Roman"/>
                <w:b w:val="0"/>
                <w:bCs w:val="0"/>
                <w:color w:val="auto"/>
                <w:sz w:val="22"/>
                <w:szCs w:val="36"/>
                <w:highlight w:val="none"/>
                <w:vertAlign w:val="baseline"/>
                <w:lang w:val="en-US" w:eastAsia="zh-CN"/>
              </w:rPr>
            </w:pPr>
            <w:bookmarkStart w:id="3" w:name="OLE_LINK56"/>
            <w:r>
              <w:rPr>
                <w:rFonts w:hint="default" w:ascii="Times New Roman" w:hAnsi="Times New Roman" w:cs="Times New Roman"/>
                <w:b w:val="0"/>
                <w:bCs w:val="0"/>
                <w:color w:val="auto"/>
                <w:sz w:val="22"/>
                <w:szCs w:val="36"/>
                <w:highlight w:val="none"/>
                <w:vertAlign w:val="baseline"/>
                <w:lang w:val="en-US" w:eastAsia="zh-CN"/>
              </w:rPr>
              <w:t>The DHEA was provided at no cost by SuperPharm, Ltd.</w:t>
            </w:r>
            <w:bookmarkEnd w:id="3"/>
          </w:p>
        </w:tc>
      </w:tr>
    </w:tbl>
    <w:p w14:paraId="11CCDC20">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3EEC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4E6288E2">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07C8549F">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0CEA2375">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57F7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1AE31DB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1E5AF12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1AE0BA8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randomization was performed using computer generated random numbers."</w:t>
            </w:r>
          </w:p>
        </w:tc>
      </w:tr>
      <w:tr w14:paraId="19B4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5103CE1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78949AC1">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1A3A1C4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"Each patient chose a sealed envelope containing the randomized assignment to either the study or the control group."</w:t>
            </w:r>
          </w:p>
          <w:p w14:paraId="449B3CD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opacity of the envelopes was unclear.</w:t>
            </w:r>
          </w:p>
        </w:tc>
      </w:tr>
      <w:tr w14:paraId="3D61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751E0C2">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448A626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4F19A8E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tcPr>
          <w:p w14:paraId="44D2E29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w:t>
            </w:r>
            <w:r>
              <w:rPr>
                <w:rFonts w:hint="default" w:ascii="Times New Roman" w:hAnsi="Times New Roman" w:cs="Times New Roman"/>
                <w:b w:val="0"/>
                <w:bCs w:val="0"/>
                <w:color w:val="auto"/>
                <w:sz w:val="22"/>
                <w:szCs w:val="36"/>
                <w:highlight w:val="none"/>
                <w:vertAlign w:val="baseline"/>
                <w:lang w:val="en-US" w:eastAsia="zh-CN"/>
              </w:rPr>
              <w:t>t is clear participants were not blinded.</w:t>
            </w:r>
          </w:p>
        </w:tc>
      </w:tr>
      <w:tr w14:paraId="7FD2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D0B7F96">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388103B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02A20D1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tcPr>
          <w:p w14:paraId="1FA5DCE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1B8A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9983833">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03ADA6C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11D402C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tcPr>
          <w:p w14:paraId="7D5901D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randomised women were analysed however drop outs after cycle 1 were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high.</w:t>
            </w:r>
          </w:p>
        </w:tc>
      </w:tr>
      <w:tr w14:paraId="39C8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8DAF77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tcPr>
          <w:p w14:paraId="44100089">
            <w:pPr>
              <w:widowControl w:val="0"/>
              <w:rPr>
                <w:rFonts w:hint="default" w:ascii="Times New Roman" w:hAnsi="Times New Roman" w:cs="Times New Roman"/>
                <w:b w:val="0"/>
                <w:bCs w:val="0"/>
                <w:color w:val="auto"/>
                <w:sz w:val="22"/>
                <w:szCs w:val="36"/>
                <w:highlight w:val="none"/>
                <w:vertAlign w:val="baseline"/>
                <w:lang w:val="en-US" w:eastAsia="zh-CN"/>
              </w:rPr>
            </w:pPr>
            <w:bookmarkStart w:id="4" w:name="OLE_LINK8"/>
            <w:r>
              <w:rPr>
                <w:rFonts w:hint="default" w:ascii="Times New Roman" w:hAnsi="Times New Roman" w:cs="Times New Roman"/>
                <w:b w:val="0"/>
                <w:bCs w:val="0"/>
                <w:color w:val="auto"/>
                <w:sz w:val="22"/>
                <w:szCs w:val="36"/>
                <w:highlight w:val="none"/>
                <w:vertAlign w:val="baseline"/>
                <w:lang w:val="en-US" w:eastAsia="zh-CN"/>
              </w:rPr>
              <w:t>Low risk</w:t>
            </w:r>
            <w:bookmarkEnd w:id="4"/>
          </w:p>
        </w:tc>
        <w:tc>
          <w:tcPr>
            <w:tcW w:w="5342" w:type="dxa"/>
            <w:tcBorders>
              <w:right w:val="nil"/>
            </w:tcBorders>
          </w:tcPr>
          <w:p w14:paraId="4513E1B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outcomes reported on were recorded in the protocol.</w:t>
            </w:r>
          </w:p>
        </w:tc>
      </w:tr>
      <w:tr w14:paraId="2349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F9DEC1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71113BD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vAlign w:val="top"/>
          </w:tcPr>
          <w:p w14:paraId="39E7A5B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DHEA was provided at no cost by SuperPharm, Ltd.”</w:t>
            </w:r>
          </w:p>
        </w:tc>
      </w:tr>
    </w:tbl>
    <w:p w14:paraId="55D2DCC0">
      <w:pPr>
        <w:rPr>
          <w:rFonts w:hint="default" w:ascii="Times New Roman" w:hAnsi="Times New Roman" w:cs="Times New Roman"/>
          <w:b/>
          <w:bCs/>
          <w:color w:val="auto"/>
          <w:sz w:val="22"/>
          <w:szCs w:val="36"/>
          <w:highlight w:val="none"/>
          <w:lang w:val="en-US" w:eastAsia="zh-CN"/>
        </w:rPr>
      </w:pPr>
    </w:p>
    <w:p w14:paraId="195CF266">
      <w:pPr>
        <w:rPr>
          <w:rFonts w:hint="default" w:ascii="Times New Roman" w:hAnsi="Times New Roman" w:cs="Times New Roman"/>
          <w:b/>
          <w:bCs/>
          <w:color w:val="auto"/>
          <w:sz w:val="22"/>
          <w:szCs w:val="36"/>
          <w:highlight w:val="none"/>
          <w:lang w:val="en-US" w:eastAsia="zh-CN"/>
        </w:rPr>
      </w:pPr>
      <w:r>
        <w:rPr>
          <w:rFonts w:hint="default" w:ascii="Times New Roman" w:hAnsi="Times New Roman" w:eastAsia="Segoe UI" w:cs="Times New Roman"/>
          <w:b/>
          <w:bCs/>
          <w:color w:val="auto"/>
          <w:sz w:val="22"/>
          <w:szCs w:val="36"/>
          <w:highlight w:val="none"/>
        </w:rPr>
        <w:t>Artini</w:t>
      </w:r>
      <w:bookmarkEnd w:id="0"/>
      <w:r>
        <w:rPr>
          <w:rFonts w:hint="eastAsia" w:ascii="Times New Roman" w:hAnsi="Times New Roman" w:cs="Times New Roman"/>
          <w:b/>
          <w:bCs/>
          <w:color w:val="auto"/>
          <w:sz w:val="22"/>
          <w:szCs w:val="36"/>
          <w:highlight w:val="none"/>
          <w:lang w:val="en-US" w:eastAsia="zh-CN"/>
        </w:rPr>
        <w:t xml:space="preserve"> </w:t>
      </w:r>
      <w:r>
        <w:rPr>
          <w:rFonts w:hint="default" w:ascii="Times New Roman" w:hAnsi="Times New Roman" w:cs="Times New Roman"/>
          <w:b/>
          <w:bCs/>
          <w:color w:val="auto"/>
          <w:sz w:val="22"/>
          <w:szCs w:val="36"/>
          <w:highlight w:val="none"/>
          <w:lang w:val="en-US" w:eastAsia="zh-CN"/>
        </w:rPr>
        <w:t>2012</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105C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714215CB">
            <w:pPr>
              <w:widowControl w:val="0"/>
              <w:rPr>
                <w:rFonts w:hint="default" w:ascii="Times New Roman" w:hAnsi="Times New Roman" w:cs="Times New Roman"/>
                <w:b w:val="0"/>
                <w:bCs w:val="0"/>
                <w:color w:val="auto"/>
                <w:sz w:val="22"/>
                <w:szCs w:val="36"/>
                <w:highlight w:val="none"/>
                <w:vertAlign w:val="baseline"/>
                <w:lang w:val="en-US" w:eastAsia="zh-CN"/>
              </w:rPr>
            </w:pPr>
            <w:bookmarkStart w:id="5" w:name="OLE_LINK1"/>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1FB2342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Patients were randomly divided in two groups by sealed, opaque, sequentially numbered envelopes.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One group of 12 patients received DHEA supplementation</w:t>
            </w:r>
            <w:r>
              <w:rPr>
                <w:rFonts w:hint="eastAsia" w:ascii="Times New Roman" w:hAnsi="Times New Roman" w:cs="Times New Roman"/>
                <w:b w:val="0"/>
                <w:bCs w:val="0"/>
                <w:color w:val="auto"/>
                <w:sz w:val="22"/>
                <w:szCs w:val="36"/>
                <w:highlight w:val="none"/>
                <w:vertAlign w:val="baseline"/>
                <w:lang w:val="en-US" w:eastAsia="zh-CN"/>
              </w:rPr>
              <w:t xml:space="preserve"> </w:t>
            </w:r>
            <w:bookmarkStart w:id="6" w:name="OLE_LINK3"/>
            <w:r>
              <w:rPr>
                <w:rFonts w:hint="default" w:ascii="Times New Roman" w:hAnsi="Times New Roman" w:cs="Times New Roman"/>
                <w:b w:val="0"/>
                <w:bCs w:val="0"/>
                <w:color w:val="auto"/>
                <w:sz w:val="22"/>
                <w:szCs w:val="36"/>
                <w:highlight w:val="none"/>
                <w:vertAlign w:val="baseline"/>
                <w:lang w:val="en-US" w:eastAsia="zh-CN"/>
              </w:rPr>
              <w:t xml:space="preserve"> </w:t>
            </w:r>
            <w:bookmarkStart w:id="7" w:name="OLE_LINK4"/>
            <w:r>
              <w:rPr>
                <w:rFonts w:hint="default" w:ascii="Times New Roman" w:hAnsi="Times New Roman" w:cs="Times New Roman"/>
                <w:b w:val="0"/>
                <w:bCs w:val="0"/>
                <w:color w:val="auto"/>
                <w:sz w:val="22"/>
                <w:szCs w:val="36"/>
                <w:highlight w:val="none"/>
                <w:vertAlign w:val="baseline"/>
                <w:lang w:val="en-US" w:eastAsia="zh-CN"/>
              </w:rPr>
              <w:t>for 3 months before IVF cycle</w:t>
            </w:r>
            <w:bookmarkEnd w:id="6"/>
            <w:bookmarkEnd w:id="7"/>
            <w:r>
              <w:rPr>
                <w:rFonts w:hint="default" w:ascii="Times New Roman" w:hAnsi="Times New Roman" w:cs="Times New Roman"/>
                <w:b w:val="0"/>
                <w:bCs w:val="0"/>
                <w:color w:val="auto"/>
                <w:sz w:val="22"/>
                <w:szCs w:val="36"/>
                <w:highlight w:val="none"/>
                <w:vertAlign w:val="baseline"/>
                <w:lang w:val="en-US" w:eastAsia="zh-CN"/>
              </w:rPr>
              <w:t xml:space="preserve"> (study group). The other group of 12 patients did not receive any treatment (control group). All patients received combined oral contraceptives for a month before starting COH, in order to schedule menstrual cycle.</w:t>
            </w:r>
            <w:r>
              <w:rPr>
                <w:rFonts w:hint="eastAsia" w:ascii="Times New Roman" w:hAnsi="Times New Roman" w:cs="Times New Roman"/>
                <w:b w:val="0"/>
                <w:bCs w:val="0"/>
                <w:color w:val="auto"/>
                <w:sz w:val="22"/>
                <w:szCs w:val="36"/>
                <w:highlight w:val="none"/>
                <w:vertAlign w:val="baseline"/>
                <w:lang w:val="en-US" w:eastAsia="zh-CN"/>
              </w:rPr>
              <w:t xml:space="preserve"> </w:t>
            </w:r>
          </w:p>
        </w:tc>
      </w:tr>
      <w:tr w14:paraId="21C7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3771B0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2F536FB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controlled, randomized study enrolled 24 patients, all diagnosed as poor responders based on the “Bologna criteria” for the definition of poor response, established during ESHRE consensus in 2010. All selected patients were aged between 31 and 42 years.</w:t>
            </w:r>
          </w:p>
          <w:p w14:paraId="183C571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There were no differences between treated and non-treated group regarding mean age, BMI, duration</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of infertility, and baseline serum levels of FSH and DHEAS.</w:t>
            </w:r>
          </w:p>
        </w:tc>
      </w:tr>
      <w:tr w14:paraId="58D2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032794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317B5CC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DHEA supplementation orally, 25 mg three times daily</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for 3 months before IVF cycle.</w:t>
            </w:r>
          </w:p>
          <w:p w14:paraId="0167F73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 flexible start antagonist protocol was used.</w:t>
            </w:r>
          </w:p>
        </w:tc>
      </w:tr>
      <w:tr w14:paraId="164A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40AD1E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5FA2103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primary outcome measures were HIF1 and VEGF concentrations in  follicular fluid and the number of mature oocytes among the corresponding retrieved oocytes.</w:t>
            </w:r>
          </w:p>
          <w:p w14:paraId="5A1F39C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Secondary outcome measures were number of retrieved oocytes, mature oocytes, fertilized oocytes, good quality embryos, transferred embryos and clinical pregnancies. </w:t>
            </w:r>
          </w:p>
        </w:tc>
      </w:tr>
      <w:tr w14:paraId="75BB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898179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1F3E631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purpose of this study was to analyze the effect of DHEA supplementation firstly on follicular microenvironment, evaluating follicular fluid VEGF and HIF1 concentrations and, secondly, on IVF outcomes."</w:t>
            </w:r>
          </w:p>
          <w:p w14:paraId="70D90A2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Clinical pregnancy rates reported as means and SD, clarification requested from trial authors but not</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 xml:space="preserve">received. We calculated clinical pregnancy rates from the data in the paper. We also asked for </w:t>
            </w:r>
            <w:r>
              <w:rPr>
                <w:rFonts w:hint="eastAsia" w:ascii="Times New Roman" w:hAnsi="Times New Roman" w:cs="Times New Roman"/>
                <w:b w:val="0"/>
                <w:bCs w:val="0"/>
                <w:color w:val="auto"/>
                <w:sz w:val="22"/>
                <w:szCs w:val="36"/>
                <w:highlight w:val="none"/>
                <w:vertAlign w:val="baseline"/>
                <w:lang w:val="en-US" w:eastAsia="zh-CN"/>
              </w:rPr>
              <w:t>LBR</w:t>
            </w:r>
            <w:r>
              <w:rPr>
                <w:rFonts w:hint="default" w:ascii="Times New Roman" w:hAnsi="Times New Roman" w:cs="Times New Roman"/>
                <w:b w:val="0"/>
                <w:bCs w:val="0"/>
                <w:color w:val="auto"/>
                <w:sz w:val="22"/>
                <w:szCs w:val="36"/>
                <w:highlight w:val="none"/>
                <w:vertAlign w:val="baseline"/>
                <w:lang w:val="en-US" w:eastAsia="zh-CN"/>
              </w:rPr>
              <w:t xml:space="preserve">, </w:t>
            </w:r>
            <w:r>
              <w:rPr>
                <w:rFonts w:hint="eastAsia" w:ascii="Times New Roman" w:hAnsi="Times New Roman" w:cs="Times New Roman"/>
                <w:b w:val="0"/>
                <w:bCs w:val="0"/>
                <w:color w:val="auto"/>
                <w:sz w:val="22"/>
                <w:szCs w:val="36"/>
                <w:highlight w:val="none"/>
                <w:vertAlign w:val="baseline"/>
                <w:lang w:val="en-US" w:eastAsia="zh-CN"/>
              </w:rPr>
              <w:t xml:space="preserve">IR </w:t>
            </w:r>
            <w:r>
              <w:rPr>
                <w:rFonts w:hint="default" w:ascii="Times New Roman" w:hAnsi="Times New Roman" w:cs="Times New Roman"/>
                <w:b w:val="0"/>
                <w:bCs w:val="0"/>
                <w:color w:val="auto"/>
                <w:sz w:val="22"/>
                <w:szCs w:val="36"/>
                <w:highlight w:val="none"/>
                <w:vertAlign w:val="baseline"/>
                <w:lang w:val="en-US" w:eastAsia="zh-CN"/>
              </w:rPr>
              <w:t>and</w:t>
            </w:r>
            <w:r>
              <w:rPr>
                <w:rFonts w:hint="eastAsia" w:ascii="Times New Roman" w:hAnsi="Times New Roman" w:cs="Times New Roman"/>
                <w:b w:val="0"/>
                <w:bCs w:val="0"/>
                <w:color w:val="auto"/>
                <w:sz w:val="22"/>
                <w:szCs w:val="36"/>
                <w:highlight w:val="none"/>
                <w:vertAlign w:val="baseline"/>
                <w:lang w:val="en-US" w:eastAsia="zh-CN"/>
              </w:rPr>
              <w:t xml:space="preserve"> MR </w:t>
            </w:r>
            <w:r>
              <w:rPr>
                <w:rFonts w:hint="default" w:ascii="Times New Roman" w:hAnsi="Times New Roman" w:cs="Times New Roman"/>
                <w:b w:val="0"/>
                <w:bCs w:val="0"/>
                <w:color w:val="auto"/>
                <w:sz w:val="22"/>
                <w:szCs w:val="36"/>
                <w:highlight w:val="none"/>
                <w:vertAlign w:val="baseline"/>
                <w:lang w:val="en-US" w:eastAsia="zh-CN"/>
              </w:rPr>
              <w:t xml:space="preserve">data, and further information on their methods. No response </w:t>
            </w:r>
            <w:r>
              <w:rPr>
                <w:rFonts w:hint="eastAsia" w:ascii="Times New Roman" w:hAnsi="Times New Roman" w:cs="Times New Roman"/>
                <w:b w:val="0"/>
                <w:bCs w:val="0"/>
                <w:color w:val="auto"/>
                <w:sz w:val="22"/>
                <w:szCs w:val="36"/>
                <w:highlight w:val="none"/>
                <w:vertAlign w:val="baseline"/>
                <w:lang w:val="en-US" w:eastAsia="zh-CN"/>
              </w:rPr>
              <w:t>recevied</w:t>
            </w:r>
            <w:r>
              <w:rPr>
                <w:rFonts w:hint="default" w:ascii="Times New Roman" w:hAnsi="Times New Roman" w:cs="Times New Roman"/>
                <w:b w:val="0"/>
                <w:bCs w:val="0"/>
                <w:color w:val="auto"/>
                <w:sz w:val="22"/>
                <w:szCs w:val="36"/>
                <w:highlight w:val="none"/>
                <w:vertAlign w:val="baseline"/>
                <w:lang w:val="en-US" w:eastAsia="zh-CN"/>
              </w:rPr>
              <w:t>.</w:t>
            </w:r>
          </w:p>
        </w:tc>
      </w:tr>
      <w:bookmarkEnd w:id="5"/>
    </w:tbl>
    <w:p w14:paraId="04D7CEC4">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6534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5C221349">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6ED8A0E5">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05E33460">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2B26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7B5425F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37152E5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42CD23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"Patients were divided in two groups by randomly choosing sealed, opaque,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sequentially numbered envelopes."</w:t>
            </w:r>
          </w:p>
        </w:tc>
      </w:tr>
      <w:tr w14:paraId="75A3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49AA54C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2552545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66CE4A77">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"Patients were divided in two groups by randomly choosing sealed, opaque,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sequentially numbered envelopes."</w:t>
            </w:r>
          </w:p>
        </w:tc>
      </w:tr>
      <w:tr w14:paraId="26CD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3D81164">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17A0455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52140D1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tcPr>
          <w:p w14:paraId="68EB28E1">
            <w:pPr>
              <w:widowControl w:val="0"/>
              <w:rPr>
                <w:rFonts w:hint="default" w:ascii="Times New Roman" w:hAnsi="Times New Roman" w:cs="Times New Roman"/>
                <w:b w:val="0"/>
                <w:bCs w:val="0"/>
                <w:color w:val="auto"/>
                <w:sz w:val="22"/>
                <w:szCs w:val="36"/>
                <w:highlight w:val="none"/>
                <w:vertAlign w:val="baseline"/>
                <w:lang w:val="en-US" w:eastAsia="zh-CN"/>
              </w:rPr>
            </w:pPr>
            <w:bookmarkStart w:id="8" w:name="OLE_LINK7"/>
            <w:r>
              <w:rPr>
                <w:rFonts w:hint="eastAsia" w:ascii="Times New Roman" w:hAnsi="Times New Roman" w:cs="Times New Roman"/>
                <w:b w:val="0"/>
                <w:bCs w:val="0"/>
                <w:color w:val="auto"/>
                <w:sz w:val="22"/>
                <w:szCs w:val="36"/>
                <w:highlight w:val="none"/>
                <w:vertAlign w:val="baseline"/>
                <w:lang w:val="en-US" w:eastAsia="zh-CN"/>
              </w:rPr>
              <w:t>I</w:t>
            </w:r>
            <w:r>
              <w:rPr>
                <w:rFonts w:hint="default" w:ascii="Times New Roman" w:hAnsi="Times New Roman" w:cs="Times New Roman"/>
                <w:b w:val="0"/>
                <w:bCs w:val="0"/>
                <w:color w:val="auto"/>
                <w:sz w:val="22"/>
                <w:szCs w:val="36"/>
                <w:highlight w:val="none"/>
                <w:vertAlign w:val="baseline"/>
                <w:lang w:val="en-US" w:eastAsia="zh-CN"/>
              </w:rPr>
              <w:t>t is clear participants were not blinded.</w:t>
            </w:r>
            <w:bookmarkEnd w:id="8"/>
          </w:p>
        </w:tc>
      </w:tr>
      <w:tr w14:paraId="7502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56FDE8B">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5D7AEBA9">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318D2A4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tcPr>
          <w:p w14:paraId="461E09C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3794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70B7BD5">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58E1F79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2B0AE3C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5996026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"Only one patient did not complete the cycle and was suspended because of</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insufficient response to COH, and she belonged to control group."</w:t>
            </w:r>
          </w:p>
        </w:tc>
      </w:tr>
      <w:tr w14:paraId="4901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1764926">
            <w:pPr>
              <w:widowControl w:val="0"/>
              <w:rPr>
                <w:rFonts w:hint="default" w:ascii="Times New Roman" w:hAnsi="Times New Roman" w:cs="Times New Roman"/>
                <w:b w:val="0"/>
                <w:bCs w:val="0"/>
                <w:color w:val="auto"/>
                <w:sz w:val="22"/>
                <w:szCs w:val="36"/>
                <w:highlight w:val="none"/>
                <w:vertAlign w:val="baseline"/>
                <w:lang w:val="en-US" w:eastAsia="zh-CN"/>
              </w:rPr>
            </w:pPr>
            <w:bookmarkStart w:id="9" w:name="OLE_LINK59" w:colFirst="1" w:colLast="2"/>
            <w:bookmarkStart w:id="10" w:name="OLE_LINK18" w:colFirst="1" w:colLast="2"/>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47ECD4E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0D6EE77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 Lack</w:t>
            </w:r>
            <w:r>
              <w:rPr>
                <w:rFonts w:hint="eastAsia" w:ascii="Times New Roman" w:hAnsi="Times New Roman" w:cs="Times New Roman"/>
                <w:b w:val="0"/>
                <w:bCs w:val="0"/>
                <w:color w:val="auto"/>
                <w:sz w:val="22"/>
                <w:szCs w:val="36"/>
                <w:highlight w:val="none"/>
                <w:vertAlign w:val="baseline"/>
                <w:lang w:val="en-US" w:eastAsia="zh-CN"/>
              </w:rPr>
              <w:t xml:space="preserve"> of</w:t>
            </w:r>
            <w:r>
              <w:rPr>
                <w:rFonts w:hint="default" w:ascii="Times New Roman" w:hAnsi="Times New Roman" w:cs="Times New Roman"/>
                <w:b w:val="0"/>
                <w:bCs w:val="0"/>
                <w:color w:val="auto"/>
                <w:sz w:val="22"/>
                <w:szCs w:val="36"/>
                <w:highlight w:val="none"/>
                <w:vertAlign w:val="baseline"/>
                <w:lang w:val="en-US" w:eastAsia="zh-CN"/>
              </w:rPr>
              <w:t xml:space="preserve"> clinical trial registration </w:t>
            </w:r>
            <w:r>
              <w:rPr>
                <w:rFonts w:hint="eastAsia" w:ascii="Times New Roman" w:hAnsi="Times New Roman" w:cs="Times New Roman"/>
                <w:b w:val="0"/>
                <w:bCs w:val="0"/>
                <w:color w:val="auto"/>
                <w:sz w:val="22"/>
                <w:szCs w:val="36"/>
                <w:highlight w:val="none"/>
                <w:vertAlign w:val="baseline"/>
                <w:lang w:val="en-US" w:eastAsia="zh-CN"/>
              </w:rPr>
              <w:t xml:space="preserve">and </w:t>
            </w:r>
            <w:r>
              <w:rPr>
                <w:rFonts w:hint="default" w:ascii="Times New Roman" w:hAnsi="Times New Roman" w:cs="Times New Roman"/>
                <w:b w:val="0"/>
                <w:bCs w:val="0"/>
                <w:color w:val="auto"/>
                <w:sz w:val="22"/>
                <w:szCs w:val="36"/>
                <w:highlight w:val="none"/>
                <w:vertAlign w:val="baseline"/>
                <w:lang w:val="en-US" w:eastAsia="zh-CN"/>
              </w:rPr>
              <w:t>LBR</w:t>
            </w:r>
            <w:r>
              <w:rPr>
                <w:rFonts w:hint="eastAsia" w:ascii="Times New Roman" w:hAnsi="Times New Roman" w:cs="Times New Roman"/>
                <w:b w:val="0"/>
                <w:bCs w:val="0"/>
                <w:color w:val="auto"/>
                <w:sz w:val="22"/>
                <w:szCs w:val="36"/>
                <w:highlight w:val="none"/>
                <w:vertAlign w:val="baseline"/>
                <w:lang w:val="en-US" w:eastAsia="zh-CN"/>
              </w:rPr>
              <w:t>/ongoing pregnancy rate.</w:t>
            </w:r>
          </w:p>
        </w:tc>
      </w:tr>
      <w:bookmarkEnd w:id="9"/>
      <w:tr w14:paraId="5ACF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BB8236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00183B2F">
            <w:pPr>
              <w:widowControl w:val="0"/>
              <w:rPr>
                <w:rFonts w:hint="default" w:ascii="Times New Roman" w:hAnsi="Times New Roman" w:cs="Times New Roman"/>
                <w:b w:val="0"/>
                <w:bCs w:val="0"/>
                <w:color w:val="auto"/>
                <w:sz w:val="22"/>
                <w:szCs w:val="36"/>
                <w:highlight w:val="none"/>
                <w:vertAlign w:val="baseline"/>
                <w:lang w:val="en-US" w:eastAsia="zh-CN"/>
              </w:rPr>
            </w:pPr>
            <w:bookmarkStart w:id="11" w:name="OLE_LINK26"/>
            <w:r>
              <w:rPr>
                <w:rFonts w:hint="default" w:ascii="Times New Roman" w:hAnsi="Times New Roman" w:cs="Times New Roman"/>
                <w:b w:val="0"/>
                <w:bCs w:val="0"/>
                <w:color w:val="auto"/>
                <w:sz w:val="22"/>
                <w:szCs w:val="36"/>
                <w:highlight w:val="none"/>
                <w:vertAlign w:val="baseline"/>
                <w:lang w:val="en-US" w:eastAsia="zh-CN"/>
              </w:rPr>
              <w:t>Unclear risk</w:t>
            </w:r>
            <w:bookmarkEnd w:id="11"/>
          </w:p>
        </w:tc>
        <w:tc>
          <w:tcPr>
            <w:tcW w:w="5342" w:type="dxa"/>
            <w:tcBorders>
              <w:right w:val="nil"/>
            </w:tcBorders>
            <w:vAlign w:val="top"/>
          </w:tcPr>
          <w:p w14:paraId="2AAD5A5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10"/>
    </w:tbl>
    <w:p w14:paraId="4D6EDAAE">
      <w:pPr>
        <w:rPr>
          <w:rFonts w:hint="default" w:ascii="Times New Roman" w:hAnsi="Times New Roman" w:cs="Times New Roman"/>
          <w:b/>
          <w:bCs/>
          <w:color w:val="auto"/>
          <w:sz w:val="22"/>
          <w:szCs w:val="36"/>
          <w:highlight w:val="none"/>
          <w:lang w:val="en-US" w:eastAsia="zh-CN"/>
        </w:rPr>
      </w:pPr>
    </w:p>
    <w:p w14:paraId="66DBF003">
      <w:pPr>
        <w:rPr>
          <w:rFonts w:hint="default" w:ascii="Times New Roman" w:hAnsi="Times New Roman" w:cs="Times New Roman"/>
          <w:b/>
          <w:bCs/>
          <w:color w:val="auto"/>
          <w:sz w:val="22"/>
          <w:szCs w:val="36"/>
          <w:highlight w:val="none"/>
          <w:lang w:val="en-US" w:eastAsia="zh-CN"/>
        </w:rPr>
      </w:pPr>
      <w:bookmarkStart w:id="12" w:name="OLE_LINK27"/>
      <w:bookmarkStart w:id="13" w:name="OLE_LINK9"/>
      <w:r>
        <w:rPr>
          <w:rFonts w:hint="default" w:ascii="Times New Roman" w:hAnsi="Times New Roman" w:cs="Times New Roman"/>
          <w:b/>
          <w:bCs/>
          <w:color w:val="auto"/>
          <w:sz w:val="22"/>
          <w:szCs w:val="36"/>
          <w:highlight w:val="none"/>
          <w:lang w:val="en-US" w:eastAsia="zh-CN"/>
        </w:rPr>
        <w:t>Moawad 2012</w:t>
      </w:r>
      <w:bookmarkEnd w:id="12"/>
    </w:p>
    <w:bookmarkEnd w:id="13"/>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39A5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0FCF5726">
            <w:pPr>
              <w:widowControl w:val="0"/>
              <w:rPr>
                <w:rFonts w:hint="default" w:ascii="Times New Roman" w:hAnsi="Times New Roman" w:cs="Times New Roman"/>
                <w:b w:val="0"/>
                <w:bCs w:val="0"/>
                <w:color w:val="auto"/>
                <w:sz w:val="22"/>
                <w:szCs w:val="36"/>
                <w:highlight w:val="none"/>
                <w:vertAlign w:val="baseline"/>
                <w:lang w:val="en-US" w:eastAsia="zh-CN"/>
              </w:rPr>
            </w:pPr>
            <w:bookmarkStart w:id="14" w:name="OLE_LINK12"/>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44E98036">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133 patients were divided without prejudice into 2 groups; (1) study group (DHEA group); (2) control group; in which the patient started COH without DHEA priming.</w:t>
            </w:r>
          </w:p>
          <w:p w14:paraId="05E97A4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randomization was according to a computer-generated list. Cases were sequentially allocated to</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either the study or the control group in strict compliance with the sequence of cases and the order of</w:t>
            </w:r>
            <w:r>
              <w:rPr>
                <w:rFonts w:hint="eastAsia" w:ascii="Times New Roman" w:hAnsi="Times New Roman" w:cs="Times New Roman"/>
                <w:b w:val="0"/>
                <w:bCs w:val="0"/>
                <w:color w:val="auto"/>
                <w:sz w:val="22"/>
                <w:szCs w:val="36"/>
                <w:highlight w:val="none"/>
                <w:vertAlign w:val="baseline"/>
                <w:lang w:val="en-US" w:eastAsia="zh-CN"/>
              </w:rPr>
              <w:t xml:space="preserve"> allocation groups. Computer-generated randomization was by the nurse coordinator without interference from the clinicians.</w:t>
            </w:r>
          </w:p>
        </w:tc>
      </w:tr>
      <w:tr w14:paraId="17CC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739A7C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223B67E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Patients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younger than 40 years old with a prior poor response to ovarian stimulation in IVF were selected to undergo an IVF cycle.</w:t>
            </w:r>
          </w:p>
          <w:p w14:paraId="0F4B70C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 poor response in a previous IVF cycle was defined as retrieval of fewer than five oocytes or cycle cancellation due to poor response to ovarian stimulation  whenever the gonadotrophin starting dose for induction of ovulation was at least 300 IU/day. </w:t>
            </w:r>
          </w:p>
          <w:p w14:paraId="1900B8A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Patient with a prior poor response was further confirmed by measurement of </w:t>
            </w:r>
            <w:r>
              <w:rPr>
                <w:rFonts w:hint="eastAsia" w:ascii="Times New Roman" w:hAnsi="Times New Roman" w:cs="Times New Roman"/>
                <w:b w:val="0"/>
                <w:bCs w:val="0"/>
                <w:color w:val="auto"/>
                <w:sz w:val="22"/>
                <w:szCs w:val="36"/>
                <w:highlight w:val="none"/>
                <w:vertAlign w:val="baseline"/>
                <w:lang w:val="en-US" w:eastAsia="zh-CN"/>
              </w:rPr>
              <w:t>AMH</w:t>
            </w:r>
            <w:r>
              <w:rPr>
                <w:rFonts w:hint="default" w:ascii="Times New Roman" w:hAnsi="Times New Roman" w:cs="Times New Roman"/>
                <w:b w:val="0"/>
                <w:bCs w:val="0"/>
                <w:color w:val="auto"/>
                <w:sz w:val="22"/>
                <w:szCs w:val="36"/>
                <w:highlight w:val="none"/>
                <w:vertAlign w:val="baseline"/>
                <w:lang w:val="en-US" w:eastAsia="zh-CN"/>
              </w:rPr>
              <w:t xml:space="preserve"> and a value less than 1.7</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μg/L was considered as an indication of poor response according to our previous study.</w:t>
            </w:r>
          </w:p>
        </w:tc>
      </w:tr>
      <w:tr w14:paraId="181F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84C2E4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0822016B">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25 mg DHEA orally, three times a day, for at least 12 weeks before starting COH.</w:t>
            </w:r>
          </w:p>
          <w:p w14:paraId="15ADE33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patients were treated according to the standard short</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stimulation protocol with GnRH agonist</w:t>
            </w:r>
            <w:r>
              <w:rPr>
                <w:rFonts w:hint="eastAsia" w:ascii="Times New Roman" w:hAnsi="Times New Roman" w:cs="Times New Roman"/>
                <w:b w:val="0"/>
                <w:bCs w:val="0"/>
                <w:color w:val="auto"/>
                <w:sz w:val="22"/>
                <w:szCs w:val="36"/>
                <w:highlight w:val="none"/>
                <w:vertAlign w:val="baseline"/>
                <w:lang w:val="en-US" w:eastAsia="zh-CN"/>
              </w:rPr>
              <w:t>.</w:t>
            </w:r>
          </w:p>
        </w:tc>
      </w:tr>
      <w:tr w14:paraId="7923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199AFD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7FA68DE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primary outcome measures were peak estradiol levels, number of retrieved oocytes and number of</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embryos reserved for transfer. Secondary outcome measures were pregnancy and clinical pregnancy</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rates.</w:t>
            </w:r>
          </w:p>
          <w:p w14:paraId="0386BED2">
            <w:pPr>
              <w:widowControl w:val="0"/>
              <w:rPr>
                <w:rFonts w:hint="default" w:ascii="Times New Roman" w:hAnsi="Times New Roman" w:cs="Times New Roman"/>
                <w:b w:val="0"/>
                <w:bCs w:val="0"/>
                <w:color w:val="auto"/>
                <w:sz w:val="22"/>
                <w:szCs w:val="36"/>
                <w:highlight w:val="none"/>
                <w:vertAlign w:val="baseline"/>
                <w:lang w:val="en-US" w:eastAsia="zh-CN"/>
              </w:rPr>
            </w:pPr>
            <w:bookmarkStart w:id="15" w:name="OLE_LINK11"/>
            <w:r>
              <w:rPr>
                <w:rFonts w:hint="default" w:ascii="Times New Roman" w:hAnsi="Times New Roman" w:cs="Times New Roman"/>
                <w:b w:val="0"/>
                <w:bCs w:val="0"/>
                <w:color w:val="auto"/>
                <w:sz w:val="22"/>
                <w:szCs w:val="36"/>
                <w:highlight w:val="none"/>
                <w:vertAlign w:val="baseline"/>
                <w:lang w:val="en-US" w:eastAsia="zh-CN"/>
              </w:rPr>
              <w:t>"It should be noted that two patients in the study group conceived spontaneously 45 days after DHEA</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exposure, before starting IVF treatment and was included among the study group pregnancies."</w:t>
            </w:r>
          </w:p>
          <w:bookmarkEnd w:id="15"/>
          <w:p w14:paraId="2E31A68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 the current study, pregnancy rate (per embryo transfer) was higher in the DHEA group (24.1%) compared to the control group (21.3%) with no significant difference. However, if we calculate pregnancy</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rate per cycle, the DHEA group had a significantly higher pregnancy rate (20.9%) compared to (15.2%)</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the control group (P value = 0.048, significant).</w:t>
            </w:r>
            <w:bookmarkStart w:id="16" w:name="OLE_LINK10"/>
            <w:r>
              <w:rPr>
                <w:rFonts w:hint="default" w:ascii="Times New Roman" w:hAnsi="Times New Roman" w:cs="Times New Roman"/>
                <w:b w:val="0"/>
                <w:bCs w:val="0"/>
                <w:color w:val="auto"/>
                <w:sz w:val="22"/>
                <w:szCs w:val="36"/>
                <w:highlight w:val="none"/>
                <w:vertAlign w:val="baseline"/>
                <w:lang w:val="en-US" w:eastAsia="zh-CN"/>
              </w:rPr>
              <w:t>"</w:t>
            </w:r>
            <w:bookmarkEnd w:id="16"/>
          </w:p>
          <w:p w14:paraId="313846B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"Also, clinical pregnancy and ongoing pregnancy (per embryo transfer) were significantly higher in the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DHEA group (20.7% and 19.0%) compared to the control group (17.0% and 14.9%), respectively (P value= 0.048 and 0.041, significant)."</w:t>
            </w:r>
          </w:p>
        </w:tc>
      </w:tr>
      <w:tr w14:paraId="1D26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CF9C07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7D78A25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Two or three, best-quality embryos were transferred</w:t>
            </w:r>
            <w:r>
              <w:rPr>
                <w:rFonts w:hint="eastAsia" w:ascii="Times New Roman" w:hAnsi="Times New Roman" w:cs="Times New Roman"/>
                <w:b w:val="0"/>
                <w:bCs w:val="0"/>
                <w:color w:val="auto"/>
                <w:sz w:val="22"/>
                <w:szCs w:val="36"/>
                <w:highlight w:val="none"/>
                <w:vertAlign w:val="baseline"/>
                <w:lang w:val="en-US" w:eastAsia="zh-CN"/>
              </w:rPr>
              <w:t xml:space="preserve"> per participant.</w:t>
            </w:r>
          </w:p>
        </w:tc>
      </w:tr>
      <w:bookmarkEnd w:id="14"/>
    </w:tbl>
    <w:p w14:paraId="21B94345">
      <w:pPr>
        <w:rPr>
          <w:rFonts w:hint="eastAsia" w:ascii="Times New Roman" w:hAnsi="Times New Roman" w:cs="Times New Roman"/>
          <w:b/>
          <w:bCs/>
          <w:color w:val="auto"/>
          <w:sz w:val="22"/>
          <w:szCs w:val="36"/>
          <w:highlight w:val="none"/>
          <w:lang w:val="en-US" w:eastAsia="zh-CN"/>
        </w:rPr>
      </w:pPr>
      <w:bookmarkStart w:id="17" w:name="OLE_LINK13"/>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18E1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31E83041">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3A03BE54">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7C35D033">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0343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0C63B1C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3451FD1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4A18E5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"The randomization was done according to a </w:t>
            </w:r>
            <w:bookmarkStart w:id="18" w:name="OLE_LINK57"/>
            <w:r>
              <w:rPr>
                <w:rFonts w:hint="default" w:ascii="Times New Roman" w:hAnsi="Times New Roman" w:cs="Times New Roman"/>
                <w:b w:val="0"/>
                <w:bCs w:val="0"/>
                <w:color w:val="auto"/>
                <w:sz w:val="22"/>
                <w:szCs w:val="36"/>
                <w:highlight w:val="none"/>
                <w:vertAlign w:val="baseline"/>
                <w:lang w:val="en-US" w:eastAsia="zh-CN"/>
              </w:rPr>
              <w:t>computer-generated list</w:t>
            </w:r>
            <w:bookmarkEnd w:id="18"/>
            <w:r>
              <w:rPr>
                <w:rFonts w:hint="default" w:ascii="Times New Roman" w:hAnsi="Times New Roman" w:cs="Times New Roman"/>
                <w:b w:val="0"/>
                <w:bCs w:val="0"/>
                <w:color w:val="auto"/>
                <w:sz w:val="22"/>
                <w:szCs w:val="36"/>
                <w:highlight w:val="none"/>
                <w:vertAlign w:val="baseline"/>
                <w:lang w:val="en-US" w:eastAsia="zh-CN"/>
              </w:rPr>
              <w:t>. Cases were sequentially allocated to either the study or the control group in strict</w:t>
            </w:r>
          </w:p>
          <w:p w14:paraId="74D7234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compliance with the sequence of cases and the order of allocation groups.This computer-generated randomization was done by the nurse coordinator</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without interference from the clinicians."</w:t>
            </w:r>
          </w:p>
        </w:tc>
      </w:tr>
      <w:tr w14:paraId="6ECD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0737034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13FC6DC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09609685">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049C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CF3A1C5">
            <w:pPr>
              <w:widowControl w:val="0"/>
              <w:rPr>
                <w:rFonts w:hint="eastAsia" w:ascii="Times New Roman" w:hAnsi="Times New Roman" w:cs="Times New Roman"/>
                <w:b w:val="0"/>
                <w:bCs w:val="0"/>
                <w:color w:val="auto"/>
                <w:sz w:val="22"/>
                <w:szCs w:val="36"/>
                <w:highlight w:val="none"/>
                <w:vertAlign w:val="baseline"/>
                <w:lang w:val="en-US" w:eastAsia="zh-CN"/>
              </w:rPr>
            </w:pPr>
            <w:bookmarkStart w:id="19" w:name="OLE_LINK38" w:colFirst="1" w:colLast="2"/>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12F30B9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0B7A564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tcPr>
          <w:p w14:paraId="3C3239E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w:t>
            </w:r>
            <w:r>
              <w:rPr>
                <w:rFonts w:hint="default" w:ascii="Times New Roman" w:hAnsi="Times New Roman" w:cs="Times New Roman"/>
                <w:b w:val="0"/>
                <w:bCs w:val="0"/>
                <w:color w:val="auto"/>
                <w:sz w:val="22"/>
                <w:szCs w:val="36"/>
                <w:highlight w:val="none"/>
                <w:vertAlign w:val="baseline"/>
                <w:lang w:val="en-US" w:eastAsia="zh-CN"/>
              </w:rPr>
              <w:t>t is clear participants were not blinded.</w:t>
            </w:r>
            <w:r>
              <w:rPr>
                <w:rFonts w:hint="eastAsia" w:ascii="Times New Roman" w:hAnsi="Times New Roman" w:cs="Times New Roman"/>
                <w:b w:val="0"/>
                <w:bCs w:val="0"/>
                <w:color w:val="auto"/>
                <w:sz w:val="22"/>
                <w:szCs w:val="36"/>
                <w:highlight w:val="none"/>
                <w:vertAlign w:val="baseline"/>
                <w:lang w:val="en-US" w:eastAsia="zh-CN"/>
              </w:rPr>
              <w:t xml:space="preserve"> Control group unblinded as received no treatment.</w:t>
            </w:r>
          </w:p>
        </w:tc>
      </w:tr>
      <w:bookmarkEnd w:id="19"/>
      <w:tr w14:paraId="07FC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C1356E4">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0477599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695B8DE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tcPr>
          <w:p w14:paraId="2C862ABF">
            <w:pPr>
              <w:widowControl w:val="0"/>
              <w:rPr>
                <w:rFonts w:hint="default" w:ascii="Times New Roman" w:hAnsi="Times New Roman" w:cs="Times New Roman"/>
                <w:b w:val="0"/>
                <w:bCs w:val="0"/>
                <w:color w:val="auto"/>
                <w:sz w:val="22"/>
                <w:szCs w:val="36"/>
                <w:highlight w:val="none"/>
                <w:vertAlign w:val="baseline"/>
                <w:lang w:val="en-US" w:eastAsia="zh-CN"/>
              </w:rPr>
            </w:pPr>
            <w:bookmarkStart w:id="20" w:name="OLE_LINK42"/>
            <w:r>
              <w:rPr>
                <w:rFonts w:hint="default" w:ascii="Times New Roman" w:hAnsi="Times New Roman" w:cs="Times New Roman"/>
                <w:b w:val="0"/>
                <w:bCs w:val="0"/>
                <w:color w:val="auto"/>
                <w:sz w:val="22"/>
                <w:szCs w:val="36"/>
                <w:highlight w:val="none"/>
                <w:vertAlign w:val="baseline"/>
                <w:lang w:val="en-US" w:eastAsia="zh-CN"/>
              </w:rPr>
              <w:t>No information given.</w:t>
            </w:r>
            <w:bookmarkEnd w:id="20"/>
          </w:p>
        </w:tc>
      </w:tr>
      <w:tr w14:paraId="7FA1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1D3841D">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52D7502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4CF5D56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4028542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"It should be noted that two patients in the study group conceived spontaneously 45 days after DHEA exposure, before starting IVF treatment and was included among the study group pregnancies."</w:t>
            </w:r>
          </w:p>
        </w:tc>
      </w:tr>
      <w:tr w14:paraId="5BE0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25A8BB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3777E82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0BF4C53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Details not supplied but has reported outcomes relevant to this review.</w:t>
            </w:r>
          </w:p>
        </w:tc>
      </w:tr>
      <w:tr w14:paraId="0FE9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416DC7A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3B66640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98DEAB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17"/>
    </w:tbl>
    <w:p w14:paraId="0A8B974A">
      <w:pPr>
        <w:rPr>
          <w:rFonts w:hint="default" w:ascii="Times New Roman" w:hAnsi="Times New Roman" w:cs="Times New Roman"/>
          <w:b/>
          <w:bCs/>
          <w:color w:val="auto"/>
          <w:sz w:val="22"/>
          <w:szCs w:val="36"/>
          <w:highlight w:val="none"/>
          <w:lang w:val="en-US" w:eastAsia="zh-CN"/>
        </w:rPr>
      </w:pPr>
    </w:p>
    <w:p w14:paraId="55AA8ED3">
      <w:pPr>
        <w:rPr>
          <w:rFonts w:hint="default" w:ascii="Times New Roman" w:hAnsi="Times New Roman" w:cs="Times New Roman"/>
          <w:b/>
          <w:bCs/>
          <w:color w:val="auto"/>
          <w:sz w:val="22"/>
          <w:szCs w:val="36"/>
          <w:highlight w:val="none"/>
          <w:lang w:val="en-US" w:eastAsia="zh-CN"/>
        </w:rPr>
      </w:pPr>
      <w:bookmarkStart w:id="21" w:name="OLE_LINK28"/>
      <w:r>
        <w:rPr>
          <w:rFonts w:hint="default" w:ascii="Times New Roman" w:hAnsi="Times New Roman" w:cs="Times New Roman"/>
          <w:b/>
          <w:bCs/>
          <w:color w:val="auto"/>
          <w:sz w:val="22"/>
          <w:szCs w:val="36"/>
          <w:highlight w:val="none"/>
          <w:lang w:val="en-US" w:eastAsia="zh-CN"/>
        </w:rPr>
        <w:t>Kara 2014</w:t>
      </w:r>
    </w:p>
    <w:bookmarkEnd w:id="21"/>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09C8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6B79AC6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2FD9BFE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This was a randomized, prospective controlled trial. 208 </w:t>
            </w:r>
            <w:r>
              <w:rPr>
                <w:rFonts w:hint="eastAsia" w:ascii="Times New Roman" w:hAnsi="Times New Roman" w:cs="Times New Roman"/>
                <w:b w:val="0"/>
                <w:bCs w:val="0"/>
                <w:color w:val="auto"/>
                <w:sz w:val="22"/>
                <w:szCs w:val="36"/>
                <w:highlight w:val="none"/>
                <w:vertAlign w:val="baseline"/>
                <w:lang w:val="en-US" w:eastAsia="zh-CN"/>
              </w:rPr>
              <w:t>w</w:t>
            </w:r>
            <w:r>
              <w:rPr>
                <w:rFonts w:hint="default" w:ascii="Times New Roman" w:hAnsi="Times New Roman" w:cs="Times New Roman"/>
                <w:b w:val="0"/>
                <w:bCs w:val="0"/>
                <w:color w:val="auto"/>
                <w:sz w:val="22"/>
                <w:szCs w:val="36"/>
                <w:highlight w:val="none"/>
                <w:vertAlign w:val="baseline"/>
                <w:lang w:val="en-US" w:eastAsia="zh-CN"/>
              </w:rPr>
              <w:t>omen were allocated at random to the study group or the control group on the day of the study, 104 in the study group and 104 in the control group.</w:t>
            </w:r>
          </w:p>
        </w:tc>
      </w:tr>
      <w:tr w14:paraId="1DF8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CDE41D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257C9D0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w:t>
            </w:r>
            <w:r>
              <w:rPr>
                <w:rFonts w:hint="default" w:ascii="Times New Roman" w:hAnsi="Times New Roman" w:cs="Times New Roman"/>
                <w:b w:val="0"/>
                <w:bCs w:val="0"/>
                <w:color w:val="auto"/>
                <w:sz w:val="22"/>
                <w:szCs w:val="36"/>
                <w:highlight w:val="none"/>
                <w:vertAlign w:val="baseline"/>
                <w:lang w:val="en-US" w:eastAsia="zh-CN"/>
              </w:rPr>
              <w:t>atients undergoing IVF-ICSI because of infertility and diminished</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ovarian reserve. Patients whose serum AMH level &lt; 1 ng/mL or serum FSH value &gt; 15 iu/L and antral follicle count &lt; 4 on the second day of the menstruation were accepted as having diminished ovarian reserve.</w:t>
            </w:r>
          </w:p>
        </w:tc>
      </w:tr>
      <w:tr w14:paraId="3499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379ABE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5CB2B49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25 mg </w:t>
            </w:r>
            <w:r>
              <w:rPr>
                <w:rFonts w:hint="eastAsia" w:ascii="Times New Roman" w:hAnsi="Times New Roman" w:cs="Times New Roman"/>
                <w:b w:val="0"/>
                <w:bCs w:val="0"/>
                <w:color w:val="auto"/>
                <w:sz w:val="22"/>
                <w:szCs w:val="36"/>
                <w:highlight w:val="none"/>
                <w:vertAlign w:val="baseline"/>
                <w:lang w:val="en-US" w:eastAsia="zh-CN"/>
              </w:rPr>
              <w:t xml:space="preserve">DHEA </w:t>
            </w:r>
            <w:r>
              <w:rPr>
                <w:rFonts w:hint="default" w:ascii="Times New Roman" w:hAnsi="Times New Roman" w:cs="Times New Roman"/>
                <w:b w:val="0"/>
                <w:bCs w:val="0"/>
                <w:color w:val="auto"/>
                <w:sz w:val="22"/>
                <w:szCs w:val="36"/>
                <w:highlight w:val="none"/>
                <w:vertAlign w:val="baseline"/>
                <w:lang w:val="en-US" w:eastAsia="zh-CN"/>
              </w:rPr>
              <w:t>t.i.d. for 12 weeks.</w:t>
            </w:r>
          </w:p>
          <w:p w14:paraId="7273D0D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women underwent a microdose flare protocol.</w:t>
            </w:r>
          </w:p>
        </w:tc>
      </w:tr>
      <w:tr w14:paraId="2F75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C46CC9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4E68B8F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two groups were also compared in terms of number of</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 xml:space="preserve">oocytes retrieved, number of metaphase 2 oocytes, fertilization rate, clinical pregnancy rate, and oestradiol and progesterone levels on the day of hCG administration. </w:t>
            </w:r>
          </w:p>
        </w:tc>
      </w:tr>
      <w:tr w14:paraId="1DDE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1F7A30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6B5E8B0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number of oocytes retrieved and the fertilization rate were slightly higher in the study group, but the pregnancy rate was higher in the control group. The differences were not significant.”</w:t>
            </w:r>
          </w:p>
        </w:tc>
      </w:tr>
    </w:tbl>
    <w:p w14:paraId="716D05F0">
      <w:pPr>
        <w:rPr>
          <w:rFonts w:hint="eastAsia" w:ascii="Times New Roman" w:hAnsi="Times New Roman" w:cs="Times New Roman"/>
          <w:b/>
          <w:bCs/>
          <w:color w:val="auto"/>
          <w:sz w:val="22"/>
          <w:szCs w:val="36"/>
          <w:highlight w:val="none"/>
          <w:lang w:val="en-US" w:eastAsia="zh-CN"/>
        </w:rPr>
      </w:pPr>
      <w:bookmarkStart w:id="22" w:name="OLE_LINK20"/>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2D03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0EB886E4">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70764F16">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1645EF4C">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6DBA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7201390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2E8393A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7271D5A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"Computer-assisted randomization was used according to the instructions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at www.randomization.com. Women were allocated at random to the study</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group or the control group on the day of the study."</w:t>
            </w:r>
          </w:p>
        </w:tc>
      </w:tr>
      <w:tr w14:paraId="38EF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29DA0D4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3912582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vAlign w:val="top"/>
          </w:tcPr>
          <w:p w14:paraId="43B933CE">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"We did not use </w:t>
            </w:r>
            <w:bookmarkStart w:id="23" w:name="OLE_LINK58"/>
            <w:r>
              <w:rPr>
                <w:rFonts w:hint="default" w:ascii="Times New Roman" w:hAnsi="Times New Roman" w:cs="Times New Roman"/>
                <w:b w:val="0"/>
                <w:bCs w:val="0"/>
                <w:color w:val="auto"/>
                <w:sz w:val="22"/>
                <w:szCs w:val="36"/>
                <w:highlight w:val="none"/>
                <w:vertAlign w:val="baseline"/>
                <w:lang w:val="en-US" w:eastAsia="zh-CN"/>
              </w:rPr>
              <w:t>the sealed opaque envelopes</w:t>
            </w:r>
            <w:bookmarkEnd w:id="23"/>
            <w:r>
              <w:rPr>
                <w:rFonts w:hint="default" w:ascii="Times New Roman" w:hAnsi="Times New Roman" w:cs="Times New Roman"/>
                <w:b w:val="0"/>
                <w:bCs w:val="0"/>
                <w:color w:val="auto"/>
                <w:sz w:val="22"/>
                <w:szCs w:val="36"/>
                <w:highlight w:val="none"/>
                <w:vertAlign w:val="baseline"/>
                <w:lang w:val="en-US" w:eastAsia="zh-CN"/>
              </w:rPr>
              <w:t>." - personal communication.</w:t>
            </w:r>
          </w:p>
        </w:tc>
      </w:tr>
      <w:tr w14:paraId="0AB4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4CA5FF20">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23B99F6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768ED836">
            <w:pPr>
              <w:widowControl w:val="0"/>
              <w:rPr>
                <w:rFonts w:hint="default" w:ascii="Times New Roman" w:hAnsi="Times New Roman" w:cs="Times New Roman"/>
                <w:b w:val="0"/>
                <w:bCs w:val="0"/>
                <w:color w:val="auto"/>
                <w:sz w:val="22"/>
                <w:szCs w:val="36"/>
                <w:highlight w:val="none"/>
                <w:vertAlign w:val="baseline"/>
                <w:lang w:val="en-US" w:eastAsia="zh-CN"/>
              </w:rPr>
            </w:pPr>
            <w:bookmarkStart w:id="24" w:name="OLE_LINK16"/>
            <w:r>
              <w:rPr>
                <w:rFonts w:hint="default" w:ascii="Times New Roman" w:hAnsi="Times New Roman" w:cs="Times New Roman"/>
                <w:b w:val="0"/>
                <w:bCs w:val="0"/>
                <w:color w:val="auto"/>
                <w:sz w:val="22"/>
                <w:szCs w:val="36"/>
                <w:highlight w:val="none"/>
                <w:vertAlign w:val="baseline"/>
                <w:lang w:val="en-US" w:eastAsia="zh-CN"/>
              </w:rPr>
              <w:t>High risk</w:t>
            </w:r>
            <w:bookmarkEnd w:id="24"/>
          </w:p>
        </w:tc>
        <w:tc>
          <w:tcPr>
            <w:tcW w:w="5342" w:type="dxa"/>
            <w:tcBorders>
              <w:right w:val="nil"/>
            </w:tcBorders>
          </w:tcPr>
          <w:p w14:paraId="77DBA37B">
            <w:pPr>
              <w:widowControl w:val="0"/>
              <w:rPr>
                <w:rFonts w:hint="default" w:ascii="Times New Roman" w:hAnsi="Times New Roman" w:cs="Times New Roman"/>
                <w:b w:val="0"/>
                <w:bCs w:val="0"/>
                <w:color w:val="auto"/>
                <w:sz w:val="22"/>
                <w:szCs w:val="36"/>
                <w:highlight w:val="none"/>
                <w:vertAlign w:val="baseline"/>
                <w:lang w:val="en-US" w:eastAsia="zh-CN"/>
              </w:rPr>
            </w:pPr>
            <w:bookmarkStart w:id="25" w:name="OLE_LINK29"/>
            <w:r>
              <w:rPr>
                <w:rFonts w:hint="eastAsia" w:ascii="Times New Roman" w:hAnsi="Times New Roman" w:cs="Times New Roman"/>
                <w:b w:val="0"/>
                <w:bCs w:val="0"/>
                <w:color w:val="auto"/>
                <w:sz w:val="22"/>
                <w:szCs w:val="36"/>
                <w:highlight w:val="none"/>
                <w:vertAlign w:val="baseline"/>
                <w:lang w:val="en-US" w:eastAsia="zh-CN"/>
              </w:rPr>
              <w:t>"Patients were not blind to treatment but the doctors managing the fertility treatment were blind." - personal communication.</w:t>
            </w:r>
            <w:bookmarkEnd w:id="25"/>
          </w:p>
        </w:tc>
      </w:tr>
      <w:tr w14:paraId="12AA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3BCE865">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55D9D2A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0A201F7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tcPr>
          <w:p w14:paraId="4DD8C0B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"Patients were not blind to treatment but the doctors managing the fertility treatment were blind." - personal communication.</w:t>
            </w:r>
          </w:p>
        </w:tc>
      </w:tr>
      <w:tr w14:paraId="568C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BFE617E">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043DD5B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42412C5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tcPr>
          <w:p w14:paraId="3B50B37F">
            <w:pPr>
              <w:widowControl w:val="0"/>
              <w:rPr>
                <w:rFonts w:hint="default" w:ascii="Times New Roman" w:hAnsi="Times New Roman" w:cs="Times New Roman"/>
                <w:b w:val="0"/>
                <w:bCs w:val="0"/>
                <w:color w:val="auto"/>
                <w:sz w:val="22"/>
                <w:szCs w:val="36"/>
                <w:highlight w:val="none"/>
                <w:vertAlign w:val="baseline"/>
                <w:lang w:val="en-US" w:eastAsia="zh-CN"/>
              </w:rPr>
            </w:pPr>
            <w:bookmarkStart w:id="26" w:name="OLE_LINK17"/>
            <w:r>
              <w:rPr>
                <w:rFonts w:hint="default" w:ascii="Times New Roman" w:hAnsi="Times New Roman" w:cs="Times New Roman"/>
                <w:b w:val="0"/>
                <w:bCs w:val="0"/>
                <w:color w:val="auto"/>
                <w:sz w:val="22"/>
                <w:szCs w:val="36"/>
                <w:highlight w:val="none"/>
                <w:vertAlign w:val="baseline"/>
                <w:lang w:val="en-US" w:eastAsia="zh-CN"/>
              </w:rPr>
              <w:t>Exclusions</w:t>
            </w:r>
            <w:bookmarkEnd w:id="26"/>
            <w:r>
              <w:rPr>
                <w:rFonts w:hint="default" w:ascii="Times New Roman" w:hAnsi="Times New Roman" w:cs="Times New Roman"/>
                <w:b w:val="0"/>
                <w:bCs w:val="0"/>
                <w:color w:val="auto"/>
                <w:sz w:val="22"/>
                <w:szCs w:val="36"/>
                <w:highlight w:val="none"/>
                <w:vertAlign w:val="baseline"/>
                <w:lang w:val="en-US" w:eastAsia="zh-CN"/>
              </w:rPr>
              <w:t xml:space="preserve"> were made at the end of DHEA administration, so that not all randomised women were analysed.</w:t>
            </w:r>
          </w:p>
        </w:tc>
      </w:tr>
      <w:tr w14:paraId="52CA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E53F82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4469814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45790F1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 Lack</w:t>
            </w:r>
            <w:r>
              <w:rPr>
                <w:rFonts w:hint="eastAsia" w:ascii="Times New Roman" w:hAnsi="Times New Roman" w:cs="Times New Roman"/>
                <w:b w:val="0"/>
                <w:bCs w:val="0"/>
                <w:color w:val="auto"/>
                <w:sz w:val="22"/>
                <w:szCs w:val="36"/>
                <w:highlight w:val="none"/>
                <w:vertAlign w:val="baseline"/>
                <w:lang w:val="en-US" w:eastAsia="zh-CN"/>
              </w:rPr>
              <w:t xml:space="preserve"> of</w:t>
            </w:r>
            <w:r>
              <w:rPr>
                <w:rFonts w:hint="default" w:ascii="Times New Roman" w:hAnsi="Times New Roman" w:cs="Times New Roman"/>
                <w:b w:val="0"/>
                <w:bCs w:val="0"/>
                <w:color w:val="auto"/>
                <w:sz w:val="22"/>
                <w:szCs w:val="36"/>
                <w:highlight w:val="none"/>
                <w:vertAlign w:val="baseline"/>
                <w:lang w:val="en-US" w:eastAsia="zh-CN"/>
              </w:rPr>
              <w:t xml:space="preserve"> clinical trial registration </w:t>
            </w:r>
            <w:r>
              <w:rPr>
                <w:rFonts w:hint="eastAsia" w:ascii="Times New Roman" w:hAnsi="Times New Roman" w:cs="Times New Roman"/>
                <w:b w:val="0"/>
                <w:bCs w:val="0"/>
                <w:color w:val="auto"/>
                <w:sz w:val="22"/>
                <w:szCs w:val="36"/>
                <w:highlight w:val="none"/>
                <w:vertAlign w:val="baseline"/>
                <w:lang w:val="en-US" w:eastAsia="zh-CN"/>
              </w:rPr>
              <w:t xml:space="preserve">and </w:t>
            </w:r>
            <w:r>
              <w:rPr>
                <w:rFonts w:hint="default" w:ascii="Times New Roman" w:hAnsi="Times New Roman" w:cs="Times New Roman"/>
                <w:b w:val="0"/>
                <w:bCs w:val="0"/>
                <w:color w:val="auto"/>
                <w:sz w:val="22"/>
                <w:szCs w:val="36"/>
                <w:highlight w:val="none"/>
                <w:vertAlign w:val="baseline"/>
                <w:lang w:val="en-US" w:eastAsia="zh-CN"/>
              </w:rPr>
              <w:t>LBR</w:t>
            </w:r>
            <w:r>
              <w:rPr>
                <w:rFonts w:hint="eastAsia" w:ascii="Times New Roman" w:hAnsi="Times New Roman" w:cs="Times New Roman"/>
                <w:b w:val="0"/>
                <w:bCs w:val="0"/>
                <w:color w:val="auto"/>
                <w:sz w:val="22"/>
                <w:szCs w:val="36"/>
                <w:highlight w:val="none"/>
                <w:vertAlign w:val="baseline"/>
                <w:lang w:val="en-US" w:eastAsia="zh-CN"/>
              </w:rPr>
              <w:t>/ongoing pregnancy rate.</w:t>
            </w:r>
          </w:p>
        </w:tc>
      </w:tr>
      <w:tr w14:paraId="5CB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154F3B6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tcPr>
          <w:p w14:paraId="5410D6B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tcPr>
          <w:p w14:paraId="22237F9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22"/>
    </w:tbl>
    <w:p w14:paraId="5139FB49">
      <w:pPr>
        <w:rPr>
          <w:rFonts w:hint="default" w:ascii="Times New Roman" w:hAnsi="Times New Roman" w:cs="Times New Roman"/>
          <w:b/>
          <w:bCs/>
          <w:color w:val="auto"/>
          <w:sz w:val="22"/>
          <w:szCs w:val="36"/>
          <w:highlight w:val="none"/>
          <w:lang w:val="en-US" w:eastAsia="zh-CN"/>
        </w:rPr>
      </w:pPr>
    </w:p>
    <w:p w14:paraId="5DE2EB41">
      <w:pPr>
        <w:rPr>
          <w:rFonts w:hint="default" w:ascii="Times New Roman" w:hAnsi="Times New Roman" w:cs="Times New Roman"/>
          <w:b/>
          <w:bCs/>
          <w:color w:val="auto"/>
          <w:sz w:val="22"/>
          <w:szCs w:val="36"/>
          <w:highlight w:val="none"/>
          <w:lang w:val="en-US" w:eastAsia="zh-CN"/>
        </w:rPr>
      </w:pPr>
      <w:bookmarkStart w:id="27" w:name="OLE_LINK19"/>
      <w:r>
        <w:rPr>
          <w:rFonts w:hint="default" w:ascii="Times New Roman" w:hAnsi="Times New Roman" w:cs="Times New Roman"/>
          <w:b/>
          <w:bCs/>
          <w:color w:val="auto"/>
          <w:sz w:val="22"/>
          <w:szCs w:val="36"/>
          <w:highlight w:val="none"/>
          <w:lang w:val="en-US" w:eastAsia="zh-CN"/>
        </w:rPr>
        <w:t>Yeung 2014</w:t>
      </w:r>
    </w:p>
    <w:bookmarkEnd w:id="27"/>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2773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2394EA8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2119BB5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Subjects were recruited between 10/2010 and 8/2012 in a university-affiliated reproductive unit and</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randomized into DHEA (N = 16) and placebo groups (N = 16) according to a computer generated randomization list. DHEA or placebo were started 12 weeks prior to IVF. Monthly ovarian reserve markers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(AFC, AMH, FSH), ovarian response to low dose ovarian stimulation in the third month and also subsequent IVF outcomes were compared.</w:t>
            </w:r>
          </w:p>
        </w:tc>
      </w:tr>
      <w:tr w14:paraId="7ACC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23ECDA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0B7F4A25">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 xml:space="preserve">Consecutive women attending the Subfertility Clinic at the Department of Obstetrics and Gynaecology, University of Hong Kong, who were indicated for IVF treatment were screened and recruited. </w:t>
            </w:r>
          </w:p>
          <w:p w14:paraId="609C79B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Inclusion criteria: (1) age ≤40 years, (2) subfertility &gt; 1 year, and (3) expected poor ovarian response defined as AFC &lt; 5.</w:t>
            </w:r>
          </w:p>
          <w:p w14:paraId="091801E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Exclusion criteria: (1) had a history of ovarian cystectomy or oophorectomy, (2) had received cytotoxic chemotherapy, (3) had received pelvic irradiation, or (4) had a history of taking testosterone or DHEA</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supplementation.</w:t>
            </w:r>
          </w:p>
        </w:tc>
      </w:tr>
      <w:tr w14:paraId="227E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B39CC0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7C5D035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Either DHEA, one 25 mg capsule, three times a day (i.e., 75 mg per day), or matching placebo capsules were started after baseline investigations.</w:t>
            </w:r>
          </w:p>
          <w:p w14:paraId="473A684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At week 12, the women were treated with ovarian stimulation under the fixed antagonist protocol.</w:t>
            </w:r>
          </w:p>
        </w:tc>
      </w:tr>
      <w:tr w14:paraId="79B5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ABD89F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4BCC730A">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To assess whether DHEA supplementation in poor responders can improve ovarian reserve markers,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ovarian response to stimulation with a standard dose of gonadotrophin or outcomes in IVF treatment</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AFC; serum E</w:t>
            </w:r>
            <w:r>
              <w:rPr>
                <w:rFonts w:hint="default" w:ascii="Times New Roman" w:hAnsi="Times New Roman" w:cs="Times New Roman"/>
                <w:b w:val="0"/>
                <w:bCs w:val="0"/>
                <w:color w:val="auto"/>
                <w:sz w:val="22"/>
                <w:szCs w:val="36"/>
                <w:highlight w:val="none"/>
                <w:vertAlign w:val="subscript"/>
                <w:lang w:val="en-US" w:eastAsia="zh-CN"/>
              </w:rPr>
              <w:t>2</w:t>
            </w:r>
            <w:r>
              <w:rPr>
                <w:rFonts w:hint="default" w:ascii="Times New Roman" w:hAnsi="Times New Roman" w:cs="Times New Roman"/>
                <w:b w:val="0"/>
                <w:bCs w:val="0"/>
                <w:color w:val="auto"/>
                <w:sz w:val="22"/>
                <w:szCs w:val="36"/>
                <w:highlight w:val="none"/>
                <w:vertAlign w:val="baseline"/>
                <w:lang w:val="en-US" w:eastAsia="zh-CN"/>
              </w:rPr>
              <w:t>; gonadotrophins used; Number of oocytes retrieved; number of fertilized embryos;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transferable embryos; ongoing pregnancy rate; cycle cancellation; clinical pregnancy rate; live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birth rate</w:t>
            </w:r>
            <w:r>
              <w:rPr>
                <w:rFonts w:hint="eastAsia" w:ascii="Times New Roman" w:hAnsi="Times New Roman" w:cs="Times New Roman"/>
                <w:b w:val="0"/>
                <w:bCs w:val="0"/>
                <w:color w:val="auto"/>
                <w:sz w:val="22"/>
                <w:szCs w:val="36"/>
                <w:highlight w:val="none"/>
                <w:vertAlign w:val="baseline"/>
                <w:lang w:val="en-US" w:eastAsia="zh-CN"/>
              </w:rPr>
              <w:t>; miscarriage</w:t>
            </w:r>
          </w:p>
          <w:p w14:paraId="6A92C8E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"One patient from the DHEA group discontinued the intervention before week 4 complaining of increased acne."</w:t>
            </w:r>
          </w:p>
        </w:tc>
      </w:tr>
      <w:tr w14:paraId="41A3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2184AD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52F4B56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study was approved by the institutional review board</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of the University of Hong Kong/Hospital Authority Hong Kong West Cluster and was registered under Hong Kong Clinical Trial Center (HKCTR-1149) and ClinicalTrials.gov (NCT01915186). ”</w:t>
            </w:r>
          </w:p>
        </w:tc>
      </w:tr>
    </w:tbl>
    <w:p w14:paraId="1DB9D13D">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72A2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55F809BF">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481E6589">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082B694B">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6F0D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2120A5C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61277649">
            <w:pPr>
              <w:widowControl w:val="0"/>
              <w:rPr>
                <w:rFonts w:hint="default" w:ascii="Times New Roman" w:hAnsi="Times New Roman" w:cs="Times New Roman"/>
                <w:b w:val="0"/>
                <w:bCs w:val="0"/>
                <w:color w:val="auto"/>
                <w:sz w:val="22"/>
                <w:szCs w:val="36"/>
                <w:highlight w:val="none"/>
                <w:vertAlign w:val="baseline"/>
                <w:lang w:val="en-US" w:eastAsia="zh-CN"/>
              </w:rPr>
            </w:pPr>
            <w:bookmarkStart w:id="28" w:name="OLE_LINK21"/>
            <w:r>
              <w:rPr>
                <w:rFonts w:hint="eastAsia" w:ascii="Times New Roman" w:hAnsi="Times New Roman" w:cs="Times New Roman"/>
                <w:b w:val="0"/>
                <w:bCs w:val="0"/>
                <w:color w:val="auto"/>
                <w:sz w:val="22"/>
                <w:szCs w:val="36"/>
                <w:highlight w:val="none"/>
                <w:vertAlign w:val="baseline"/>
                <w:lang w:val="en-US" w:eastAsia="zh-CN"/>
              </w:rPr>
              <w:t>Low risk</w:t>
            </w:r>
            <w:bookmarkEnd w:id="28"/>
          </w:p>
        </w:tc>
        <w:tc>
          <w:tcPr>
            <w:tcW w:w="5342" w:type="dxa"/>
            <w:tcBorders>
              <w:right w:val="nil"/>
            </w:tcBorders>
          </w:tcPr>
          <w:p w14:paraId="4720DC5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"Women were randomized in a 1:1 ratio according to a computer-generated</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randomization list generated by a research nurse not involved in the subjects'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clinical management."</w:t>
            </w:r>
          </w:p>
        </w:tc>
      </w:tr>
      <w:tr w14:paraId="3267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7A7CAFC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04E65267">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762A0CE9">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"allocated in sealed, opaque, sequentially numbered envelopes."</w:t>
            </w:r>
          </w:p>
        </w:tc>
      </w:tr>
      <w:tr w14:paraId="42C4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3349454">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04D9B3F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3D8AC7B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tcPr>
          <w:p w14:paraId="41FB8CF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"The physicians and research nurses involved and the study participants were all blinded to the assignment".</w:t>
            </w:r>
          </w:p>
        </w:tc>
      </w:tr>
      <w:tr w14:paraId="68EC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A7A57E4">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1DEBBE3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4DBE12E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5BF499F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"The physicians and research nurses involved and the study participants were all blinded to the assignment".</w:t>
            </w:r>
          </w:p>
        </w:tc>
      </w:tr>
      <w:tr w14:paraId="7770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92AFD0F">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6A475A0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24E884D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tcPr>
          <w:p w14:paraId="0887D1E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randomised women were analysed.</w:t>
            </w:r>
          </w:p>
        </w:tc>
      </w:tr>
      <w:tr w14:paraId="4FB5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4B4A5F0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tcPr>
          <w:p w14:paraId="287DC56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5C41485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authors have reported all proposed outcomes.</w:t>
            </w:r>
          </w:p>
        </w:tc>
      </w:tr>
      <w:tr w14:paraId="2028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B9E5F3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tcPr>
          <w:p w14:paraId="50194BB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tcPr>
          <w:p w14:paraId="3B857C2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4705618C">
      <w:pPr>
        <w:rPr>
          <w:rFonts w:hint="default" w:ascii="Times New Roman" w:hAnsi="Times New Roman" w:cs="Times New Roman"/>
          <w:b/>
          <w:bCs/>
          <w:color w:val="auto"/>
          <w:sz w:val="22"/>
          <w:szCs w:val="36"/>
          <w:highlight w:val="none"/>
          <w:lang w:val="en-US" w:eastAsia="zh-CN"/>
        </w:rPr>
      </w:pPr>
    </w:p>
    <w:p w14:paraId="1B2812E0">
      <w:pPr>
        <w:rPr>
          <w:rFonts w:hint="eastAsia" w:ascii="Times New Roman" w:hAnsi="Times New Roman" w:cs="Times New Roman"/>
          <w:b/>
          <w:bCs/>
          <w:color w:val="auto"/>
          <w:sz w:val="22"/>
          <w:szCs w:val="36"/>
          <w:highlight w:val="none"/>
          <w:lang w:val="en-US" w:eastAsia="zh-CN"/>
        </w:rPr>
      </w:pPr>
      <w:r>
        <w:rPr>
          <w:rFonts w:hint="default" w:ascii="Times New Roman" w:hAnsi="Times New Roman" w:cs="Times New Roman"/>
          <w:b/>
          <w:bCs/>
          <w:color w:val="auto"/>
          <w:sz w:val="22"/>
          <w:szCs w:val="36"/>
          <w:highlight w:val="none"/>
          <w:lang w:val="en-US" w:eastAsia="zh-CN"/>
        </w:rPr>
        <w:t>Zhang</w:t>
      </w:r>
      <w:r>
        <w:rPr>
          <w:rFonts w:hint="eastAsia" w:ascii="Times New Roman" w:hAnsi="Times New Roman" w:cs="Times New Roman"/>
          <w:b/>
          <w:bCs/>
          <w:color w:val="auto"/>
          <w:sz w:val="22"/>
          <w:szCs w:val="36"/>
          <w:highlight w:val="none"/>
          <w:lang w:val="en-US" w:eastAsia="zh-CN"/>
        </w:rPr>
        <w:t xml:space="preserve"> 2014</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7946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55B4703C">
            <w:pPr>
              <w:widowControl w:val="0"/>
              <w:rPr>
                <w:rFonts w:hint="default" w:ascii="Times New Roman" w:hAnsi="Times New Roman" w:cs="Times New Roman"/>
                <w:b w:val="0"/>
                <w:bCs w:val="0"/>
                <w:color w:val="auto"/>
                <w:sz w:val="22"/>
                <w:szCs w:val="36"/>
                <w:highlight w:val="none"/>
                <w:vertAlign w:val="baseline"/>
                <w:lang w:val="en-US" w:eastAsia="zh-CN"/>
              </w:rPr>
            </w:pPr>
            <w:bookmarkStart w:id="29" w:name="OLE_LINK15"/>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0E60326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 total of 105 patients fulfilled the selection criteria were recruited in our present study. According to a computer</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generated randomization list by a nurse, 52 patients were randomly allocated to the DHEA group who received DHEA and 53 patients to the control group who entered IVF cycles directly.</w:t>
            </w:r>
          </w:p>
        </w:tc>
      </w:tr>
      <w:tr w14:paraId="0325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DECA14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0D90AEF0">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105 women with diminished ovarian reserve. DOR was defined as:1) an elevated day 3 FSH level ≥ 10 mIU/mL or FSH/LH &gt; 3; 2) the number of antral follicle</w:t>
            </w:r>
            <w:r>
              <w:rPr>
                <w:rFonts w:hint="eastAsia" w:ascii="Times New Roman" w:hAnsi="Times New Roman" w:cs="Times New Roman"/>
                <w:b w:val="0"/>
                <w:bCs w:val="0"/>
                <w:color w:val="auto"/>
                <w:sz w:val="22"/>
                <w:szCs w:val="36"/>
                <w:highlight w:val="none"/>
                <w:vertAlign w:val="baseline"/>
                <w:lang w:val="en-US" w:eastAsia="zh-CN"/>
              </w:rPr>
              <w:t xml:space="preserve"> count less than five; 3) a previous poor ovarian response: retrieval of fewer than five oocytes or cycle cancellation due to poor response to ovarian stimulation. A diagnosed with DOR was reached if they fulfill any of the above three. </w:t>
            </w:r>
          </w:p>
          <w:p w14:paraId="7548D57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Patients were excluded if they had any of the following: 1) a history of ovarian cystectomy or oophorectomy; 2) a diagnosis of endometriosis; 3) a history of DHEA supplementation or hormonal replacement therapy.</w:t>
            </w:r>
          </w:p>
        </w:tc>
      </w:tr>
      <w:tr w14:paraId="3A77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DC31FF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297374E2">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25 mg </w:t>
            </w:r>
            <w:r>
              <w:rPr>
                <w:rFonts w:hint="eastAsia" w:ascii="Times New Roman" w:hAnsi="Times New Roman" w:cs="Times New Roman"/>
                <w:b w:val="0"/>
                <w:bCs w:val="0"/>
                <w:color w:val="auto"/>
                <w:sz w:val="22"/>
                <w:szCs w:val="36"/>
                <w:highlight w:val="none"/>
                <w:vertAlign w:val="baseline"/>
                <w:lang w:val="en-US" w:eastAsia="zh-CN"/>
              </w:rPr>
              <w:t xml:space="preserve">DHEA </w:t>
            </w:r>
            <w:r>
              <w:rPr>
                <w:rFonts w:hint="default" w:ascii="Times New Roman" w:hAnsi="Times New Roman" w:cs="Times New Roman"/>
                <w:b w:val="0"/>
                <w:bCs w:val="0"/>
                <w:color w:val="auto"/>
                <w:sz w:val="22"/>
                <w:szCs w:val="36"/>
                <w:highlight w:val="none"/>
                <w:vertAlign w:val="baseline"/>
                <w:lang w:val="en-US" w:eastAsia="zh-CN"/>
              </w:rPr>
              <w:t>three times per day for three consecutive menstrual cycles prior to IVF cycles</w:t>
            </w:r>
            <w:r>
              <w:rPr>
                <w:rFonts w:hint="eastAsia" w:ascii="Times New Roman" w:hAnsi="Times New Roman" w:cs="Times New Roman"/>
                <w:b w:val="0"/>
                <w:bCs w:val="0"/>
                <w:color w:val="auto"/>
                <w:sz w:val="22"/>
                <w:szCs w:val="36"/>
                <w:highlight w:val="none"/>
                <w:vertAlign w:val="baseline"/>
                <w:lang w:val="en-US" w:eastAsia="zh-CN"/>
              </w:rPr>
              <w:t>.</w:t>
            </w:r>
          </w:p>
          <w:p w14:paraId="3107051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Microflare stimulation</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protocol IVF</w:t>
            </w:r>
            <w:r>
              <w:rPr>
                <w:rFonts w:hint="eastAsia" w:ascii="Times New Roman" w:hAnsi="Times New Roman" w:cs="Times New Roman"/>
                <w:b w:val="0"/>
                <w:bCs w:val="0"/>
                <w:color w:val="auto"/>
                <w:sz w:val="22"/>
                <w:szCs w:val="36"/>
                <w:highlight w:val="none"/>
                <w:vertAlign w:val="baseline"/>
                <w:lang w:val="en-US" w:eastAsia="zh-CN"/>
              </w:rPr>
              <w:t xml:space="preserve"> was used</w:t>
            </w:r>
            <w:r>
              <w:rPr>
                <w:rFonts w:hint="default" w:ascii="Times New Roman" w:hAnsi="Times New Roman" w:cs="Times New Roman"/>
                <w:b w:val="0"/>
                <w:bCs w:val="0"/>
                <w:color w:val="auto"/>
                <w:sz w:val="22"/>
                <w:szCs w:val="36"/>
                <w:highlight w:val="none"/>
                <w:vertAlign w:val="baseline"/>
                <w:lang w:val="en-US" w:eastAsia="zh-CN"/>
              </w:rPr>
              <w:t>.</w:t>
            </w:r>
          </w:p>
        </w:tc>
      </w:tr>
      <w:tr w14:paraId="3393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2134DD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4AF7A31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primary outcome measures were follicular fluid BMP- 15, GDF-9 and serum AMH, FSH, E</w:t>
            </w:r>
            <w:r>
              <w:rPr>
                <w:rFonts w:hint="default" w:ascii="Times New Roman" w:hAnsi="Times New Roman" w:cs="Times New Roman"/>
                <w:b w:val="0"/>
                <w:bCs w:val="0"/>
                <w:color w:val="auto"/>
                <w:sz w:val="22"/>
                <w:szCs w:val="36"/>
                <w:highlight w:val="none"/>
                <w:vertAlign w:val="subscript"/>
                <w:lang w:val="en-US" w:eastAsia="zh-CN"/>
              </w:rPr>
              <w:t>2</w:t>
            </w:r>
            <w:r>
              <w:rPr>
                <w:rFonts w:hint="default" w:ascii="Times New Roman" w:hAnsi="Times New Roman" w:cs="Times New Roman"/>
                <w:b w:val="0"/>
                <w:bCs w:val="0"/>
                <w:color w:val="auto"/>
                <w:sz w:val="22"/>
                <w:szCs w:val="36"/>
                <w:highlight w:val="none"/>
                <w:vertAlign w:val="baseline"/>
                <w:lang w:val="en-US" w:eastAsia="zh-CN"/>
              </w:rPr>
              <w:t xml:space="preserve"> levels.</w:t>
            </w:r>
          </w:p>
          <w:p w14:paraId="3839F82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Secondary outcome measures were the number of oocytes retrieved, MII oocytes, and embryos transferred; </w:t>
            </w:r>
            <w:bookmarkStart w:id="30" w:name="OLE_LINK14"/>
            <w:r>
              <w:rPr>
                <w:rFonts w:hint="default" w:ascii="Times New Roman" w:hAnsi="Times New Roman" w:cs="Times New Roman"/>
                <w:b w:val="0"/>
                <w:bCs w:val="0"/>
                <w:color w:val="auto"/>
                <w:sz w:val="22"/>
                <w:szCs w:val="36"/>
                <w:highlight w:val="none"/>
                <w:vertAlign w:val="baseline"/>
                <w:lang w:val="en-US" w:eastAsia="zh-CN"/>
              </w:rPr>
              <w:t>the accumulated score of embryos</w:t>
            </w:r>
            <w:bookmarkEnd w:id="30"/>
            <w:r>
              <w:rPr>
                <w:rFonts w:hint="default" w:ascii="Times New Roman" w:hAnsi="Times New Roman" w:cs="Times New Roman"/>
                <w:b w:val="0"/>
                <w:bCs w:val="0"/>
                <w:color w:val="auto"/>
                <w:sz w:val="22"/>
                <w:szCs w:val="36"/>
                <w:highlight w:val="none"/>
                <w:vertAlign w:val="baseline"/>
                <w:lang w:val="en-US" w:eastAsia="zh-CN"/>
              </w:rPr>
              <w:t>.</w:t>
            </w:r>
          </w:p>
        </w:tc>
      </w:tr>
      <w:tr w14:paraId="5E72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7E7DC0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74EECFF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Trial registration: ChiCTR-TRC-14005002</w:t>
            </w:r>
          </w:p>
        </w:tc>
      </w:tr>
      <w:bookmarkEnd w:id="29"/>
    </w:tbl>
    <w:p w14:paraId="37C96DA2">
      <w:pPr>
        <w:rPr>
          <w:rFonts w:hint="eastAsia" w:ascii="Times New Roman" w:hAnsi="Times New Roman" w:cs="Times New Roman"/>
          <w:b/>
          <w:bCs/>
          <w:color w:val="auto"/>
          <w:sz w:val="22"/>
          <w:szCs w:val="36"/>
          <w:highlight w:val="none"/>
          <w:lang w:val="en-US" w:eastAsia="zh-CN"/>
        </w:rPr>
      </w:pPr>
      <w:bookmarkStart w:id="31" w:name="OLE_LINK23"/>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14A2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466C687A">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0B239155">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0E5C809D">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73F3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6E8CE00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5C40EFA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CA300F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"According to a computer-generated randomization list by a nurse".</w:t>
            </w:r>
          </w:p>
        </w:tc>
      </w:tr>
      <w:tr w14:paraId="0D30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5A43352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3711961C">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178353EE">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bookmarkStart w:id="32" w:name="OLE_LINK30"/>
            <w:r>
              <w:rPr>
                <w:rFonts w:hint="default" w:ascii="Times New Roman" w:hAnsi="Times New Roman" w:cs="Times New Roman"/>
                <w:b w:val="0"/>
                <w:bCs w:val="0"/>
                <w:color w:val="auto"/>
                <w:sz w:val="22"/>
                <w:szCs w:val="36"/>
                <w:highlight w:val="none"/>
                <w:vertAlign w:val="baseline"/>
                <w:lang w:val="en-US" w:eastAsia="zh-CN"/>
              </w:rPr>
              <w:t>"This was not a blinded study. Both the patients and the doctors knew which</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group the patients were in."</w:t>
            </w:r>
            <w:bookmarkEnd w:id="32"/>
          </w:p>
        </w:tc>
      </w:tr>
      <w:tr w14:paraId="49BD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14D729E5">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64297C5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420C5D5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tcPr>
          <w:p w14:paraId="59A40A8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was not a blinded study. Both the patients and the doctors knew which</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group the patients were in."</w:t>
            </w:r>
          </w:p>
        </w:tc>
      </w:tr>
      <w:tr w14:paraId="155D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20ED31E">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644F30E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137FA3A1">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vAlign w:val="top"/>
          </w:tcPr>
          <w:p w14:paraId="13B3145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was not a blinded study. Both the patients and the doctors knew which</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group the patients were in."</w:t>
            </w:r>
          </w:p>
        </w:tc>
      </w:tr>
      <w:tr w14:paraId="2149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08AF483">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2CF4DC5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1361AA75">
            <w:pPr>
              <w:widowControl w:val="0"/>
              <w:rPr>
                <w:rFonts w:hint="default" w:ascii="Times New Roman" w:hAnsi="Times New Roman" w:cs="Times New Roman"/>
                <w:b w:val="0"/>
                <w:bCs w:val="0"/>
                <w:color w:val="auto"/>
                <w:sz w:val="22"/>
                <w:szCs w:val="36"/>
                <w:highlight w:val="none"/>
                <w:vertAlign w:val="baseline"/>
                <w:lang w:val="en-US" w:eastAsia="zh-CN"/>
              </w:rPr>
            </w:pPr>
            <w:bookmarkStart w:id="33" w:name="OLE_LINK32"/>
            <w:r>
              <w:rPr>
                <w:rFonts w:hint="default" w:ascii="Times New Roman" w:hAnsi="Times New Roman" w:cs="Times New Roman"/>
                <w:b w:val="0"/>
                <w:bCs w:val="0"/>
                <w:color w:val="auto"/>
                <w:sz w:val="22"/>
                <w:szCs w:val="36"/>
                <w:highlight w:val="none"/>
                <w:vertAlign w:val="baseline"/>
                <w:lang w:val="en-US" w:eastAsia="zh-CN"/>
              </w:rPr>
              <w:t>Unclear risk</w:t>
            </w:r>
            <w:bookmarkEnd w:id="33"/>
          </w:p>
        </w:tc>
        <w:tc>
          <w:tcPr>
            <w:tcW w:w="5342" w:type="dxa"/>
            <w:tcBorders>
              <w:right w:val="nil"/>
            </w:tcBorders>
          </w:tcPr>
          <w:p w14:paraId="49FCB06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participants accounted for, but 9 women withdrew for personal reasons, all</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from the treatment group. Authors report: "During the pretreatment of DHEA,</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5 of them became bored and asked for IVF treatment. 2 of them went to other</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Reproductive Centers. And the other two did not give us any reason."</w:t>
            </w:r>
          </w:p>
        </w:tc>
      </w:tr>
      <w:tr w14:paraId="0031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84210B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0BF0D0E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27F3F2A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Authors confirm that participants were not followed to live birth, only to clinical pregnancy. And per email reported miscarriage rates also.</w:t>
            </w:r>
          </w:p>
        </w:tc>
      </w:tr>
      <w:tr w14:paraId="0A71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12357D1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1A8C6068">
            <w:pPr>
              <w:widowControl w:val="0"/>
              <w:rPr>
                <w:rFonts w:hint="default" w:ascii="Times New Roman" w:hAnsi="Times New Roman" w:cs="Times New Roman"/>
                <w:b w:val="0"/>
                <w:bCs w:val="0"/>
                <w:color w:val="auto"/>
                <w:sz w:val="22"/>
                <w:szCs w:val="36"/>
                <w:highlight w:val="none"/>
                <w:vertAlign w:val="baseline"/>
                <w:lang w:val="en-US" w:eastAsia="zh-CN"/>
              </w:rPr>
            </w:pPr>
            <w:bookmarkStart w:id="34" w:name="OLE_LINK31"/>
            <w:r>
              <w:rPr>
                <w:rFonts w:hint="default" w:ascii="Times New Roman" w:hAnsi="Times New Roman" w:cs="Times New Roman"/>
                <w:b w:val="0"/>
                <w:bCs w:val="0"/>
                <w:color w:val="auto"/>
                <w:sz w:val="22"/>
                <w:szCs w:val="36"/>
                <w:highlight w:val="none"/>
                <w:vertAlign w:val="baseline"/>
                <w:lang w:val="en-US" w:eastAsia="zh-CN"/>
              </w:rPr>
              <w:t>Unclear risk</w:t>
            </w:r>
            <w:bookmarkEnd w:id="34"/>
          </w:p>
        </w:tc>
        <w:tc>
          <w:tcPr>
            <w:tcW w:w="5342" w:type="dxa"/>
            <w:tcBorders>
              <w:right w:val="nil"/>
            </w:tcBorders>
            <w:vAlign w:val="top"/>
          </w:tcPr>
          <w:p w14:paraId="790AC2C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31"/>
    </w:tbl>
    <w:p w14:paraId="5CA519FA">
      <w:pPr>
        <w:rPr>
          <w:rFonts w:hint="default" w:ascii="Times New Roman" w:hAnsi="Times New Roman" w:cs="Times New Roman"/>
          <w:b/>
          <w:bCs/>
          <w:color w:val="auto"/>
          <w:sz w:val="22"/>
          <w:szCs w:val="36"/>
          <w:highlight w:val="none"/>
          <w:lang w:val="en-US" w:eastAsia="zh-CN"/>
        </w:rPr>
      </w:pPr>
    </w:p>
    <w:p w14:paraId="51810AB4">
      <w:pPr>
        <w:rPr>
          <w:rFonts w:hint="eastAsia" w:ascii="Times New Roman" w:hAnsi="Times New Roman" w:cs="Times New Roman"/>
          <w:b/>
          <w:bCs/>
          <w:color w:val="auto"/>
          <w:sz w:val="22"/>
          <w:szCs w:val="36"/>
          <w:highlight w:val="none"/>
          <w:lang w:val="en-US" w:eastAsia="zh-CN"/>
        </w:rPr>
      </w:pPr>
      <w:bookmarkStart w:id="35" w:name="OLE_LINK22"/>
      <w:r>
        <w:rPr>
          <w:rFonts w:hint="default" w:ascii="Times New Roman" w:hAnsi="Times New Roman" w:cs="Times New Roman"/>
          <w:b/>
          <w:bCs/>
          <w:color w:val="auto"/>
          <w:sz w:val="22"/>
          <w:szCs w:val="36"/>
          <w:highlight w:val="none"/>
          <w:lang w:val="en-US" w:eastAsia="zh-CN"/>
        </w:rPr>
        <w:t>Tartagni</w:t>
      </w:r>
      <w:bookmarkEnd w:id="35"/>
      <w:r>
        <w:rPr>
          <w:rFonts w:hint="eastAsia" w:ascii="Times New Roman" w:hAnsi="Times New Roman" w:cs="Times New Roman"/>
          <w:b/>
          <w:bCs/>
          <w:color w:val="auto"/>
          <w:sz w:val="22"/>
          <w:szCs w:val="36"/>
          <w:highlight w:val="none"/>
          <w:lang w:val="en-US" w:eastAsia="zh-CN"/>
        </w:rPr>
        <w:t xml:space="preserve"> 2015</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0FFB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37B2C18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3DBFDDF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Computer-generated randomization sequence, paper silent on allocation concealment.</w:t>
            </w:r>
          </w:p>
        </w:tc>
      </w:tr>
      <w:tr w14:paraId="11B4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673181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0AA79B5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109 patients with a diagnosis of infertility and undergoing their first IVF cycle were consecutively recruited between January 2010 and October 2012 among those coded in the anonymous research database of our academically affiliated private infertility centre. All patients enrolled had unsuccessfully</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sought to become pregnant for more than 3 years and had failed at least 3 intrauterine inseminations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(IUI).</w:t>
            </w:r>
          </w:p>
        </w:tc>
      </w:tr>
      <w:tr w14:paraId="70CD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7DD822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1F1D3E0E">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 xml:space="preserve">In Group 1 (n = 53) patients were administered with DHEA (75 mg/d, orally) 8 weeks before starting the cycle of ovulation induction. Patients of Group 2 (n = 56) received placebo during the same period. </w:t>
            </w:r>
          </w:p>
          <w:p w14:paraId="0B5F865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Eight weeks after DHEA pretreatment, IVF procedure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was initiated according to our standard long-stimulation protocol.</w:t>
            </w:r>
          </w:p>
        </w:tc>
      </w:tr>
      <w:tr w14:paraId="4BDD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C8C6CB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4DAD72B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number of clinical pregnancies was considered as the primary end-point for this study, with the live birth rates and the miscarriage rates assumed as correlated parameters of the primary end-points. Secondary endpoints were standard IVF parameters, such as stimulation duration (days of rhFSH treatment), E</w:t>
            </w:r>
            <w:r>
              <w:rPr>
                <w:rFonts w:hint="default" w:ascii="Times New Roman" w:hAnsi="Times New Roman" w:cs="Times New Roman"/>
                <w:b w:val="0"/>
                <w:bCs w:val="0"/>
                <w:color w:val="auto"/>
                <w:sz w:val="22"/>
                <w:szCs w:val="36"/>
                <w:highlight w:val="none"/>
                <w:vertAlign w:val="subscript"/>
                <w:lang w:val="en-US" w:eastAsia="zh-CN"/>
              </w:rPr>
              <w:t>2</w:t>
            </w:r>
            <w:r>
              <w:rPr>
                <w:rFonts w:hint="default" w:ascii="Times New Roman" w:hAnsi="Times New Roman" w:cs="Times New Roman"/>
                <w:b w:val="0"/>
                <w:bCs w:val="0"/>
                <w:color w:val="auto"/>
                <w:sz w:val="22"/>
                <w:szCs w:val="36"/>
                <w:highlight w:val="none"/>
                <w:vertAlign w:val="baseline"/>
                <w:lang w:val="en-US" w:eastAsia="zh-CN"/>
              </w:rPr>
              <w:t xml:space="preserve"> levels on hCG-day, endometrial thickness, number of retrieved oocytes, number of metaphase II oocytes, number of embryos transferred and score of leading embryos transferred.</w:t>
            </w:r>
          </w:p>
        </w:tc>
      </w:tr>
      <w:tr w14:paraId="56B1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6D0C1D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2CB737D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Supported by a research grant award (PRIN 2010YK7Z5K_008) to M.Montagnani from the Italian Ministry of University and Research (MIUR).</w:t>
            </w:r>
          </w:p>
        </w:tc>
      </w:tr>
    </w:tbl>
    <w:p w14:paraId="20B0AEDD">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267C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7ACB914E">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7F8ED732">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03FE7A51">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3ED1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47F6DDA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1A7C5710">
            <w:pPr>
              <w:widowControl w:val="0"/>
              <w:rPr>
                <w:rFonts w:hint="default" w:ascii="Times New Roman" w:hAnsi="Times New Roman" w:cs="Times New Roman"/>
                <w:b w:val="0"/>
                <w:bCs w:val="0"/>
                <w:color w:val="auto"/>
                <w:sz w:val="22"/>
                <w:szCs w:val="36"/>
                <w:highlight w:val="none"/>
                <w:vertAlign w:val="baseline"/>
                <w:lang w:val="en-US" w:eastAsia="zh-CN"/>
              </w:rPr>
            </w:pPr>
            <w:bookmarkStart w:id="36" w:name="OLE_LINK33"/>
            <w:r>
              <w:rPr>
                <w:rFonts w:hint="eastAsia" w:ascii="Times New Roman" w:hAnsi="Times New Roman" w:cs="Times New Roman"/>
                <w:b w:val="0"/>
                <w:bCs w:val="0"/>
                <w:color w:val="auto"/>
                <w:sz w:val="22"/>
                <w:szCs w:val="36"/>
                <w:highlight w:val="none"/>
                <w:vertAlign w:val="baseline"/>
                <w:lang w:val="en-US" w:eastAsia="zh-CN"/>
              </w:rPr>
              <w:t>Low risk</w:t>
            </w:r>
            <w:bookmarkEnd w:id="36"/>
          </w:p>
        </w:tc>
        <w:tc>
          <w:tcPr>
            <w:tcW w:w="5342" w:type="dxa"/>
            <w:tcBorders>
              <w:right w:val="nil"/>
            </w:tcBorders>
          </w:tcPr>
          <w:p w14:paraId="4719207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"On the basis of a computer-generated randomization sequence".</w:t>
            </w:r>
          </w:p>
        </w:tc>
      </w:tr>
      <w:tr w14:paraId="6ACC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0D5856C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4EEAA06A">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70C03182">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"allocation list was managed by an independent subject of the institution not</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directly involved in the trial (nurse)".</w:t>
            </w:r>
          </w:p>
        </w:tc>
      </w:tr>
      <w:tr w14:paraId="14FA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2A4A60B">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392211B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1C86149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491B10E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Trial authors confirm that participants and personnel were blinded.</w:t>
            </w:r>
          </w:p>
        </w:tc>
      </w:tr>
      <w:tr w14:paraId="7A02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20C5493">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487ACB0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78DC12AE">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7E750EEA">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Trial authors confirm that outcome assessors were blinded.</w:t>
            </w:r>
          </w:p>
        </w:tc>
      </w:tr>
      <w:tr w14:paraId="7042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4BF8C397">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100D4CD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6DA0096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54C7A89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patients in both groups completed the study. "</w:t>
            </w:r>
          </w:p>
        </w:tc>
      </w:tr>
      <w:tr w14:paraId="597F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27B904B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101C9CC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5CE5F12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stated outcomes were reported.</w:t>
            </w:r>
          </w:p>
        </w:tc>
      </w:tr>
      <w:tr w14:paraId="612D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06ABAD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5E40F68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1DC7C4B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121CB99F">
      <w:pPr>
        <w:rPr>
          <w:rFonts w:hint="default" w:ascii="Times New Roman" w:hAnsi="Times New Roman" w:cs="Times New Roman"/>
          <w:b/>
          <w:bCs/>
          <w:color w:val="auto"/>
          <w:sz w:val="22"/>
          <w:szCs w:val="36"/>
          <w:highlight w:val="none"/>
          <w:lang w:val="en-US" w:eastAsia="zh-CN"/>
        </w:rPr>
      </w:pPr>
    </w:p>
    <w:p w14:paraId="0866C9CF">
      <w:pPr>
        <w:rPr>
          <w:rFonts w:hint="eastAsia" w:ascii="Times New Roman" w:hAnsi="Times New Roman" w:cs="Times New Roman"/>
          <w:b/>
          <w:bCs/>
          <w:color w:val="auto"/>
          <w:sz w:val="22"/>
          <w:szCs w:val="36"/>
          <w:highlight w:val="none"/>
          <w:lang w:val="en-US" w:eastAsia="zh-CN"/>
        </w:rPr>
      </w:pPr>
      <w:r>
        <w:rPr>
          <w:rFonts w:hint="default" w:ascii="Times New Roman" w:hAnsi="Times New Roman" w:cs="Times New Roman"/>
          <w:b/>
          <w:bCs/>
          <w:color w:val="auto"/>
          <w:sz w:val="22"/>
          <w:szCs w:val="36"/>
          <w:highlight w:val="none"/>
          <w:lang w:val="en-US" w:eastAsia="zh-CN"/>
        </w:rPr>
        <w:t>Yeung</w:t>
      </w:r>
      <w:r>
        <w:rPr>
          <w:rFonts w:hint="eastAsia" w:ascii="Times New Roman" w:hAnsi="Times New Roman" w:cs="Times New Roman"/>
          <w:b/>
          <w:bCs/>
          <w:color w:val="auto"/>
          <w:sz w:val="22"/>
          <w:szCs w:val="36"/>
          <w:highlight w:val="none"/>
          <w:lang w:val="en-US" w:eastAsia="zh-CN"/>
        </w:rPr>
        <w:t xml:space="preserve"> 2015</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3042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5D48625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18668C7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is a double-blind RCT.</w:t>
            </w:r>
            <w:r>
              <w:rPr>
                <w:rFonts w:hint="eastAsia" w:ascii="Times New Roman" w:hAnsi="Times New Roman" w:cs="Times New Roman"/>
                <w:b w:val="0"/>
                <w:bCs w:val="0"/>
                <w:color w:val="auto"/>
                <w:sz w:val="22"/>
                <w:szCs w:val="36"/>
                <w:highlight w:val="none"/>
                <w:vertAlign w:val="baseline"/>
                <w:lang w:val="en-US" w:eastAsia="zh-CN"/>
              </w:rPr>
              <w:t xml:space="preserve"> Women were randomised in a 1:1 ratio according to a computer-generated randomisation list generated by a research nurse not involved in their clinical management.</w:t>
            </w:r>
          </w:p>
        </w:tc>
      </w:tr>
      <w:tr w14:paraId="09C2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E267D7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3EE0CFD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The inclusion criteria were as follows: age &lt;40 years; subfertility &gt;1 year; and anticipated normal ovarian response, defined as AFC between 5 and 15. </w:t>
            </w:r>
          </w:p>
          <w:p w14:paraId="73CBA00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Women were excluded if they had the following: history of ovarian cystectomy or oophorectomy; evidence of polycystic ovaries or polycystic ovary syndrome; history of cytotoxic chemotherapy; history of pelvic irradiation; or history of taking testosterone or DHEA supplement.</w:t>
            </w:r>
          </w:p>
        </w:tc>
      </w:tr>
      <w:tr w14:paraId="0D64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D2866A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227BDA3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Either DHEA capsules at 25 mg three times a day or matching placebo capsules were started after baseline investigations. </w:t>
            </w:r>
          </w:p>
          <w:p w14:paraId="4906319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At week 12, women were treated with ovarian stimulation under the fixed antagonist protocol. </w:t>
            </w:r>
          </w:p>
        </w:tc>
      </w:tr>
      <w:tr w14:paraId="6D3C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2619DE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104B0A7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AFC, serum/intra-follicular testosterone, DHEA-S, SHBG, FSH, AMH, IGF-1, post-stimulation serum E</w:t>
            </w:r>
            <w:r>
              <w:rPr>
                <w:rFonts w:hint="eastAsia" w:ascii="Times New Roman" w:hAnsi="Times New Roman" w:cs="Times New Roman"/>
                <w:b w:val="0"/>
                <w:bCs w:val="0"/>
                <w:color w:val="auto"/>
                <w:sz w:val="22"/>
                <w:szCs w:val="36"/>
                <w:highlight w:val="none"/>
                <w:vertAlign w:val="subscript"/>
                <w:lang w:val="en-US" w:eastAsia="zh-CN"/>
              </w:rPr>
              <w:t>2,</w:t>
            </w:r>
            <w:r>
              <w:rPr>
                <w:rFonts w:hint="eastAsia" w:ascii="Times New Roman" w:hAnsi="Times New Roman" w:cs="Times New Roman"/>
                <w:b w:val="0"/>
                <w:bCs w:val="0"/>
                <w:color w:val="auto"/>
                <w:sz w:val="22"/>
                <w:szCs w:val="36"/>
                <w:highlight w:val="none"/>
                <w:vertAlign w:val="baseline"/>
                <w:lang w:val="en-US" w:eastAsia="zh-CN"/>
              </w:rPr>
              <w:t xml:space="preserve"> number of growing follicles of 10 mm or greater, number of follicles of various sizes and serum E</w:t>
            </w:r>
            <w:r>
              <w:rPr>
                <w:rFonts w:hint="eastAsia" w:ascii="Times New Roman" w:hAnsi="Times New Roman" w:cs="Times New Roman"/>
                <w:b w:val="0"/>
                <w:bCs w:val="0"/>
                <w:color w:val="auto"/>
                <w:sz w:val="22"/>
                <w:szCs w:val="36"/>
                <w:highlight w:val="none"/>
                <w:vertAlign w:val="subscript"/>
                <w:lang w:val="en-US" w:eastAsia="zh-CN"/>
              </w:rPr>
              <w:t>2</w:t>
            </w:r>
            <w:r>
              <w:rPr>
                <w:rFonts w:hint="eastAsia" w:ascii="Times New Roman" w:hAnsi="Times New Roman" w:cs="Times New Roman"/>
                <w:b w:val="0"/>
                <w:bCs w:val="0"/>
                <w:color w:val="auto"/>
                <w:sz w:val="22"/>
                <w:szCs w:val="36"/>
                <w:highlight w:val="none"/>
                <w:vertAlign w:val="baseline"/>
                <w:lang w:val="en-US" w:eastAsia="zh-CN"/>
              </w:rPr>
              <w:t xml:space="preserve"> levels on the day of the hCG trigger, number of oocytes obtained, number of fertilised/transferrable/frozen embryos and number of top-quality embryos.    </w:t>
            </w:r>
          </w:p>
        </w:tc>
      </w:tr>
      <w:tr w14:paraId="4A96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8D9990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7815E73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Registered first under Hong Kong Clinical Trial Center (HKCTR-1149) in September 2010 and then Clinicaltrials.gov (NCT01915186) in July 2013, and was supported by the Committee on Research and Conference Grants, University of Hong Kong.</w:t>
            </w:r>
          </w:p>
        </w:tc>
      </w:tr>
    </w:tbl>
    <w:p w14:paraId="3A53EC38">
      <w:pPr>
        <w:rPr>
          <w:rFonts w:hint="eastAsia" w:ascii="Times New Roman" w:hAnsi="Times New Roman" w:cs="Times New Roman"/>
          <w:b/>
          <w:bCs/>
          <w:color w:val="auto"/>
          <w:sz w:val="22"/>
          <w:szCs w:val="36"/>
          <w:highlight w:val="none"/>
          <w:lang w:val="en-US" w:eastAsia="zh-CN"/>
        </w:rPr>
      </w:pPr>
      <w:bookmarkStart w:id="37" w:name="OLE_LINK36"/>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769C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2465114C">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3BDBA7D7">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689AB97C">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76D2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0E99237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25B637CD">
            <w:pPr>
              <w:widowControl w:val="0"/>
              <w:rPr>
                <w:rFonts w:hint="default" w:ascii="Times New Roman" w:hAnsi="Times New Roman" w:cs="Times New Roman"/>
                <w:b w:val="0"/>
                <w:bCs w:val="0"/>
                <w:color w:val="auto"/>
                <w:sz w:val="22"/>
                <w:szCs w:val="36"/>
                <w:highlight w:val="none"/>
                <w:vertAlign w:val="baseline"/>
                <w:lang w:val="en-US" w:eastAsia="zh-CN"/>
              </w:rPr>
            </w:pPr>
            <w:bookmarkStart w:id="38" w:name="OLE_LINK24"/>
            <w:r>
              <w:rPr>
                <w:rFonts w:hint="eastAsia" w:ascii="Times New Roman" w:hAnsi="Times New Roman" w:cs="Times New Roman"/>
                <w:b w:val="0"/>
                <w:bCs w:val="0"/>
                <w:color w:val="auto"/>
                <w:sz w:val="22"/>
                <w:szCs w:val="36"/>
                <w:highlight w:val="none"/>
                <w:vertAlign w:val="baseline"/>
                <w:lang w:val="en-US" w:eastAsia="zh-CN"/>
              </w:rPr>
              <w:t>Low risk</w:t>
            </w:r>
            <w:bookmarkEnd w:id="38"/>
          </w:p>
        </w:tc>
        <w:tc>
          <w:tcPr>
            <w:tcW w:w="5342" w:type="dxa"/>
            <w:tcBorders>
              <w:right w:val="nil"/>
            </w:tcBorders>
          </w:tcPr>
          <w:p w14:paraId="51A90BF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"Women were randomised in a 1:1 ratio according to a computer-generated randomisation list generated by a research nurse not involved in their clinical management."</w:t>
            </w:r>
          </w:p>
        </w:tc>
      </w:tr>
      <w:tr w14:paraId="45DF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7AF246F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5E37685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40204281">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“Women were randomised in a 1:1 ratio according to a computer-generated randomisation list generated by a research nurse not involved in their clinical management. The hospital pharmacy packaged the DHEA and identical placebo capsules according to the randomisation list and labelled the drug packs with subject numbers only.”</w:t>
            </w:r>
          </w:p>
        </w:tc>
      </w:tr>
      <w:tr w14:paraId="0E74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D9FEE2E">
            <w:pPr>
              <w:widowControl w:val="0"/>
              <w:rPr>
                <w:rFonts w:hint="eastAsia" w:ascii="Times New Roman" w:hAnsi="Times New Roman" w:cs="Times New Roman"/>
                <w:b w:val="0"/>
                <w:bCs w:val="0"/>
                <w:color w:val="auto"/>
                <w:sz w:val="22"/>
                <w:szCs w:val="36"/>
                <w:highlight w:val="none"/>
                <w:vertAlign w:val="baseline"/>
                <w:lang w:val="en-US" w:eastAsia="zh-CN"/>
              </w:rPr>
            </w:pPr>
            <w:bookmarkStart w:id="39" w:name="OLE_LINK25" w:colFirst="1" w:colLast="2"/>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5E32AA4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5ECB4FB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4CF5CDA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Physicians, research nurses and study subjects were all blind to the assignment.</w:t>
            </w:r>
            <w:r>
              <w:rPr>
                <w:rFonts w:hint="default" w:ascii="Times New Roman" w:hAnsi="Times New Roman" w:cs="Times New Roman"/>
                <w:b w:val="0"/>
                <w:bCs w:val="0"/>
                <w:color w:val="auto"/>
                <w:sz w:val="22"/>
                <w:szCs w:val="36"/>
                <w:highlight w:val="none"/>
                <w:vertAlign w:val="baseline"/>
                <w:lang w:val="en-US" w:eastAsia="zh-CN"/>
              </w:rPr>
              <w:t>”</w:t>
            </w:r>
          </w:p>
        </w:tc>
      </w:tr>
      <w:bookmarkEnd w:id="39"/>
      <w:tr w14:paraId="640D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BBD0BF1">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13F1B3C2">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7167261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0F068E2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Physicians, research nurses and study subjects were all blind to the assignment.</w:t>
            </w:r>
            <w:r>
              <w:rPr>
                <w:rFonts w:hint="default" w:ascii="Times New Roman" w:hAnsi="Times New Roman" w:cs="Times New Roman"/>
                <w:b w:val="0"/>
                <w:bCs w:val="0"/>
                <w:color w:val="auto"/>
                <w:sz w:val="22"/>
                <w:szCs w:val="36"/>
                <w:highlight w:val="none"/>
                <w:vertAlign w:val="baseline"/>
                <w:lang w:val="en-US" w:eastAsia="zh-CN"/>
              </w:rPr>
              <w:t>”</w:t>
            </w:r>
          </w:p>
        </w:tc>
      </w:tr>
      <w:tr w14:paraId="2546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B81BB3D">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729CE4F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286A583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36644A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105A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B57329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2A635D0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07BD1B8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stated outcomes were reported.</w:t>
            </w:r>
          </w:p>
        </w:tc>
      </w:tr>
      <w:tr w14:paraId="178A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1780CB1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496F791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5A4C503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37"/>
    </w:tbl>
    <w:p w14:paraId="7E69908C">
      <w:pPr>
        <w:rPr>
          <w:rFonts w:hint="eastAsia" w:ascii="Times New Roman" w:hAnsi="Times New Roman" w:cs="Times New Roman"/>
          <w:b/>
          <w:bCs/>
          <w:color w:val="auto"/>
          <w:sz w:val="22"/>
          <w:szCs w:val="36"/>
          <w:highlight w:val="none"/>
          <w:lang w:val="en-US" w:eastAsia="zh-CN"/>
        </w:rPr>
      </w:pPr>
      <w:bookmarkStart w:id="40" w:name="OLE_LINK34"/>
      <w:r>
        <w:rPr>
          <w:rFonts w:hint="default" w:ascii="Times New Roman" w:hAnsi="Times New Roman" w:cs="Times New Roman"/>
          <w:b/>
          <w:bCs/>
          <w:color w:val="auto"/>
          <w:sz w:val="22"/>
          <w:szCs w:val="36"/>
          <w:highlight w:val="none"/>
          <w:lang w:val="en-US" w:eastAsia="zh-CN"/>
        </w:rPr>
        <w:t>Kotb</w:t>
      </w:r>
      <w:r>
        <w:rPr>
          <w:rFonts w:hint="eastAsia" w:ascii="Times New Roman" w:hAnsi="Times New Roman" w:cs="Times New Roman"/>
          <w:b/>
          <w:bCs/>
          <w:color w:val="auto"/>
          <w:sz w:val="22"/>
          <w:szCs w:val="36"/>
          <w:highlight w:val="none"/>
          <w:lang w:val="en-US" w:eastAsia="zh-CN"/>
        </w:rPr>
        <w:t xml:space="preserve"> 2016</w:t>
      </w:r>
    </w:p>
    <w:bookmarkEnd w:id="40"/>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4CBD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3E888388">
            <w:pPr>
              <w:widowControl w:val="0"/>
              <w:rPr>
                <w:rFonts w:hint="default" w:ascii="Times New Roman" w:hAnsi="Times New Roman" w:cs="Times New Roman"/>
                <w:b w:val="0"/>
                <w:bCs w:val="0"/>
                <w:color w:val="auto"/>
                <w:sz w:val="22"/>
                <w:szCs w:val="36"/>
                <w:highlight w:val="none"/>
                <w:vertAlign w:val="baseline"/>
                <w:lang w:val="en-US" w:eastAsia="zh-CN"/>
              </w:rPr>
            </w:pPr>
            <w:bookmarkStart w:id="41" w:name="OLE_LINK39"/>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7E682A5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was a multicentre, randomized balanced (allocation ratio 1:1), controlled and parallel groups study.</w:t>
            </w:r>
            <w:r>
              <w:rPr>
                <w:rFonts w:hint="eastAsia" w:ascii="Times New Roman" w:hAnsi="Times New Roman" w:cs="Times New Roman"/>
                <w:b w:val="0"/>
                <w:bCs w:val="0"/>
                <w:color w:val="auto"/>
                <w:sz w:val="22"/>
                <w:szCs w:val="36"/>
                <w:highlight w:val="none"/>
                <w:vertAlign w:val="baseline"/>
                <w:lang w:val="en-US" w:eastAsia="zh-CN"/>
              </w:rPr>
              <w:t xml:space="preserve"> One hundred and forty women were randomly divided into two equal groups. </w:t>
            </w:r>
            <w:bookmarkStart w:id="42" w:name="OLE_LINK37"/>
            <w:r>
              <w:rPr>
                <w:rFonts w:hint="eastAsia" w:ascii="Times New Roman" w:hAnsi="Times New Roman" w:cs="Times New Roman"/>
                <w:b w:val="0"/>
                <w:bCs w:val="0"/>
                <w:color w:val="auto"/>
                <w:sz w:val="22"/>
                <w:szCs w:val="36"/>
                <w:highlight w:val="none"/>
                <w:vertAlign w:val="baseline"/>
                <w:lang w:val="en-US" w:eastAsia="zh-CN"/>
              </w:rPr>
              <w:t xml:space="preserve">A registrar generated the allocation sequence using computer generated random numbers. </w:t>
            </w:r>
            <w:bookmarkEnd w:id="42"/>
          </w:p>
        </w:tc>
      </w:tr>
      <w:tr w14:paraId="5AAB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FD5FFE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4BA7C02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inclusion criteria were women undergoing IVF/ICSI with POR according to the Bologna criteria and age from 20 to 45 years. Exclusion criteria were body mass index &gt;35 kg/m</w:t>
            </w:r>
            <w:r>
              <w:rPr>
                <w:rFonts w:hint="default" w:ascii="Times New Roman" w:hAnsi="Times New Roman" w:cs="Times New Roman"/>
                <w:b w:val="0"/>
                <w:bCs w:val="0"/>
                <w:color w:val="auto"/>
                <w:sz w:val="22"/>
                <w:szCs w:val="36"/>
                <w:highlight w:val="none"/>
                <w:vertAlign w:val="superscript"/>
                <w:lang w:val="en-US" w:eastAsia="zh-CN"/>
              </w:rPr>
              <w:t>2</w:t>
            </w:r>
            <w:r>
              <w:rPr>
                <w:rFonts w:hint="default" w:ascii="Times New Roman" w:hAnsi="Times New Roman" w:cs="Times New Roman"/>
                <w:b w:val="0"/>
                <w:bCs w:val="0"/>
                <w:color w:val="auto"/>
                <w:sz w:val="22"/>
                <w:szCs w:val="36"/>
                <w:highlight w:val="none"/>
                <w:vertAlign w:val="baseline"/>
                <w:lang w:val="en-US" w:eastAsia="zh-CN"/>
              </w:rPr>
              <w:t>, women with a single ovary, allergy to DHEA, and diabetic women on insulin as insulin lowers DHEA levels and might reduce its effectiveness</w:t>
            </w:r>
            <w:r>
              <w:rPr>
                <w:rFonts w:hint="eastAsia" w:ascii="Times New Roman" w:hAnsi="Times New Roman" w:cs="Times New Roman"/>
                <w:b w:val="0"/>
                <w:bCs w:val="0"/>
                <w:color w:val="auto"/>
                <w:sz w:val="22"/>
                <w:szCs w:val="36"/>
                <w:highlight w:val="none"/>
                <w:vertAlign w:val="baseline"/>
                <w:lang w:val="en-US" w:eastAsia="zh-CN"/>
              </w:rPr>
              <w:t>.</w:t>
            </w:r>
          </w:p>
        </w:tc>
      </w:tr>
      <w:tr w14:paraId="3C03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EE6FBF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0B622FD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DHEA group received</w:t>
            </w:r>
            <w:bookmarkStart w:id="43" w:name="OLE_LINK35"/>
            <w:r>
              <w:rPr>
                <w:rFonts w:hint="default" w:ascii="Times New Roman" w:hAnsi="Times New Roman" w:cs="Times New Roman"/>
                <w:b w:val="0"/>
                <w:bCs w:val="0"/>
                <w:color w:val="auto"/>
                <w:sz w:val="22"/>
                <w:szCs w:val="36"/>
                <w:highlight w:val="none"/>
                <w:vertAlign w:val="baseline"/>
                <w:lang w:val="en-US" w:eastAsia="zh-CN"/>
              </w:rPr>
              <w:t xml:space="preserve"> oral DHEA, 25 mg three times daily for three months before IVF/ICSI </w:t>
            </w:r>
            <w:bookmarkEnd w:id="43"/>
            <w:r>
              <w:rPr>
                <w:rFonts w:hint="default" w:ascii="Times New Roman" w:hAnsi="Times New Roman" w:cs="Times New Roman"/>
                <w:b w:val="0"/>
                <w:bCs w:val="0"/>
                <w:color w:val="auto"/>
                <w:sz w:val="22"/>
                <w:szCs w:val="36"/>
                <w:highlight w:val="none"/>
                <w:vertAlign w:val="baseline"/>
                <w:lang w:val="en-US" w:eastAsia="zh-CN"/>
              </w:rPr>
              <w:t>and the control group started the cycles without receiving DHEA.</w:t>
            </w:r>
          </w:p>
          <w:p w14:paraId="7BC1B56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women had gonadotropin releasing hormone antagonist protocol for controlled ovarian hyperstimulation (COH)</w:t>
            </w:r>
            <w:r>
              <w:rPr>
                <w:rFonts w:hint="eastAsia" w:ascii="Times New Roman" w:hAnsi="Times New Roman" w:cs="Times New Roman"/>
                <w:b w:val="0"/>
                <w:bCs w:val="0"/>
                <w:color w:val="auto"/>
                <w:sz w:val="22"/>
                <w:szCs w:val="36"/>
                <w:highlight w:val="none"/>
                <w:vertAlign w:val="baseline"/>
                <w:lang w:val="en-US" w:eastAsia="zh-CN"/>
              </w:rPr>
              <w:t>.</w:t>
            </w:r>
          </w:p>
        </w:tc>
      </w:tr>
      <w:tr w14:paraId="1732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1CC738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132E9BA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CPR, IR and ongoing pregnancy rate</w:t>
            </w:r>
            <w:r>
              <w:rPr>
                <w:rFonts w:hint="eastAsia" w:ascii="Times New Roman" w:hAnsi="Times New Roman" w:cs="Times New Roman"/>
                <w:b w:val="0"/>
                <w:bCs w:val="0"/>
                <w:color w:val="auto"/>
                <w:sz w:val="22"/>
                <w:szCs w:val="36"/>
                <w:highlight w:val="none"/>
                <w:vertAlign w:val="baseline"/>
                <w:lang w:val="en-US" w:eastAsia="zh-CN"/>
              </w:rPr>
              <w:t>, n</w:t>
            </w:r>
            <w:r>
              <w:rPr>
                <w:rFonts w:hint="default" w:ascii="Times New Roman" w:hAnsi="Times New Roman" w:cs="Times New Roman"/>
                <w:b w:val="0"/>
                <w:bCs w:val="0"/>
                <w:color w:val="auto"/>
                <w:sz w:val="22"/>
                <w:szCs w:val="36"/>
                <w:highlight w:val="none"/>
                <w:vertAlign w:val="baseline"/>
                <w:lang w:val="en-US" w:eastAsia="zh-CN"/>
              </w:rPr>
              <w:t>umber of oocytes, MⅡ oocytes, fertilized oocytes, transferred embryos and excellent embryos.</w:t>
            </w:r>
          </w:p>
        </w:tc>
      </w:tr>
      <w:tr w14:paraId="726F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84C1EF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3425D87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Registration number: www.clinicaltrials.gov NCT02151006.</w:t>
            </w:r>
          </w:p>
        </w:tc>
      </w:tr>
      <w:bookmarkEnd w:id="41"/>
    </w:tbl>
    <w:p w14:paraId="17CBD4B1">
      <w:pPr>
        <w:rPr>
          <w:rFonts w:hint="eastAsia" w:ascii="Times New Roman" w:hAnsi="Times New Roman" w:cs="Times New Roman"/>
          <w:b/>
          <w:bCs/>
          <w:color w:val="auto"/>
          <w:sz w:val="22"/>
          <w:szCs w:val="36"/>
          <w:highlight w:val="none"/>
          <w:lang w:val="en-US" w:eastAsia="zh-CN"/>
        </w:rPr>
      </w:pPr>
      <w:bookmarkStart w:id="44" w:name="OLE_LINK41"/>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4203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55899546">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0A1073D3">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37E0090A">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5B08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1D8EB75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19C77D8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4846BA1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A registrar generated the allocation sequence using computer generated random numbers</w:t>
            </w:r>
            <w:r>
              <w:rPr>
                <w:rFonts w:hint="default" w:ascii="Times New Roman" w:hAnsi="Times New Roman" w:cs="Times New Roman"/>
                <w:b w:val="0"/>
                <w:bCs w:val="0"/>
                <w:color w:val="auto"/>
                <w:sz w:val="22"/>
                <w:szCs w:val="36"/>
                <w:highlight w:val="none"/>
                <w:vertAlign w:val="baseline"/>
                <w:lang w:val="en-US" w:eastAsia="zh-CN"/>
              </w:rPr>
              <w:t>."</w:t>
            </w:r>
          </w:p>
        </w:tc>
      </w:tr>
      <w:tr w14:paraId="5C29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613F65F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5C8A412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7C706883">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“Allocation was concealed using opaque sealed envelopes kept with another registrar who allocated the patients to the study or the control group.”</w:t>
            </w:r>
          </w:p>
        </w:tc>
      </w:tr>
      <w:tr w14:paraId="6B98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8BECEED">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132D369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13C2EB5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vAlign w:val="top"/>
          </w:tcPr>
          <w:p w14:paraId="55540E3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The main limitation of the study is being non blind.</w:t>
            </w:r>
            <w:r>
              <w:rPr>
                <w:rFonts w:hint="default" w:ascii="Times New Roman" w:hAnsi="Times New Roman" w:cs="Times New Roman"/>
                <w:b w:val="0"/>
                <w:bCs w:val="0"/>
                <w:color w:val="auto"/>
                <w:sz w:val="22"/>
                <w:szCs w:val="36"/>
                <w:highlight w:val="none"/>
                <w:vertAlign w:val="baseline"/>
                <w:lang w:val="en-US" w:eastAsia="zh-CN"/>
              </w:rPr>
              <w:t>”</w:t>
            </w:r>
          </w:p>
        </w:tc>
      </w:tr>
      <w:tr w14:paraId="31A0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8D8D601">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05DE341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7213F00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vAlign w:val="top"/>
          </w:tcPr>
          <w:p w14:paraId="0B2D827C">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The main limitation of the study is being non blind.</w:t>
            </w:r>
            <w:r>
              <w:rPr>
                <w:rFonts w:hint="default" w:ascii="Times New Roman" w:hAnsi="Times New Roman" w:cs="Times New Roman"/>
                <w:b w:val="0"/>
                <w:bCs w:val="0"/>
                <w:color w:val="auto"/>
                <w:sz w:val="22"/>
                <w:szCs w:val="36"/>
                <w:highlight w:val="none"/>
                <w:vertAlign w:val="baseline"/>
                <w:lang w:val="en-US" w:eastAsia="zh-CN"/>
              </w:rPr>
              <w:t>”</w:t>
            </w:r>
          </w:p>
        </w:tc>
      </w:tr>
      <w:tr w14:paraId="1276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7AFE4E05">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322A730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3AE5A47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A17935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39B3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841682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500D8EF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2704633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stated outcomes were reported.</w:t>
            </w:r>
          </w:p>
        </w:tc>
      </w:tr>
      <w:tr w14:paraId="16AD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AD2656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02EBF21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C7F11B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44"/>
    </w:tbl>
    <w:p w14:paraId="09015E4B">
      <w:pPr>
        <w:rPr>
          <w:rFonts w:hint="default" w:ascii="Times New Roman" w:hAnsi="Times New Roman" w:cs="Times New Roman"/>
          <w:b/>
          <w:bCs/>
          <w:color w:val="auto"/>
          <w:sz w:val="22"/>
          <w:szCs w:val="36"/>
          <w:highlight w:val="none"/>
          <w:lang w:val="en-US" w:eastAsia="zh-CN"/>
        </w:rPr>
      </w:pPr>
    </w:p>
    <w:p w14:paraId="3C8AF23C">
      <w:pPr>
        <w:rPr>
          <w:rFonts w:hint="eastAsia" w:ascii="Times New Roman" w:hAnsi="Times New Roman" w:cs="Times New Roman"/>
          <w:b/>
          <w:bCs/>
          <w:color w:val="auto"/>
          <w:sz w:val="22"/>
          <w:szCs w:val="36"/>
          <w:highlight w:val="none"/>
          <w:lang w:val="en-US" w:eastAsia="zh-CN"/>
        </w:rPr>
      </w:pPr>
      <w:r>
        <w:rPr>
          <w:rFonts w:hint="default" w:ascii="Times New Roman" w:hAnsi="Times New Roman" w:cs="Times New Roman"/>
          <w:b/>
          <w:bCs/>
          <w:color w:val="auto"/>
          <w:sz w:val="22"/>
          <w:szCs w:val="36"/>
          <w:highlight w:val="none"/>
          <w:lang w:val="en-US" w:eastAsia="zh-CN"/>
        </w:rPr>
        <w:t>Yuan</w:t>
      </w:r>
      <w:r>
        <w:rPr>
          <w:rFonts w:hint="eastAsia" w:ascii="Times New Roman" w:hAnsi="Times New Roman" w:cs="Times New Roman"/>
          <w:b/>
          <w:bCs/>
          <w:color w:val="auto"/>
          <w:sz w:val="22"/>
          <w:szCs w:val="36"/>
          <w:highlight w:val="none"/>
          <w:lang w:val="en-US" w:eastAsia="zh-CN"/>
        </w:rPr>
        <w:t xml:space="preserve"> 2016</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7C0A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755924D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3F37C86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 total of 193 DOR patients undergoing IVF-ET from Jan. 2012 to Dec. 2014 </w:t>
            </w:r>
            <w:bookmarkStart w:id="45" w:name="OLE_LINK40"/>
            <w:r>
              <w:rPr>
                <w:rFonts w:hint="default" w:ascii="Times New Roman" w:hAnsi="Times New Roman" w:cs="Times New Roman"/>
                <w:b w:val="0"/>
                <w:bCs w:val="0"/>
                <w:color w:val="auto"/>
                <w:sz w:val="22"/>
                <w:szCs w:val="36"/>
                <w:highlight w:val="none"/>
                <w:vertAlign w:val="baseline"/>
                <w:lang w:val="en-US" w:eastAsia="zh-CN"/>
              </w:rPr>
              <w:t xml:space="preserve">were enrolled. </w:t>
            </w:r>
            <w:bookmarkEnd w:id="45"/>
            <w:r>
              <w:rPr>
                <w:rFonts w:hint="default" w:ascii="Times New Roman" w:hAnsi="Times New Roman" w:cs="Times New Roman"/>
                <w:b w:val="0"/>
                <w:bCs w:val="0"/>
                <w:color w:val="auto"/>
                <w:sz w:val="22"/>
                <w:szCs w:val="36"/>
                <w:highlight w:val="none"/>
                <w:vertAlign w:val="baseline"/>
                <w:lang w:val="en-US" w:eastAsia="zh-CN"/>
              </w:rPr>
              <w:t xml:space="preserve">The included patients were classified into DHEA group (n = 98) receiving DHEA treatment and control group (n = 95) with placebo treatment. </w:t>
            </w:r>
          </w:p>
        </w:tc>
      </w:tr>
      <w:tr w14:paraId="1A0A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4A889E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2390335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193 women diagnosed as poor ovarian reserve</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were enrolled. The diagnostic criteria for DOR were: (1) bilateral AFC &lt; 10, FSH &gt;</w:t>
            </w:r>
            <w:r>
              <w:rPr>
                <w:rFonts w:hint="eastAsia" w:ascii="Times New Roman" w:hAnsi="Times New Roman" w:cs="Times New Roman"/>
                <w:b w:val="0"/>
                <w:bCs w:val="0"/>
                <w:color w:val="auto"/>
                <w:sz w:val="22"/>
                <w:szCs w:val="36"/>
                <w:highlight w:val="none"/>
                <w:vertAlign w:val="baseline"/>
                <w:lang w:val="en-US" w:eastAsia="zh-CN"/>
              </w:rPr>
              <w:t xml:space="preserve"> 101 U/L, FSH/LH &gt; 3.6, basic serum E</w:t>
            </w:r>
            <w:r>
              <w:rPr>
                <w:rFonts w:hint="eastAsia" w:ascii="Times New Roman" w:hAnsi="Times New Roman" w:cs="Times New Roman"/>
                <w:b w:val="0"/>
                <w:bCs w:val="0"/>
                <w:color w:val="auto"/>
                <w:sz w:val="22"/>
                <w:szCs w:val="36"/>
                <w:highlight w:val="none"/>
                <w:vertAlign w:val="subscript"/>
                <w:lang w:val="en-US" w:eastAsia="zh-CN"/>
              </w:rPr>
              <w:t>2</w:t>
            </w:r>
            <w:r>
              <w:rPr>
                <w:rFonts w:hint="eastAsia" w:ascii="Times New Roman" w:hAnsi="Times New Roman" w:cs="Times New Roman"/>
                <w:b w:val="0"/>
                <w:bCs w:val="0"/>
                <w:color w:val="auto"/>
                <w:sz w:val="22"/>
                <w:szCs w:val="36"/>
                <w:highlight w:val="none"/>
                <w:vertAlign w:val="baseline"/>
                <w:lang w:val="en-US" w:eastAsia="zh-CN"/>
              </w:rPr>
              <w:t xml:space="preserve"> level &gt; 80 pg/mL; (2) after HCG injection, mature follicle &lt; 3-5 with diameter &gt; 14 mm or number of oocytes retrieved &lt; 3-5 and peak E2 serum level &lt; 300-500 pg/ mL, daily dosage for Gn &gt; 300 IU or total dosage &gt; 3000 IU (25-44 packs).</w:t>
            </w:r>
          </w:p>
        </w:tc>
      </w:tr>
      <w:tr w14:paraId="260B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473F13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459D5A0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During the prophase of IVF-ET treatment, oral DHEA (General Nutrition Corporation, America) or placebo for continuous 3 months thrice a day (25 mg per 8:00 am, 14:00 pm and 20:00 pm) was delivered for the subjects in the corresponding groups. </w:t>
            </w:r>
          </w:p>
          <w:p w14:paraId="023A9B1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women had GnRH-a long protocol</w:t>
            </w:r>
            <w:r>
              <w:rPr>
                <w:rFonts w:hint="eastAsia" w:ascii="Times New Roman" w:hAnsi="Times New Roman" w:cs="Times New Roman"/>
                <w:b w:val="0"/>
                <w:bCs w:val="0"/>
                <w:color w:val="auto"/>
                <w:sz w:val="22"/>
                <w:szCs w:val="36"/>
                <w:highlight w:val="none"/>
                <w:vertAlign w:val="baseline"/>
                <w:lang w:val="en-US" w:eastAsia="zh-CN"/>
              </w:rPr>
              <w:t>.</w:t>
            </w:r>
          </w:p>
        </w:tc>
      </w:tr>
      <w:tr w14:paraId="2ABE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B621BD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43149FE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Endocrine indexes and ultrasonography parameters before and after DHEA treatment were compared. Number of oocytes retrieved after IVF-ET was counted. Based on the ultrasonography results, ROC curve was plotted to compare the DHEA efficiency.</w:t>
            </w:r>
          </w:p>
        </w:tc>
      </w:tr>
      <w:tr w14:paraId="442B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42EBCC4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4DA95B5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w:t>
            </w:r>
            <w:r>
              <w:rPr>
                <w:rFonts w:hint="default" w:ascii="Times New Roman" w:hAnsi="Times New Roman" w:cs="Times New Roman"/>
                <w:b w:val="0"/>
                <w:bCs w:val="0"/>
                <w:color w:val="auto"/>
                <w:sz w:val="22"/>
                <w:szCs w:val="36"/>
                <w:highlight w:val="none"/>
                <w:vertAlign w:val="baseline"/>
                <w:lang w:val="en-US" w:eastAsia="zh-CN"/>
              </w:rPr>
              <w:t>upported by a grant</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from Guangxi University Science and technology</w:t>
            </w:r>
            <w:r>
              <w:rPr>
                <w:rFonts w:hint="eastAsia" w:ascii="Times New Roman" w:hAnsi="Times New Roman" w:cs="Times New Roman"/>
                <w:b w:val="0"/>
                <w:bCs w:val="0"/>
                <w:color w:val="auto"/>
                <w:sz w:val="22"/>
                <w:szCs w:val="36"/>
                <w:highlight w:val="none"/>
                <w:vertAlign w:val="baseline"/>
                <w:lang w:val="en-US" w:eastAsia="zh-CN"/>
              </w:rPr>
              <w:t xml:space="preserve"> research project (No: KY2015YB066).</w:t>
            </w:r>
          </w:p>
        </w:tc>
      </w:tr>
    </w:tbl>
    <w:p w14:paraId="763CC59C">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7C06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5B8FABCA">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2859E59A">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335DA914">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19A7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25504C6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26F263F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tcPr>
          <w:p w14:paraId="4205A10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3BFE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148DF407">
            <w:pPr>
              <w:widowControl w:val="0"/>
              <w:rPr>
                <w:rFonts w:hint="default" w:ascii="Times New Roman" w:hAnsi="Times New Roman" w:cs="Times New Roman"/>
                <w:b w:val="0"/>
                <w:bCs w:val="0"/>
                <w:color w:val="auto"/>
                <w:sz w:val="22"/>
                <w:szCs w:val="36"/>
                <w:highlight w:val="none"/>
                <w:vertAlign w:val="baseline"/>
                <w:lang w:val="en-US" w:eastAsia="zh-CN"/>
              </w:rPr>
            </w:pPr>
            <w:bookmarkStart w:id="46" w:name="OLE_LINK43" w:colFirst="1" w:colLast="2"/>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5D4BE01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77F0AA5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bookmarkEnd w:id="46"/>
      <w:tr w14:paraId="7315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4A4BDF92">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1348801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02B599E3">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1B27CEE7">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15E8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0473639">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3C625CC7">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42EB1CD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514FC9B9">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35CA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137FCA9">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020F2CB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6E2ECE3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F871F8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4FE1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946AE5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7654E76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0DB1A172">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 Lack</w:t>
            </w:r>
            <w:r>
              <w:rPr>
                <w:rFonts w:hint="eastAsia" w:ascii="Times New Roman" w:hAnsi="Times New Roman" w:cs="Times New Roman"/>
                <w:b w:val="0"/>
                <w:bCs w:val="0"/>
                <w:color w:val="auto"/>
                <w:sz w:val="22"/>
                <w:szCs w:val="36"/>
                <w:highlight w:val="none"/>
                <w:vertAlign w:val="baseline"/>
                <w:lang w:val="en-US" w:eastAsia="zh-CN"/>
              </w:rPr>
              <w:t xml:space="preserve"> of </w:t>
            </w:r>
            <w:r>
              <w:rPr>
                <w:rFonts w:hint="default" w:ascii="Times New Roman" w:hAnsi="Times New Roman" w:cs="Times New Roman"/>
                <w:b w:val="0"/>
                <w:bCs w:val="0"/>
                <w:color w:val="auto"/>
                <w:sz w:val="22"/>
                <w:szCs w:val="36"/>
                <w:highlight w:val="none"/>
                <w:vertAlign w:val="baseline"/>
                <w:lang w:val="en-US" w:eastAsia="zh-CN"/>
              </w:rPr>
              <w:t>LBR</w:t>
            </w:r>
            <w:r>
              <w:rPr>
                <w:rFonts w:hint="eastAsia" w:ascii="Times New Roman" w:hAnsi="Times New Roman" w:cs="Times New Roman"/>
                <w:b w:val="0"/>
                <w:bCs w:val="0"/>
                <w:color w:val="auto"/>
                <w:sz w:val="22"/>
                <w:szCs w:val="36"/>
                <w:highlight w:val="none"/>
                <w:vertAlign w:val="baseline"/>
                <w:lang w:val="en-US" w:eastAsia="zh-CN"/>
              </w:rPr>
              <w:t>/ongoing pregnancy rate.</w:t>
            </w:r>
          </w:p>
        </w:tc>
      </w:tr>
      <w:tr w14:paraId="3F1B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B2D753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7719680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4ED2BCB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285C77B1">
      <w:pPr>
        <w:rPr>
          <w:rFonts w:hint="default" w:ascii="Times New Roman" w:hAnsi="Times New Roman" w:cs="Times New Roman"/>
          <w:b/>
          <w:bCs/>
          <w:color w:val="auto"/>
          <w:sz w:val="22"/>
          <w:szCs w:val="36"/>
          <w:highlight w:val="none"/>
          <w:lang w:val="en-US" w:eastAsia="zh-CN"/>
        </w:rPr>
      </w:pPr>
    </w:p>
    <w:p w14:paraId="034A0BFF">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Fu 2017</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20DB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59C251CD">
            <w:pPr>
              <w:widowControl w:val="0"/>
              <w:rPr>
                <w:rFonts w:hint="default" w:ascii="Times New Roman" w:hAnsi="Times New Roman" w:cs="Times New Roman"/>
                <w:b w:val="0"/>
                <w:bCs w:val="0"/>
                <w:color w:val="auto"/>
                <w:sz w:val="22"/>
                <w:szCs w:val="36"/>
                <w:highlight w:val="none"/>
                <w:vertAlign w:val="baseline"/>
                <w:lang w:val="en-US" w:eastAsia="zh-CN"/>
              </w:rPr>
            </w:pPr>
            <w:bookmarkStart w:id="47" w:name="OLE_LINK46"/>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6A5B5FE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Using a computerized randomized list, patients were randomly assigned into two groups, DHEA group and control group.</w:t>
            </w:r>
          </w:p>
        </w:tc>
      </w:tr>
      <w:tr w14:paraId="47C9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63D69A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6E92139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inclusion criteria were age ≤42 years and a diagnosis of poor ovarian reserve</w:t>
            </w:r>
          </w:p>
          <w:p w14:paraId="24D675A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defined as an AFC &lt;5 or AMH &lt;1.1 μg/L. </w:t>
            </w:r>
          </w:p>
          <w:p w14:paraId="1A103BE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Patients were excluded from the study if they had a history of endometriosis, received chemotherapy or pelvic irradiation, a history of ovarian surgery, or received DHEA for any indication at the time of recruitment.</w:t>
            </w:r>
          </w:p>
        </w:tc>
      </w:tr>
      <w:tr w14:paraId="06E0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7587F0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329B9B3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patients in DHEA group received 25 mg of DHEA three times a day (i.e., 75 mg/d) for 12 weeks prior to IVF/ICSI treatment, while patients in control group entered IVF/ICSI treatment directly. </w:t>
            </w:r>
          </w:p>
          <w:p w14:paraId="3796066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patients underwent mild controlled ovarian stimulation.</w:t>
            </w:r>
          </w:p>
        </w:tc>
      </w:tr>
      <w:tr w14:paraId="453A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3597CA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0596A42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number of retrieved oocytes, MII</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oocytes, fertilized embryos,</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cleaved embryos, available embryos, and high-quality embryos were compared between the two groups</w:t>
            </w:r>
            <w:r>
              <w:rPr>
                <w:rFonts w:hint="eastAsia" w:ascii="Times New Roman" w:hAnsi="Times New Roman" w:cs="Times New Roman"/>
                <w:b w:val="0"/>
                <w:bCs w:val="0"/>
                <w:color w:val="auto"/>
                <w:sz w:val="22"/>
                <w:szCs w:val="36"/>
                <w:highlight w:val="none"/>
                <w:vertAlign w:val="baseline"/>
                <w:lang w:val="en-US" w:eastAsia="zh-CN"/>
              </w:rPr>
              <w:t>; EMT, AMH, DHEA-S, and IGF-1 levels in the FF.</w:t>
            </w:r>
          </w:p>
        </w:tc>
      </w:tr>
      <w:tr w14:paraId="3307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154E28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0934F83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study was registered at ClinicalTrials.gov (No. NCT02866253).</w:t>
            </w:r>
          </w:p>
        </w:tc>
      </w:tr>
      <w:bookmarkEnd w:id="47"/>
    </w:tbl>
    <w:p w14:paraId="4D540097">
      <w:pPr>
        <w:rPr>
          <w:rFonts w:hint="eastAsia" w:ascii="Times New Roman" w:hAnsi="Times New Roman" w:cs="Times New Roman"/>
          <w:b/>
          <w:bCs/>
          <w:color w:val="auto"/>
          <w:sz w:val="22"/>
          <w:szCs w:val="36"/>
          <w:highlight w:val="none"/>
          <w:lang w:val="en-US" w:eastAsia="zh-CN"/>
        </w:rPr>
      </w:pPr>
      <w:bookmarkStart w:id="48" w:name="OLE_LINK47"/>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5043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51BA87FC">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19ADF5E0">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53230854">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2223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0D0EBBB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76DCE37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tcPr>
          <w:p w14:paraId="053E2455">
            <w:pPr>
              <w:widowControl w:val="0"/>
              <w:rPr>
                <w:rFonts w:hint="default" w:ascii="Times New Roman" w:hAnsi="Times New Roman" w:cs="Times New Roman"/>
                <w:b w:val="0"/>
                <w:bCs w:val="0"/>
                <w:color w:val="auto"/>
                <w:sz w:val="22"/>
                <w:szCs w:val="36"/>
                <w:highlight w:val="none"/>
                <w:vertAlign w:val="baseline"/>
                <w:lang w:val="en-US" w:eastAsia="zh-CN"/>
              </w:rPr>
            </w:pPr>
            <w:bookmarkStart w:id="49" w:name="OLE_LINK44"/>
            <w:r>
              <w:rPr>
                <w:rFonts w:hint="default" w:ascii="Times New Roman" w:hAnsi="Times New Roman" w:cs="Times New Roman"/>
                <w:b w:val="0"/>
                <w:bCs w:val="0"/>
                <w:color w:val="auto"/>
                <w:sz w:val="22"/>
                <w:szCs w:val="36"/>
                <w:highlight w:val="none"/>
                <w:vertAlign w:val="baseline"/>
                <w:lang w:val="en-US" w:eastAsia="zh-CN"/>
              </w:rPr>
              <w:t>Using a computerized randomized list, patients were randomly assigned into two groups, DHEA group and control group.</w:t>
            </w:r>
            <w:bookmarkEnd w:id="49"/>
          </w:p>
        </w:tc>
      </w:tr>
      <w:tr w14:paraId="6488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34EBC281">
            <w:pPr>
              <w:widowControl w:val="0"/>
              <w:rPr>
                <w:rFonts w:hint="default" w:ascii="Times New Roman" w:hAnsi="Times New Roman" w:cs="Times New Roman"/>
                <w:b w:val="0"/>
                <w:bCs w:val="0"/>
                <w:color w:val="auto"/>
                <w:sz w:val="22"/>
                <w:szCs w:val="36"/>
                <w:highlight w:val="none"/>
                <w:vertAlign w:val="baseline"/>
                <w:lang w:val="en-US" w:eastAsia="zh-CN"/>
              </w:rPr>
            </w:pPr>
            <w:bookmarkStart w:id="50" w:name="OLE_LINK45"/>
            <w:r>
              <w:rPr>
                <w:rFonts w:hint="eastAsia" w:ascii="Times New Roman" w:hAnsi="Times New Roman" w:cs="Times New Roman"/>
                <w:b w:val="0"/>
                <w:bCs w:val="0"/>
                <w:color w:val="auto"/>
                <w:sz w:val="22"/>
                <w:szCs w:val="36"/>
                <w:highlight w:val="none"/>
                <w:vertAlign w:val="baseline"/>
                <w:lang w:val="en-US" w:eastAsia="zh-CN"/>
              </w:rPr>
              <w:t>Allocation</w:t>
            </w:r>
            <w:bookmarkEnd w:id="50"/>
            <w:r>
              <w:rPr>
                <w:rFonts w:hint="eastAsia" w:ascii="Times New Roman" w:hAnsi="Times New Roman" w:cs="Times New Roman"/>
                <w:b w:val="0"/>
                <w:bCs w:val="0"/>
                <w:color w:val="auto"/>
                <w:sz w:val="22"/>
                <w:szCs w:val="36"/>
                <w:highlight w:val="none"/>
                <w:vertAlign w:val="baseline"/>
                <w:lang w:val="en-US" w:eastAsia="zh-CN"/>
              </w:rPr>
              <w:t xml:space="preserve"> concealment (selection bias)</w:t>
            </w:r>
          </w:p>
        </w:tc>
        <w:tc>
          <w:tcPr>
            <w:tcW w:w="2113" w:type="dxa"/>
            <w:tcBorders>
              <w:right w:val="nil"/>
            </w:tcBorders>
            <w:vAlign w:val="top"/>
          </w:tcPr>
          <w:p w14:paraId="24C2F1A1">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5933D10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37AA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7698EC3">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41DA3BF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1A6DA81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High risk</w:t>
            </w:r>
          </w:p>
        </w:tc>
        <w:tc>
          <w:tcPr>
            <w:tcW w:w="5342" w:type="dxa"/>
            <w:tcBorders>
              <w:right w:val="nil"/>
            </w:tcBorders>
            <w:vAlign w:val="top"/>
          </w:tcPr>
          <w:p w14:paraId="50EED96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w:t>
            </w:r>
            <w:r>
              <w:rPr>
                <w:rFonts w:hint="default" w:ascii="Times New Roman" w:hAnsi="Times New Roman" w:cs="Times New Roman"/>
                <w:b w:val="0"/>
                <w:bCs w:val="0"/>
                <w:color w:val="auto"/>
                <w:sz w:val="22"/>
                <w:szCs w:val="36"/>
                <w:highlight w:val="none"/>
                <w:vertAlign w:val="baseline"/>
                <w:lang w:val="en-US" w:eastAsia="zh-CN"/>
              </w:rPr>
              <w:t>t is clear participants were not blinded.</w:t>
            </w:r>
            <w:r>
              <w:rPr>
                <w:rFonts w:hint="eastAsia" w:ascii="Times New Roman" w:hAnsi="Times New Roman" w:cs="Times New Roman"/>
                <w:b w:val="0"/>
                <w:bCs w:val="0"/>
                <w:color w:val="auto"/>
                <w:sz w:val="22"/>
                <w:szCs w:val="36"/>
                <w:highlight w:val="none"/>
                <w:vertAlign w:val="baseline"/>
                <w:lang w:val="en-US" w:eastAsia="zh-CN"/>
              </w:rPr>
              <w:t xml:space="preserve"> Control group unblinded as received no treatment.</w:t>
            </w:r>
          </w:p>
        </w:tc>
      </w:tr>
      <w:tr w14:paraId="3D48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4ECE3A8E">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1B1FD25A">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52000588">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6E06A0AA">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0B39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000C8FAA">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3E1C51F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11EF5CC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05187EE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13BB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8AD204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6817DE1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66D300A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 Lack</w:t>
            </w:r>
            <w:r>
              <w:rPr>
                <w:rFonts w:hint="eastAsia" w:ascii="Times New Roman" w:hAnsi="Times New Roman" w:cs="Times New Roman"/>
                <w:b w:val="0"/>
                <w:bCs w:val="0"/>
                <w:color w:val="auto"/>
                <w:sz w:val="22"/>
                <w:szCs w:val="36"/>
                <w:highlight w:val="none"/>
                <w:vertAlign w:val="baseline"/>
                <w:lang w:val="en-US" w:eastAsia="zh-CN"/>
              </w:rPr>
              <w:t xml:space="preserve"> of</w:t>
            </w:r>
            <w:r>
              <w:rPr>
                <w:rFonts w:hint="default" w:ascii="Times New Roman" w:hAnsi="Times New Roman" w:cs="Times New Roman"/>
                <w:b w:val="0"/>
                <w:bCs w:val="0"/>
                <w:color w:val="auto"/>
                <w:sz w:val="22"/>
                <w:szCs w:val="36"/>
                <w:highlight w:val="none"/>
                <w:vertAlign w:val="baseline"/>
                <w:lang w:val="en-US" w:eastAsia="zh-CN"/>
              </w:rPr>
              <w:t xml:space="preserve"> LBR</w:t>
            </w:r>
            <w:r>
              <w:rPr>
                <w:rFonts w:hint="eastAsia" w:ascii="Times New Roman" w:hAnsi="Times New Roman" w:cs="Times New Roman"/>
                <w:b w:val="0"/>
                <w:bCs w:val="0"/>
                <w:color w:val="auto"/>
                <w:sz w:val="22"/>
                <w:szCs w:val="36"/>
                <w:highlight w:val="none"/>
                <w:vertAlign w:val="baseline"/>
                <w:lang w:val="en-US" w:eastAsia="zh-CN"/>
              </w:rPr>
              <w:t>/ongoing pregnancy rate.</w:t>
            </w:r>
          </w:p>
        </w:tc>
      </w:tr>
      <w:tr w14:paraId="5E38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117D2BF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63039AB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49AD85F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48"/>
    </w:tbl>
    <w:p w14:paraId="7D218003">
      <w:pPr>
        <w:rPr>
          <w:rFonts w:hint="default" w:ascii="Times New Roman" w:hAnsi="Times New Roman" w:cs="Times New Roman"/>
          <w:b/>
          <w:bCs/>
          <w:color w:val="auto"/>
          <w:sz w:val="22"/>
          <w:szCs w:val="36"/>
          <w:highlight w:val="none"/>
          <w:lang w:val="en-US" w:eastAsia="zh-CN"/>
        </w:rPr>
      </w:pPr>
    </w:p>
    <w:p w14:paraId="338177B8">
      <w:pPr>
        <w:rPr>
          <w:rFonts w:hint="eastAsia" w:ascii="Times New Roman" w:hAnsi="Times New Roman" w:cs="Times New Roman"/>
          <w:b/>
          <w:bCs/>
          <w:color w:val="auto"/>
          <w:sz w:val="22"/>
          <w:szCs w:val="36"/>
          <w:highlight w:val="none"/>
          <w:lang w:val="en-US" w:eastAsia="zh-CN"/>
        </w:rPr>
      </w:pPr>
      <w:r>
        <w:rPr>
          <w:rFonts w:hint="default" w:ascii="Times New Roman" w:hAnsi="Times New Roman" w:cs="Times New Roman"/>
          <w:b/>
          <w:bCs/>
          <w:color w:val="auto"/>
          <w:sz w:val="22"/>
          <w:szCs w:val="36"/>
          <w:highlight w:val="none"/>
          <w:lang w:val="en-US" w:eastAsia="zh-CN"/>
        </w:rPr>
        <w:t>Narkwichean</w:t>
      </w:r>
      <w:r>
        <w:rPr>
          <w:rFonts w:hint="eastAsia" w:ascii="Times New Roman" w:hAnsi="Times New Roman" w:cs="Times New Roman"/>
          <w:b/>
          <w:bCs/>
          <w:color w:val="auto"/>
          <w:sz w:val="22"/>
          <w:szCs w:val="36"/>
          <w:highlight w:val="none"/>
          <w:lang w:val="en-US" w:eastAsia="zh-CN"/>
        </w:rPr>
        <w:t xml:space="preserve"> 2017</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7479"/>
      </w:tblGrid>
      <w:tr w14:paraId="48C7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0B7A7AF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tcBorders>
              <w:right w:val="nil"/>
            </w:tcBorders>
          </w:tcPr>
          <w:p w14:paraId="0678873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The study was a pilot double-blinded, randomised, placebo-controlled trial.</w:t>
            </w:r>
          </w:p>
        </w:tc>
      </w:tr>
      <w:tr w14:paraId="3855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7C2E42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tcBorders>
              <w:right w:val="nil"/>
            </w:tcBorders>
          </w:tcPr>
          <w:p w14:paraId="358E685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Women aged more than 23 years, who were predicted to have diminished ovarian reserved determined by antral follicle count scan less than 10 and/or serum Anti-Mullerian hormone less than 5 pmol/L undertaking either IVF or ICSI treatment at the clinic, were asked to participate in the study at the time of their initial consultation. Patients had to have a regular 21-35 days menstrual cycle. The exclusion criteria were women with conditions as follow; i) obesity with BMI &gt; 35 Kg/M</w:t>
            </w:r>
            <w:r>
              <w:rPr>
                <w:rFonts w:hint="default" w:ascii="Times New Roman" w:hAnsi="Times New Roman" w:cs="Times New Roman"/>
                <w:b w:val="0"/>
                <w:bCs w:val="0"/>
                <w:color w:val="auto"/>
                <w:sz w:val="22"/>
                <w:szCs w:val="36"/>
                <w:highlight w:val="none"/>
                <w:vertAlign w:val="superscript"/>
                <w:lang w:val="en-US" w:eastAsia="zh-CN"/>
              </w:rPr>
              <w:t>2</w:t>
            </w:r>
            <w:r>
              <w:rPr>
                <w:rFonts w:hint="default" w:ascii="Times New Roman" w:hAnsi="Times New Roman" w:cs="Times New Roman"/>
                <w:b w:val="0"/>
                <w:bCs w:val="0"/>
                <w:color w:val="auto"/>
                <w:sz w:val="22"/>
                <w:szCs w:val="36"/>
                <w:highlight w:val="none"/>
                <w:vertAlign w:val="baseline"/>
                <w:lang w:val="en-US" w:eastAsia="zh-CN"/>
              </w:rPr>
              <w:t>, ii) having only single ovary, iii) diagnosed untreated</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hydrosalpinx, endometrial polyp or submucous myoma at beginning of her treatment, iv) history of seizure or epilepsy, v) were not enrolled in the study before, vi) diagnosed</w:t>
            </w:r>
            <w:r>
              <w:rPr>
                <w:rFonts w:hint="eastAsia" w:ascii="Times New Roman" w:hAnsi="Times New Roman" w:cs="Times New Roman"/>
                <w:b w:val="0"/>
                <w:bCs w:val="0"/>
                <w:color w:val="auto"/>
                <w:sz w:val="22"/>
                <w:szCs w:val="36"/>
                <w:highlight w:val="none"/>
                <w:vertAlign w:val="baseline"/>
                <w:lang w:val="en-US" w:eastAsia="zh-CN"/>
              </w:rPr>
              <w:t xml:space="preserve"> endocrinological disorders for example thyroid or adrenal diseases, vii) allergy to DHEA, and viii) treated with insulin for diabetic management. </w:t>
            </w:r>
          </w:p>
        </w:tc>
      </w:tr>
      <w:tr w14:paraId="5775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0DE365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tcBorders>
              <w:right w:val="nil"/>
            </w:tcBorders>
          </w:tcPr>
          <w:p w14:paraId="7E4DD66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Participants were divided into two arms; i) intervention arm receiving 75 mg DHEA capsule, and ii) control arm receiving placebo capsule, having similar appearance, size and colour but without DHEA powder.</w:t>
            </w:r>
          </w:p>
          <w:p w14:paraId="2B8629B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Standard long down-regulation protocol for ovarian stimulation was used in all patients.</w:t>
            </w:r>
          </w:p>
        </w:tc>
      </w:tr>
      <w:tr w14:paraId="77FB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67DF4EC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tcBorders>
              <w:right w:val="nil"/>
            </w:tcBorders>
          </w:tcPr>
          <w:p w14:paraId="073C874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Ovarian response, live birth rates and molecular markers of oocyte quality were compared between the study and control groups.</w:t>
            </w:r>
          </w:p>
        </w:tc>
      </w:tr>
      <w:tr w14:paraId="3E35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157639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tcBorders>
              <w:right w:val="nil"/>
            </w:tcBorders>
          </w:tcPr>
          <w:p w14:paraId="6BD36FB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EudraCT number: 2011-002425-21, www.clinicaltrials.gov; CTA reference: 03057/0053/001-0001</w:t>
            </w:r>
          </w:p>
          <w:p w14:paraId="08CBA5B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work has been supported by the University of Nottingham through Early Career Research and Knowledge Transfer scheme and Nottingham University Hospital (NUH) Charity; Project code: A2RHD6.</w:t>
            </w:r>
          </w:p>
        </w:tc>
      </w:tr>
    </w:tbl>
    <w:p w14:paraId="7EA1C956">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Risk of bias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13"/>
        <w:gridCol w:w="5342"/>
      </w:tblGrid>
      <w:tr w14:paraId="73B4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tcBorders>
              <w:left w:val="nil"/>
            </w:tcBorders>
          </w:tcPr>
          <w:p w14:paraId="1E37D52D">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6BB5496E">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6EC45E21">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69A4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213E081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02DE241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tcPr>
          <w:p w14:paraId="676183E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Participants were issued their trial number as well as randomisation number and were issued their corresponding IMPs supply from the unblinded pharmacist according to the randomisation.</w:t>
            </w:r>
            <w:r>
              <w:rPr>
                <w:rFonts w:hint="default" w:ascii="Times New Roman" w:hAnsi="Times New Roman" w:cs="Times New Roman"/>
                <w:b w:val="0"/>
                <w:bCs w:val="0"/>
                <w:color w:val="auto"/>
                <w:sz w:val="22"/>
                <w:szCs w:val="36"/>
                <w:highlight w:val="none"/>
                <w:vertAlign w:val="baseline"/>
                <w:lang w:val="en-US" w:eastAsia="zh-CN"/>
              </w:rPr>
              <w:t xml:space="preserve"> ”</w:t>
            </w:r>
          </w:p>
        </w:tc>
      </w:tr>
      <w:tr w14:paraId="358F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tcPr>
          <w:p w14:paraId="22BA3FD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21A4638C">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C0EF3A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0444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F1F867D">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6815DE7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5BCA5899">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328EE9C5">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 xml:space="preserve">The study was a pilot double-blinded, randomised, placebo-controlled trial. </w:t>
            </w:r>
            <w:r>
              <w:rPr>
                <w:rFonts w:hint="default" w:ascii="Times New Roman" w:hAnsi="Times New Roman" w:cs="Times New Roman"/>
                <w:b w:val="0"/>
                <w:bCs w:val="0"/>
                <w:color w:val="auto"/>
                <w:sz w:val="22"/>
                <w:szCs w:val="36"/>
                <w:highlight w:val="none"/>
                <w:vertAlign w:val="baseline"/>
                <w:lang w:val="en-US" w:eastAsia="zh-CN"/>
              </w:rPr>
              <w:t>”</w:t>
            </w:r>
          </w:p>
        </w:tc>
      </w:tr>
      <w:tr w14:paraId="0F3E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6527A41B">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283123DA">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175C6C9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 xml:space="preserve">High </w:t>
            </w:r>
            <w:r>
              <w:rPr>
                <w:rFonts w:hint="default" w:ascii="Times New Roman" w:hAnsi="Times New Roman" w:cs="Times New Roman"/>
                <w:b w:val="0"/>
                <w:bCs w:val="0"/>
                <w:color w:val="auto"/>
                <w:sz w:val="22"/>
                <w:szCs w:val="36"/>
                <w:highlight w:val="none"/>
                <w:vertAlign w:val="baseline"/>
                <w:lang w:val="en-US" w:eastAsia="zh-CN"/>
              </w:rPr>
              <w:t>risk</w:t>
            </w:r>
          </w:p>
        </w:tc>
        <w:tc>
          <w:tcPr>
            <w:tcW w:w="5342" w:type="dxa"/>
            <w:tcBorders>
              <w:right w:val="nil"/>
            </w:tcBorders>
            <w:vAlign w:val="top"/>
          </w:tcPr>
          <w:p w14:paraId="195C007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 xml:space="preserve">The study was a pilot double-blinded, randomised, placebo-controlled trial. </w:t>
            </w:r>
            <w:r>
              <w:rPr>
                <w:rFonts w:hint="default" w:ascii="Times New Roman" w:hAnsi="Times New Roman" w:cs="Times New Roman"/>
                <w:b w:val="0"/>
                <w:bCs w:val="0"/>
                <w:color w:val="auto"/>
                <w:sz w:val="22"/>
                <w:szCs w:val="36"/>
                <w:highlight w:val="none"/>
                <w:vertAlign w:val="baseline"/>
                <w:lang w:val="en-US" w:eastAsia="zh-CN"/>
              </w:rPr>
              <w:t>”</w:t>
            </w:r>
          </w:p>
        </w:tc>
      </w:tr>
      <w:tr w14:paraId="7A6C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361AD758">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12E340C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492DCE1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6A1048B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2B4E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346D11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4A45063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2C02E7A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stated outcomes were reported.</w:t>
            </w:r>
          </w:p>
        </w:tc>
      </w:tr>
      <w:tr w14:paraId="3AC8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tcBorders>
              <w:left w:val="nil"/>
            </w:tcBorders>
            <w:vAlign w:val="top"/>
          </w:tcPr>
          <w:p w14:paraId="5873605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3FC8AA5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11F63DD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7A046FD7">
      <w:pPr>
        <w:rPr>
          <w:rFonts w:hint="default"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Mostajeran 2018</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24"/>
        <w:gridCol w:w="2113"/>
        <w:gridCol w:w="5342"/>
      </w:tblGrid>
      <w:tr w14:paraId="6FDF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44103E62">
            <w:pPr>
              <w:widowControl w:val="0"/>
              <w:rPr>
                <w:rFonts w:hint="default" w:ascii="Times New Roman" w:hAnsi="Times New Roman" w:cs="Times New Roman"/>
                <w:b w:val="0"/>
                <w:bCs w:val="0"/>
                <w:color w:val="auto"/>
                <w:sz w:val="22"/>
                <w:szCs w:val="36"/>
                <w:highlight w:val="none"/>
                <w:vertAlign w:val="baseline"/>
                <w:lang w:val="en-US" w:eastAsia="zh-CN"/>
              </w:rPr>
            </w:pPr>
            <w:bookmarkStart w:id="51" w:name="OLE_LINK51"/>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gridSpan w:val="3"/>
            <w:tcBorders>
              <w:right w:val="nil"/>
            </w:tcBorders>
          </w:tcPr>
          <w:p w14:paraId="0022A44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This is a randomized, controlled, double blinded clinical trial to evaluate the effect of DHEA on IVF outcome.</w:t>
            </w:r>
          </w:p>
        </w:tc>
      </w:tr>
      <w:tr w14:paraId="17D9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C22425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gridSpan w:val="3"/>
            <w:tcBorders>
              <w:right w:val="nil"/>
            </w:tcBorders>
          </w:tcPr>
          <w:p w14:paraId="1DDA681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Participant with age more than 35 years, normal weight (18 ≤ Body Mass Index ≤ 25) and normal ovarian reserve (Local standard: FSH &lt; 10 IU/L; AMH 2.0-6.80 ng/ml; inhibin B &gt; 45 pg/ml) were included in the study. Semen analysis and spermiocolture, as routine infertility evaluation, were normal in all patients’ sexual partners. We excluded participants with a history of ovarian/pelvic surgery, diagnosed metabolic disorders, chronic diseases, and receiving DHEA and contraceptive before enrollment.</w:t>
            </w:r>
          </w:p>
        </w:tc>
      </w:tr>
      <w:tr w14:paraId="6CE4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F526A1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gridSpan w:val="3"/>
            <w:tcBorders>
              <w:right w:val="nil"/>
            </w:tcBorders>
          </w:tcPr>
          <w:p w14:paraId="75CFEF5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Participants in the intervention group received 25 mg three times daily of DHEA orally 8 weeks before starting the cycle of ovulation induction. Participants in placebo group received tablets contained ineffective lactose and</w:t>
            </w:r>
            <w:r>
              <w:rPr>
                <w:rFonts w:hint="eastAsia" w:ascii="Times New Roman" w:hAnsi="Times New Roman" w:cs="Times New Roman"/>
                <w:b w:val="0"/>
                <w:bCs w:val="0"/>
                <w:color w:val="auto"/>
                <w:sz w:val="22"/>
                <w:szCs w:val="36"/>
                <w:highlight w:val="none"/>
                <w:vertAlign w:val="baseline"/>
                <w:lang w:val="en-US" w:eastAsia="zh-CN"/>
              </w:rPr>
              <w:t xml:space="preserve"> similar in shape, color, and taste as DHEA tablets.</w:t>
            </w:r>
          </w:p>
          <w:p w14:paraId="076BD89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IVF procedure was initiated according to our standard long-stimulation protocol for all the participants .</w:t>
            </w:r>
          </w:p>
        </w:tc>
      </w:tr>
      <w:tr w14:paraId="0FF1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306BE1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gridSpan w:val="3"/>
            <w:tcBorders>
              <w:right w:val="nil"/>
            </w:tcBorders>
          </w:tcPr>
          <w:p w14:paraId="29D9B4C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After 8 weeks, routine procedure of IVF was initiated then Clinical pregnancy, Miscarriage, Endometrial thickness and Duration of stimulation were evaluated for all the participants in both groups.</w:t>
            </w:r>
          </w:p>
        </w:tc>
      </w:tr>
      <w:tr w14:paraId="2EE5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37711A1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gridSpan w:val="3"/>
            <w:tcBorders>
              <w:right w:val="nil"/>
            </w:tcBorders>
          </w:tcPr>
          <w:p w14:paraId="38CD0C5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study protocol was reviewed and approved by the ethics committee of IUMS with number 394715.</w:t>
            </w:r>
          </w:p>
        </w:tc>
      </w:tr>
      <w:tr w14:paraId="5D41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gridSpan w:val="2"/>
            <w:tcBorders>
              <w:left w:val="nil"/>
            </w:tcBorders>
          </w:tcPr>
          <w:p w14:paraId="7EEA3E7B">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639DEF53">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46841E6E">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65B2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tcPr>
          <w:p w14:paraId="1921D94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tcPr>
          <w:p w14:paraId="09E232C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tcPr>
          <w:p w14:paraId="3063DCA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Through a computer-assisted block randomization of size 4, women were allocated at random to 2 groups.</w:t>
            </w:r>
            <w:r>
              <w:rPr>
                <w:rFonts w:hint="default" w:ascii="Times New Roman" w:hAnsi="Times New Roman" w:cs="Times New Roman"/>
                <w:b w:val="0"/>
                <w:bCs w:val="0"/>
                <w:color w:val="auto"/>
                <w:sz w:val="22"/>
                <w:szCs w:val="36"/>
                <w:highlight w:val="none"/>
                <w:vertAlign w:val="baseline"/>
                <w:lang w:val="en-US" w:eastAsia="zh-CN"/>
              </w:rPr>
              <w:t xml:space="preserve"> ”</w:t>
            </w:r>
          </w:p>
        </w:tc>
      </w:tr>
      <w:tr w14:paraId="015E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tcPr>
          <w:p w14:paraId="687BE35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258A5E0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9F057A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0358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393214AD">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7564F8A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377139B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2D60294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bookmarkStart w:id="52" w:name="OLE_LINK50"/>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 xml:space="preserve">This is a randomized, controlled, double blinded clinical trial to evaluate the effect of DHEA on IVF outcome. </w:t>
            </w:r>
            <w:r>
              <w:rPr>
                <w:rFonts w:hint="default" w:ascii="Times New Roman" w:hAnsi="Times New Roman" w:cs="Times New Roman"/>
                <w:b w:val="0"/>
                <w:bCs w:val="0"/>
                <w:color w:val="auto"/>
                <w:sz w:val="22"/>
                <w:szCs w:val="36"/>
                <w:highlight w:val="none"/>
                <w:vertAlign w:val="baseline"/>
                <w:lang w:val="en-US" w:eastAsia="zh-CN"/>
              </w:rPr>
              <w:t>”</w:t>
            </w:r>
            <w:bookmarkEnd w:id="52"/>
          </w:p>
        </w:tc>
      </w:tr>
      <w:tr w14:paraId="473F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76017F27">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04062A3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5811330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47D253F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 xml:space="preserve">This is a randomized, controlled, double blinded clinical trial to evaluate the effect of DHEA on IVF outcome. </w:t>
            </w:r>
            <w:r>
              <w:rPr>
                <w:rFonts w:hint="default" w:ascii="Times New Roman" w:hAnsi="Times New Roman" w:cs="Times New Roman"/>
                <w:b w:val="0"/>
                <w:bCs w:val="0"/>
                <w:color w:val="auto"/>
                <w:sz w:val="22"/>
                <w:szCs w:val="36"/>
                <w:highlight w:val="none"/>
                <w:vertAlign w:val="baseline"/>
                <w:lang w:val="en-US" w:eastAsia="zh-CN"/>
              </w:rPr>
              <w:t>”</w:t>
            </w:r>
          </w:p>
        </w:tc>
      </w:tr>
      <w:tr w14:paraId="0FC9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7C32248B">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65F0E68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265C2B5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6D7099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5705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7FCF3BD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1CF8BE4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69AFF65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 Lack</w:t>
            </w:r>
            <w:r>
              <w:rPr>
                <w:rFonts w:hint="eastAsia" w:ascii="Times New Roman" w:hAnsi="Times New Roman" w:cs="Times New Roman"/>
                <w:b w:val="0"/>
                <w:bCs w:val="0"/>
                <w:color w:val="auto"/>
                <w:sz w:val="22"/>
                <w:szCs w:val="36"/>
                <w:highlight w:val="none"/>
                <w:vertAlign w:val="baseline"/>
                <w:lang w:val="en-US" w:eastAsia="zh-CN"/>
              </w:rPr>
              <w:t xml:space="preserve"> of</w:t>
            </w:r>
            <w:r>
              <w:rPr>
                <w:rFonts w:hint="default" w:ascii="Times New Roman" w:hAnsi="Times New Roman" w:cs="Times New Roman"/>
                <w:b w:val="0"/>
                <w:bCs w:val="0"/>
                <w:color w:val="auto"/>
                <w:sz w:val="22"/>
                <w:szCs w:val="36"/>
                <w:highlight w:val="none"/>
                <w:vertAlign w:val="baseline"/>
                <w:lang w:val="en-US" w:eastAsia="zh-CN"/>
              </w:rPr>
              <w:t xml:space="preserve"> LBR</w:t>
            </w:r>
            <w:r>
              <w:rPr>
                <w:rFonts w:hint="eastAsia" w:ascii="Times New Roman" w:hAnsi="Times New Roman" w:cs="Times New Roman"/>
                <w:b w:val="0"/>
                <w:bCs w:val="0"/>
                <w:color w:val="auto"/>
                <w:sz w:val="22"/>
                <w:szCs w:val="36"/>
                <w:highlight w:val="none"/>
                <w:vertAlign w:val="baseline"/>
                <w:lang w:val="en-US" w:eastAsia="zh-CN"/>
              </w:rPr>
              <w:t>/ongoing pregnancy rate.</w:t>
            </w:r>
          </w:p>
        </w:tc>
      </w:tr>
      <w:tr w14:paraId="5E4C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06FF299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0637FCD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6E1E5C4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bookmarkEnd w:id="51"/>
    </w:tbl>
    <w:p w14:paraId="61B61F53">
      <w:pPr>
        <w:rPr>
          <w:rFonts w:hint="default" w:ascii="Times New Roman" w:hAnsi="Times New Roman" w:cs="Times New Roman"/>
          <w:b/>
          <w:bCs/>
          <w:color w:val="auto"/>
          <w:sz w:val="22"/>
          <w:szCs w:val="36"/>
          <w:highlight w:val="none"/>
          <w:lang w:val="en-US" w:eastAsia="zh-CN"/>
        </w:rPr>
      </w:pPr>
    </w:p>
    <w:p w14:paraId="6224F3ED">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Li 2021</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24"/>
        <w:gridCol w:w="2113"/>
        <w:gridCol w:w="5342"/>
      </w:tblGrid>
      <w:tr w14:paraId="7715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6425150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gridSpan w:val="3"/>
            <w:tcBorders>
              <w:right w:val="nil"/>
            </w:tcBorders>
          </w:tcPr>
          <w:p w14:paraId="59DB92BC">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The aged group was then randomized to receive DHEA or none.</w:t>
            </w:r>
          </w:p>
        </w:tc>
      </w:tr>
      <w:tr w14:paraId="20B5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BB1A55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gridSpan w:val="3"/>
            <w:tcBorders>
              <w:right w:val="nil"/>
            </w:tcBorders>
          </w:tcPr>
          <w:p w14:paraId="14749C4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w:t>
            </w:r>
            <w:r>
              <w:rPr>
                <w:rFonts w:hint="default" w:ascii="Times New Roman" w:hAnsi="Times New Roman" w:cs="Times New Roman"/>
                <w:b w:val="0"/>
                <w:bCs w:val="0"/>
                <w:color w:val="auto"/>
                <w:sz w:val="22"/>
                <w:szCs w:val="36"/>
                <w:highlight w:val="none"/>
                <w:vertAlign w:val="baseline"/>
                <w:lang w:val="en-US" w:eastAsia="zh-CN"/>
              </w:rPr>
              <w:t xml:space="preserve">ged group (age &gt;38 years). The aged group was then randomized to receive DHEA or none. Patients with a history of prior oophorectomy, those who received a donor cycle, those who received pelvic radiotherapy or chemotherapy, and those who received hormonal therapy within the last 3 months were excluded from this study. </w:t>
            </w:r>
          </w:p>
        </w:tc>
      </w:tr>
      <w:tr w14:paraId="155A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EC2401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gridSpan w:val="3"/>
            <w:tcBorders>
              <w:right w:val="nil"/>
            </w:tcBorders>
          </w:tcPr>
          <w:p w14:paraId="16EF189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DHEA patients were given 25 mg DHEA capsules three times daily for at least 8 weeks prior to entering their IVF cycle. The aged no-DHEA group was control group, and the aged-DHEA group was the study group. </w:t>
            </w:r>
          </w:p>
        </w:tc>
      </w:tr>
      <w:tr w14:paraId="11B1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2D6757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gridSpan w:val="3"/>
            <w:tcBorders>
              <w:right w:val="nil"/>
            </w:tcBorders>
          </w:tcPr>
          <w:p w14:paraId="04DA18E7">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w:t>
            </w:r>
            <w:r>
              <w:rPr>
                <w:rFonts w:hint="default" w:ascii="Times New Roman" w:hAnsi="Times New Roman" w:cs="Times New Roman"/>
                <w:b w:val="0"/>
                <w:bCs w:val="0"/>
                <w:color w:val="auto"/>
                <w:sz w:val="22"/>
                <w:szCs w:val="36"/>
                <w:highlight w:val="none"/>
                <w:vertAlign w:val="baseline"/>
                <w:lang w:val="en-US" w:eastAsia="zh-CN"/>
              </w:rPr>
              <w:t xml:space="preserve">umbers of retrieved oocytes, metaphase II oocytes, maturation rate, fertilized oocytes, number of day-three (D3) embryos, and number of top-quality D3 embryos. </w:t>
            </w:r>
            <w:r>
              <w:rPr>
                <w:rFonts w:hint="eastAsia" w:ascii="Times New Roman" w:hAnsi="Times New Roman" w:cs="Times New Roman"/>
                <w:b w:val="0"/>
                <w:bCs w:val="0"/>
                <w:color w:val="auto"/>
                <w:sz w:val="22"/>
                <w:szCs w:val="36"/>
                <w:highlight w:val="none"/>
                <w:vertAlign w:val="baseline"/>
                <w:lang w:val="en-US" w:eastAsia="zh-CN"/>
              </w:rPr>
              <w:t>C</w:t>
            </w:r>
            <w:r>
              <w:rPr>
                <w:rFonts w:hint="default" w:ascii="Times New Roman" w:hAnsi="Times New Roman" w:cs="Times New Roman"/>
                <w:b w:val="0"/>
                <w:bCs w:val="0"/>
                <w:color w:val="auto"/>
                <w:sz w:val="22"/>
                <w:szCs w:val="36"/>
                <w:highlight w:val="none"/>
                <w:vertAlign w:val="baseline"/>
                <w:lang w:val="en-US" w:eastAsia="zh-CN"/>
              </w:rPr>
              <w:t>linical pregnancy rate, ongoing pregnancy rate and live birth rate</w:t>
            </w:r>
            <w:r>
              <w:rPr>
                <w:rFonts w:hint="eastAsia" w:ascii="Times New Roman" w:hAnsi="Times New Roman" w:cs="Times New Roman"/>
                <w:b w:val="0"/>
                <w:bCs w:val="0"/>
                <w:color w:val="auto"/>
                <w:sz w:val="22"/>
                <w:szCs w:val="36"/>
                <w:highlight w:val="none"/>
                <w:vertAlign w:val="baseline"/>
                <w:lang w:val="en-US" w:eastAsia="zh-CN"/>
              </w:rPr>
              <w:t xml:space="preserve">. </w:t>
            </w:r>
          </w:p>
          <w:p w14:paraId="29D4A33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Enrichment Analysis ofKey Modules of</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CCs by DHEA</w:t>
            </w:r>
            <w:r>
              <w:rPr>
                <w:rFonts w:hint="eastAsia" w:ascii="Times New Roman" w:hAnsi="Times New Roman" w:cs="Times New Roman"/>
                <w:b w:val="0"/>
                <w:bCs w:val="0"/>
                <w:color w:val="auto"/>
                <w:sz w:val="22"/>
                <w:szCs w:val="36"/>
                <w:highlight w:val="none"/>
                <w:vertAlign w:val="baseline"/>
                <w:lang w:val="en-US" w:eastAsia="zh-CN"/>
              </w:rPr>
              <w:t>.</w:t>
            </w:r>
          </w:p>
        </w:tc>
      </w:tr>
      <w:tr w14:paraId="07AC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431DD50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gridSpan w:val="3"/>
            <w:tcBorders>
              <w:right w:val="nil"/>
            </w:tcBorders>
          </w:tcPr>
          <w:p w14:paraId="6ADC1B0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study was also registered in the Clinical Trial Register (ClinicalTrials.gov Identifier: NCT03438812).</w:t>
            </w:r>
          </w:p>
        </w:tc>
      </w:tr>
      <w:tr w14:paraId="10B2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01" w:type="dxa"/>
            <w:gridSpan w:val="2"/>
            <w:tcBorders>
              <w:left w:val="nil"/>
            </w:tcBorders>
          </w:tcPr>
          <w:p w14:paraId="3578CB0A">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13" w:type="dxa"/>
            <w:tcBorders>
              <w:right w:val="nil"/>
            </w:tcBorders>
          </w:tcPr>
          <w:p w14:paraId="52392AFC">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22854442">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1621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tcPr>
          <w:p w14:paraId="53CAE9C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13" w:type="dxa"/>
            <w:tcBorders>
              <w:right w:val="nil"/>
            </w:tcBorders>
            <w:vAlign w:val="top"/>
          </w:tcPr>
          <w:p w14:paraId="45ED05DE">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6940F3DF">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0DE1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tcPr>
          <w:p w14:paraId="6340D30C">
            <w:pPr>
              <w:widowControl w:val="0"/>
              <w:rPr>
                <w:rFonts w:hint="default" w:ascii="Times New Roman" w:hAnsi="Times New Roman" w:cs="Times New Roman"/>
                <w:b w:val="0"/>
                <w:bCs w:val="0"/>
                <w:color w:val="auto"/>
                <w:sz w:val="22"/>
                <w:szCs w:val="36"/>
                <w:highlight w:val="none"/>
                <w:vertAlign w:val="baseline"/>
                <w:lang w:val="en-US" w:eastAsia="zh-CN"/>
              </w:rPr>
            </w:pPr>
            <w:bookmarkStart w:id="53" w:name="OLE_LINK52" w:colFirst="1" w:colLast="2"/>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13" w:type="dxa"/>
            <w:tcBorders>
              <w:right w:val="nil"/>
            </w:tcBorders>
            <w:vAlign w:val="top"/>
          </w:tcPr>
          <w:p w14:paraId="48B050B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C5AD6F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bookmarkEnd w:id="53"/>
      <w:tr w14:paraId="1F64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14A59311">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67A325C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1B183AE9">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3EA22B0E">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w:t>
            </w:r>
            <w:r>
              <w:rPr>
                <w:rFonts w:hint="default" w:ascii="Times New Roman" w:hAnsi="Times New Roman" w:cs="Times New Roman"/>
                <w:b w:val="0"/>
                <w:bCs w:val="0"/>
                <w:color w:val="auto"/>
                <w:sz w:val="22"/>
                <w:szCs w:val="36"/>
                <w:highlight w:val="none"/>
                <w:vertAlign w:val="baseline"/>
                <w:lang w:val="en-US" w:eastAsia="zh-CN"/>
              </w:rPr>
              <w:t>t is clear participants were not blinded.</w:t>
            </w:r>
            <w:r>
              <w:rPr>
                <w:rFonts w:hint="eastAsia" w:ascii="Times New Roman" w:hAnsi="Times New Roman" w:cs="Times New Roman"/>
                <w:b w:val="0"/>
                <w:bCs w:val="0"/>
                <w:color w:val="auto"/>
                <w:sz w:val="22"/>
                <w:szCs w:val="36"/>
                <w:highlight w:val="none"/>
                <w:vertAlign w:val="baseline"/>
                <w:lang w:val="en-US" w:eastAsia="zh-CN"/>
              </w:rPr>
              <w:t xml:space="preserve"> Control group unblinded as received no treatment.</w:t>
            </w:r>
          </w:p>
        </w:tc>
      </w:tr>
      <w:tr w14:paraId="3EE6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65A553F9">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1764553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vAlign w:val="top"/>
          </w:tcPr>
          <w:p w14:paraId="1A4C1572">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1C2CE27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7F06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216675E9">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2FCD97A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13" w:type="dxa"/>
            <w:tcBorders>
              <w:right w:val="nil"/>
            </w:tcBorders>
          </w:tcPr>
          <w:p w14:paraId="7FF0789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C51E73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67E2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55D50A8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13" w:type="dxa"/>
            <w:tcBorders>
              <w:right w:val="nil"/>
            </w:tcBorders>
            <w:vAlign w:val="top"/>
          </w:tcPr>
          <w:p w14:paraId="53B21B7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797987EB">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stated outcomes were reported.</w:t>
            </w:r>
          </w:p>
        </w:tc>
      </w:tr>
      <w:tr w14:paraId="0CAA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gridSpan w:val="2"/>
            <w:tcBorders>
              <w:left w:val="nil"/>
            </w:tcBorders>
            <w:vAlign w:val="top"/>
          </w:tcPr>
          <w:p w14:paraId="2280875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13" w:type="dxa"/>
            <w:tcBorders>
              <w:right w:val="nil"/>
            </w:tcBorders>
            <w:vAlign w:val="top"/>
          </w:tcPr>
          <w:p w14:paraId="2524F93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7935C1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2279163C">
      <w:pPr>
        <w:rPr>
          <w:rFonts w:hint="default" w:ascii="Times New Roman" w:hAnsi="Times New Roman" w:cs="Times New Roman"/>
          <w:b/>
          <w:bCs/>
          <w:color w:val="auto"/>
          <w:sz w:val="22"/>
          <w:szCs w:val="36"/>
          <w:highlight w:val="none"/>
          <w:lang w:val="en-US" w:eastAsia="zh-CN"/>
        </w:rPr>
      </w:pPr>
    </w:p>
    <w:p w14:paraId="39378C6A">
      <w:pPr>
        <w:rPr>
          <w:rFonts w:hint="eastAsia" w:ascii="Times New Roman" w:hAnsi="Times New Roman" w:cs="Times New Roman"/>
          <w:b/>
          <w:bCs/>
          <w:color w:val="auto"/>
          <w:sz w:val="22"/>
          <w:szCs w:val="36"/>
          <w:highlight w:val="none"/>
          <w:lang w:val="en-US" w:eastAsia="zh-CN"/>
        </w:rPr>
      </w:pPr>
      <w:r>
        <w:rPr>
          <w:rFonts w:hint="eastAsia" w:ascii="Times New Roman" w:hAnsi="Times New Roman" w:cs="Times New Roman"/>
          <w:b/>
          <w:bCs/>
          <w:color w:val="auto"/>
          <w:sz w:val="22"/>
          <w:szCs w:val="36"/>
          <w:highlight w:val="none"/>
          <w:lang w:val="en-US" w:eastAsia="zh-CN"/>
        </w:rPr>
        <w:t>Zhang 2021</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2137"/>
        <w:gridCol w:w="5342"/>
      </w:tblGrid>
      <w:tr w14:paraId="3A42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3256F30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gridSpan w:val="2"/>
            <w:tcBorders>
              <w:right w:val="nil"/>
            </w:tcBorders>
          </w:tcPr>
          <w:p w14:paraId="3FB12A9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 xml:space="preserve">Female patients diagnosed with EMT in our hospital from May 2018 to May 2019 were selected. </w:t>
            </w:r>
            <w:bookmarkStart w:id="54" w:name="OLE_LINK53"/>
            <w:r>
              <w:rPr>
                <w:rFonts w:hint="eastAsia" w:ascii="Times New Roman" w:hAnsi="Times New Roman" w:cs="Times New Roman"/>
                <w:b w:val="0"/>
                <w:bCs w:val="0"/>
                <w:color w:val="auto"/>
                <w:sz w:val="22"/>
                <w:szCs w:val="36"/>
                <w:highlight w:val="none"/>
                <w:vertAlign w:val="baseline"/>
                <w:lang w:val="en-US" w:eastAsia="zh-CN"/>
              </w:rPr>
              <w:t>The patients were divided into the control group and the DHEA group according to the random number table.</w:t>
            </w:r>
            <w:bookmarkEnd w:id="54"/>
            <w:r>
              <w:rPr>
                <w:rFonts w:hint="eastAsia" w:ascii="Times New Roman" w:hAnsi="Times New Roman" w:cs="Times New Roman"/>
                <w:b w:val="0"/>
                <w:bCs w:val="0"/>
                <w:color w:val="auto"/>
                <w:sz w:val="22"/>
                <w:szCs w:val="36"/>
                <w:highlight w:val="none"/>
                <w:vertAlign w:val="baseline"/>
                <w:lang w:val="en-US" w:eastAsia="zh-CN"/>
              </w:rPr>
              <w:t xml:space="preserve"> </w:t>
            </w:r>
          </w:p>
        </w:tc>
      </w:tr>
      <w:tr w14:paraId="56E5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883FAB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gridSpan w:val="2"/>
            <w:tcBorders>
              <w:right w:val="nil"/>
            </w:tcBorders>
          </w:tcPr>
          <w:p w14:paraId="51DD5FC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 women who were diagnosed with EMT. Inclusion criteria were as follows: (1) age between 25 and 40 years; (2) women who had tried to conceive for at least 1 year; (3) women who will receive IVF; and (4) women who were diagnosed with EMT. Exclusion criteria  were as follows: (1) women who have experienced three or more IVF cycles with no success; (2) women diagnosed with uterine malformation or abnormality; (3) women diagnosed with hydrosalpinx; (4) women who had experienced two or more spontaneous abortions; (5) couples with female or male diagnosed with chromosome abnormality; (6) women who had carried out chemotherapy with cytotoxic agents; (7) women who had carried out pelvic radiotherapy; (8) women who had taken DHEA before the enrollment; (9) women with a history of epilepsy; (10) women with PCOS; and (11) women who are allergic to DHEA.</w:t>
            </w:r>
          </w:p>
        </w:tc>
      </w:tr>
      <w:tr w14:paraId="4619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D9366C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gridSpan w:val="2"/>
            <w:tcBorders>
              <w:right w:val="nil"/>
            </w:tcBorders>
          </w:tcPr>
          <w:p w14:paraId="568BF43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Patients in the control group were treated with placebo, while patients in the DHEA group were treated with DHEA. Two groups of patients took the oral administration of DHEA (25 mg) or placebo three times a day from the first day of the menstrual period for 90 days. </w:t>
            </w:r>
          </w:p>
          <w:p w14:paraId="6FBFDFA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 long-term IVF-ET protocol was used in this research.</w:t>
            </w:r>
          </w:p>
        </w:tc>
      </w:tr>
      <w:tr w14:paraId="6FC8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BFAE6F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gridSpan w:val="2"/>
            <w:tcBorders>
              <w:right w:val="nil"/>
            </w:tcBorders>
          </w:tcPr>
          <w:p w14:paraId="0698090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Serum sex hormone levels including serum E</w:t>
            </w:r>
            <w:r>
              <w:rPr>
                <w:rFonts w:hint="eastAsia" w:ascii="Times New Roman" w:hAnsi="Times New Roman" w:cs="Times New Roman"/>
                <w:b w:val="0"/>
                <w:bCs w:val="0"/>
                <w:color w:val="auto"/>
                <w:sz w:val="22"/>
                <w:szCs w:val="36"/>
                <w:highlight w:val="none"/>
                <w:vertAlign w:val="subscript"/>
                <w:lang w:val="en-US" w:eastAsia="zh-CN"/>
              </w:rPr>
              <w:t>2</w:t>
            </w:r>
            <w:r>
              <w:rPr>
                <w:rFonts w:hint="eastAsia" w:ascii="Times New Roman" w:hAnsi="Times New Roman" w:cs="Times New Roman"/>
                <w:b w:val="0"/>
                <w:bCs w:val="0"/>
                <w:color w:val="auto"/>
                <w:sz w:val="22"/>
                <w:szCs w:val="36"/>
                <w:highlight w:val="none"/>
                <w:vertAlign w:val="baseline"/>
                <w:lang w:val="en-US" w:eastAsia="zh-CN"/>
              </w:rPr>
              <w:t xml:space="preserve"> on hCG day, mean progesterone on hCG day, FSH on day 2, AMH on day 2, and gonadotropin dose were determined using a chemiluminescent immunoassay kit. The number of antral follicles of the bilateral ovaries was counted by transvaginal B-ultrasound, and the maximum length and transverse diameter ofthe ovaries were measured at the same time, to calculate the average diameter of the ovaries, observe the morphology of endometrium, and measure the thickness of the endometrium. The implantation rate, clinical pregnancy rate, persistent pregnancy rate, and live birth rate were compared between the two groups. </w:t>
            </w:r>
          </w:p>
        </w:tc>
      </w:tr>
      <w:tr w14:paraId="4341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8517FD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gridSpan w:val="2"/>
            <w:tcBorders>
              <w:right w:val="nil"/>
            </w:tcBorders>
          </w:tcPr>
          <w:p w14:paraId="02EB34D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study was approved by the Ethics Committee of the Second Affiliated Hospital, Hengyang Medical School, University of South China (2018026ET).</w:t>
            </w:r>
          </w:p>
        </w:tc>
      </w:tr>
      <w:tr w14:paraId="5E08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5C8E73AA">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37" w:type="dxa"/>
            <w:tcBorders>
              <w:right w:val="nil"/>
            </w:tcBorders>
          </w:tcPr>
          <w:p w14:paraId="394A1731">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7249E091">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0CF0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6CC67E8">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37" w:type="dxa"/>
            <w:tcBorders>
              <w:right w:val="nil"/>
            </w:tcBorders>
            <w:vAlign w:val="top"/>
          </w:tcPr>
          <w:p w14:paraId="5C60DD9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5B953F6D">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The patients were divided into the control group and the DHEA group according to the random number table.</w:t>
            </w:r>
            <w:r>
              <w:rPr>
                <w:rFonts w:hint="default" w:ascii="Times New Roman" w:hAnsi="Times New Roman" w:cs="Times New Roman"/>
                <w:b w:val="0"/>
                <w:bCs w:val="0"/>
                <w:color w:val="auto"/>
                <w:sz w:val="22"/>
                <w:szCs w:val="36"/>
                <w:highlight w:val="none"/>
                <w:vertAlign w:val="baseline"/>
                <w:lang w:val="en-US" w:eastAsia="zh-CN"/>
              </w:rPr>
              <w:t>”</w:t>
            </w:r>
          </w:p>
        </w:tc>
      </w:tr>
      <w:tr w14:paraId="6466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19CFB45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37" w:type="dxa"/>
            <w:tcBorders>
              <w:right w:val="nil"/>
            </w:tcBorders>
            <w:vAlign w:val="top"/>
          </w:tcPr>
          <w:p w14:paraId="7049A363">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5BF48F8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3837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28EFD06D">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6058D77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37" w:type="dxa"/>
            <w:tcBorders>
              <w:right w:val="nil"/>
            </w:tcBorders>
            <w:vAlign w:val="top"/>
          </w:tcPr>
          <w:p w14:paraId="47834BEC">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5B4AF130">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“Both the DHEA and placebo components were prescribed by pharmacists who did not participate in this clinical study. The pharmacist packed the DHEA and placebo pills according to the random list and labeled the subject number on the drug packaging. ”</w:t>
            </w:r>
          </w:p>
        </w:tc>
      </w:tr>
      <w:tr w14:paraId="5442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77F7E9A6">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690EE88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37" w:type="dxa"/>
            <w:tcBorders>
              <w:right w:val="nil"/>
            </w:tcBorders>
            <w:vAlign w:val="top"/>
          </w:tcPr>
          <w:p w14:paraId="2FB7F43B">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20BD942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No information given.</w:t>
            </w:r>
          </w:p>
        </w:tc>
      </w:tr>
      <w:tr w14:paraId="06F4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73B2E587">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26BBA8F1">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37" w:type="dxa"/>
            <w:tcBorders>
              <w:right w:val="nil"/>
            </w:tcBorders>
          </w:tcPr>
          <w:p w14:paraId="78F832DE">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20B280F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5BC8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1825CDA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37" w:type="dxa"/>
            <w:tcBorders>
              <w:right w:val="nil"/>
            </w:tcBorders>
            <w:vAlign w:val="top"/>
          </w:tcPr>
          <w:p w14:paraId="5AB39CC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High</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0772994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T</w:t>
            </w:r>
            <w:r>
              <w:rPr>
                <w:rFonts w:hint="default" w:ascii="Times New Roman" w:hAnsi="Times New Roman" w:cs="Times New Roman"/>
                <w:b w:val="0"/>
                <w:bCs w:val="0"/>
                <w:color w:val="auto"/>
                <w:sz w:val="22"/>
                <w:szCs w:val="36"/>
                <w:highlight w:val="none"/>
                <w:vertAlign w:val="baseline"/>
                <w:lang w:val="en-US" w:eastAsia="zh-CN"/>
              </w:rPr>
              <w:t>he morphology of endometrium</w:t>
            </w:r>
            <w:r>
              <w:rPr>
                <w:rFonts w:hint="eastAsia" w:ascii="Times New Roman" w:hAnsi="Times New Roman" w:cs="Times New Roman"/>
                <w:b w:val="0"/>
                <w:bCs w:val="0"/>
                <w:color w:val="auto"/>
                <w:sz w:val="22"/>
                <w:szCs w:val="36"/>
                <w:highlight w:val="none"/>
                <w:vertAlign w:val="baseline"/>
                <w:lang w:val="en-US" w:eastAsia="zh-CN"/>
              </w:rPr>
              <w:t xml:space="preserve"> was not described.</w:t>
            </w:r>
          </w:p>
        </w:tc>
      </w:tr>
      <w:tr w14:paraId="0DE0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4350FBB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37" w:type="dxa"/>
            <w:tcBorders>
              <w:right w:val="nil"/>
            </w:tcBorders>
            <w:vAlign w:val="top"/>
          </w:tcPr>
          <w:p w14:paraId="604B82A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014D42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2F35E148">
      <w:pPr>
        <w:rPr>
          <w:rFonts w:hint="default" w:ascii="Times New Roman" w:hAnsi="Times New Roman" w:cs="Times New Roman"/>
          <w:b/>
          <w:bCs/>
          <w:color w:val="auto"/>
          <w:sz w:val="22"/>
          <w:szCs w:val="36"/>
          <w:highlight w:val="none"/>
          <w:lang w:val="en-US" w:eastAsia="zh-CN"/>
        </w:rPr>
      </w:pPr>
    </w:p>
    <w:p w14:paraId="734D4DA7">
      <w:pPr>
        <w:rPr>
          <w:rFonts w:hint="eastAsia" w:ascii="Times New Roman" w:hAnsi="Times New Roman" w:cs="Times New Roman"/>
          <w:b/>
          <w:bCs/>
          <w:color w:val="auto"/>
          <w:sz w:val="22"/>
          <w:szCs w:val="36"/>
          <w:highlight w:val="none"/>
          <w:lang w:val="en-US" w:eastAsia="zh-CN"/>
        </w:rPr>
      </w:pPr>
      <w:r>
        <w:rPr>
          <w:rFonts w:hint="default" w:ascii="Times New Roman" w:hAnsi="Times New Roman" w:cs="Times New Roman"/>
          <w:b/>
          <w:bCs/>
          <w:color w:val="auto"/>
          <w:sz w:val="22"/>
          <w:szCs w:val="36"/>
          <w:highlight w:val="none"/>
          <w:lang w:val="en-US" w:eastAsia="zh-CN"/>
        </w:rPr>
        <w:t>Wang</w:t>
      </w:r>
      <w:r>
        <w:rPr>
          <w:rFonts w:hint="eastAsia" w:ascii="Times New Roman" w:hAnsi="Times New Roman" w:cs="Times New Roman"/>
          <w:b/>
          <w:bCs/>
          <w:color w:val="auto"/>
          <w:sz w:val="22"/>
          <w:szCs w:val="36"/>
          <w:highlight w:val="none"/>
          <w:lang w:val="en-US" w:eastAsia="zh-CN"/>
        </w:rPr>
        <w:t xml:space="preserve"> 2022</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2137"/>
        <w:gridCol w:w="5342"/>
      </w:tblGrid>
      <w:tr w14:paraId="39A2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35089A8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Methods</w:t>
            </w:r>
          </w:p>
        </w:tc>
        <w:tc>
          <w:tcPr>
            <w:tcW w:w="7479" w:type="dxa"/>
            <w:gridSpan w:val="2"/>
            <w:tcBorders>
              <w:right w:val="nil"/>
            </w:tcBorders>
          </w:tcPr>
          <w:p w14:paraId="1BF0FE50">
            <w:pPr>
              <w:widowControl w:val="0"/>
              <w:rPr>
                <w:rFonts w:hint="default" w:ascii="Times New Roman" w:hAnsi="Times New Roman" w:cs="Times New Roman"/>
                <w:b w:val="0"/>
                <w:bCs w:val="0"/>
                <w:color w:val="auto"/>
                <w:sz w:val="22"/>
                <w:szCs w:val="36"/>
                <w:highlight w:val="none"/>
                <w:vertAlign w:val="baseline"/>
                <w:lang w:val="en-US" w:eastAsia="zh-CN"/>
              </w:rPr>
            </w:pPr>
            <w:bookmarkStart w:id="55" w:name="OLE_LINK55"/>
            <w:r>
              <w:rPr>
                <w:rFonts w:hint="eastAsia" w:ascii="Times New Roman" w:hAnsi="Times New Roman" w:cs="Times New Roman"/>
                <w:b w:val="0"/>
                <w:bCs w:val="0"/>
                <w:color w:val="auto"/>
                <w:sz w:val="22"/>
                <w:szCs w:val="36"/>
                <w:highlight w:val="none"/>
                <w:vertAlign w:val="baseline"/>
                <w:lang w:val="en-US" w:eastAsia="zh-CN"/>
              </w:rPr>
              <w:t>An independent staff member randomly allocated eligible participants to receive either DHEA or placebo, in a 1:1 ratio, according to a computer- generated randomisation list at the coordinating centre</w:t>
            </w:r>
            <w:bookmarkEnd w:id="55"/>
            <w:r>
              <w:rPr>
                <w:rFonts w:hint="eastAsia" w:ascii="Times New Roman" w:hAnsi="Times New Roman" w:cs="Times New Roman"/>
                <w:b w:val="0"/>
                <w:bCs w:val="0"/>
                <w:color w:val="auto"/>
                <w:sz w:val="22"/>
                <w:szCs w:val="36"/>
                <w:highlight w:val="none"/>
                <w:vertAlign w:val="baseline"/>
                <w:lang w:val="en-US" w:eastAsia="zh-CN"/>
              </w:rPr>
              <w:t>.</w:t>
            </w:r>
          </w:p>
        </w:tc>
      </w:tr>
      <w:tr w14:paraId="7E29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24233CD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Participants</w:t>
            </w:r>
          </w:p>
        </w:tc>
        <w:tc>
          <w:tcPr>
            <w:tcW w:w="7479" w:type="dxa"/>
            <w:gridSpan w:val="2"/>
            <w:tcBorders>
              <w:right w:val="nil"/>
            </w:tcBorders>
          </w:tcPr>
          <w:p w14:paraId="5AEE3275">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Women with POR who were scheduled for IVF or ICSI treatment were eligible for enrolment. The diagnosis of POR was based on the Bologna criteria.15 Women were excluded if they: (i) failed to obtain clinical pregnancy after three or more IVF/ICSI cycles; (ii) had a history of two or more recurrent pregnancy losses (biochemical miscarriage was excluded); (iii) were diagnosed with uterine abnormalities using hysteroscopy or diagnosed with hydrosalpinx using hysterosalpingography; (iv) had a history of chemotherapy with cytotoxic agents, pelvic radiotherapy or epilepsy; (v) had taken DHEA before study enrolment; or (vi) were allergic to DHEA.</w:t>
            </w:r>
          </w:p>
        </w:tc>
      </w:tr>
      <w:tr w14:paraId="551D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5D8B680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Interventions</w:t>
            </w:r>
          </w:p>
        </w:tc>
        <w:tc>
          <w:tcPr>
            <w:tcW w:w="7479" w:type="dxa"/>
            <w:gridSpan w:val="2"/>
            <w:tcBorders>
              <w:right w:val="nil"/>
            </w:tcBorders>
          </w:tcPr>
          <w:p w14:paraId="77C0E21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After randomisation, oral DHEA/placebo was administered at a dose of </w:t>
            </w:r>
            <w:bookmarkStart w:id="56" w:name="OLE_LINK54"/>
            <w:r>
              <w:rPr>
                <w:rFonts w:hint="default" w:ascii="Times New Roman" w:hAnsi="Times New Roman" w:cs="Times New Roman"/>
                <w:b w:val="0"/>
                <w:bCs w:val="0"/>
                <w:color w:val="auto"/>
                <w:sz w:val="22"/>
                <w:szCs w:val="36"/>
                <w:highlight w:val="none"/>
                <w:vertAlign w:val="baseline"/>
                <w:lang w:val="en-US" w:eastAsia="zh-CN"/>
              </w:rPr>
              <w:t>25 mg three times daily for 4</w:t>
            </w:r>
            <w:r>
              <w:rPr>
                <w:rFonts w:hint="eastAsia" w:ascii="Times New Roman" w:hAnsi="Times New Roman" w:cs="Times New Roman"/>
                <w:b w:val="0"/>
                <w:bCs w:val="0"/>
                <w:color w:val="auto"/>
                <w:sz w:val="22"/>
                <w:szCs w:val="36"/>
                <w:highlight w:val="none"/>
                <w:vertAlign w:val="baseline"/>
                <w:lang w:val="en-US" w:eastAsia="zh-CN"/>
              </w:rPr>
              <w:t>-</w:t>
            </w:r>
            <w:r>
              <w:rPr>
                <w:rFonts w:hint="default" w:ascii="Times New Roman" w:hAnsi="Times New Roman" w:cs="Times New Roman"/>
                <w:b w:val="0"/>
                <w:bCs w:val="0"/>
                <w:color w:val="auto"/>
                <w:sz w:val="22"/>
                <w:szCs w:val="36"/>
                <w:highlight w:val="none"/>
                <w:vertAlign w:val="baseline"/>
                <w:lang w:val="en-US" w:eastAsia="zh-CN"/>
              </w:rPr>
              <w:t xml:space="preserve">12 weeks to study participants, from the first day of their menstrual period until the day before oocyte retrieval. </w:t>
            </w:r>
            <w:bookmarkEnd w:id="56"/>
          </w:p>
          <w:p w14:paraId="75F1166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 short agonist protocol was prioritised for COH. </w:t>
            </w:r>
          </w:p>
        </w:tc>
      </w:tr>
      <w:tr w14:paraId="51D5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4C1715FD">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Outcomes</w:t>
            </w:r>
          </w:p>
        </w:tc>
        <w:tc>
          <w:tcPr>
            <w:tcW w:w="7479" w:type="dxa"/>
            <w:gridSpan w:val="2"/>
            <w:tcBorders>
              <w:right w:val="nil"/>
            </w:tcBorders>
          </w:tcPr>
          <w:p w14:paraId="33D8F1B3">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LBR, CPR,Clinical pregnancy loss rate and continuing pregnancy rate</w:t>
            </w:r>
            <w:r>
              <w:rPr>
                <w:rFonts w:hint="eastAsia" w:ascii="Times New Roman" w:hAnsi="Times New Roman" w:cs="Times New Roman"/>
                <w:b w:val="0"/>
                <w:bCs w:val="0"/>
                <w:color w:val="auto"/>
                <w:sz w:val="22"/>
                <w:szCs w:val="36"/>
                <w:highlight w:val="none"/>
                <w:vertAlign w:val="baseline"/>
                <w:lang w:val="en-US" w:eastAsia="zh-CN"/>
              </w:rPr>
              <w:t>.</w:t>
            </w:r>
          </w:p>
        </w:tc>
      </w:tr>
      <w:tr w14:paraId="0516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0625659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Notes</w:t>
            </w:r>
          </w:p>
        </w:tc>
        <w:tc>
          <w:tcPr>
            <w:tcW w:w="7479" w:type="dxa"/>
            <w:gridSpan w:val="2"/>
            <w:tcBorders>
              <w:right w:val="nil"/>
            </w:tcBorders>
          </w:tcPr>
          <w:p w14:paraId="4E14EEBA">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This work was supported by the National Key Research and</w:t>
            </w:r>
            <w:r>
              <w:rPr>
                <w:rFonts w:hint="eastAsia" w:ascii="Times New Roman" w:hAnsi="Times New Roman" w:cs="Times New Roman"/>
                <w:b w:val="0"/>
                <w:bCs w:val="0"/>
                <w:color w:val="auto"/>
                <w:sz w:val="22"/>
                <w:szCs w:val="36"/>
                <w:highlight w:val="none"/>
                <w:vertAlign w:val="baseline"/>
                <w:lang w:val="en-US" w:eastAsia="zh-CN"/>
              </w:rPr>
              <w:t xml:space="preserve"> </w:t>
            </w:r>
            <w:r>
              <w:rPr>
                <w:rFonts w:hint="default" w:ascii="Times New Roman" w:hAnsi="Times New Roman" w:cs="Times New Roman"/>
                <w:b w:val="0"/>
                <w:bCs w:val="0"/>
                <w:color w:val="auto"/>
                <w:sz w:val="22"/>
                <w:szCs w:val="36"/>
                <w:highlight w:val="none"/>
                <w:vertAlign w:val="baseline"/>
                <w:lang w:val="en-US" w:eastAsia="zh-CN"/>
              </w:rPr>
              <w:t>Development Program of China (grant nos 2017YFC1001004 and 2018YFC1003202), the Taishan Scholar Project Special Funds of China (grant no. ts201712103) and the Shandong Provincial Key Research and Development Program of China (grant no. 2018YFJH0504).</w:t>
            </w:r>
          </w:p>
        </w:tc>
      </w:tr>
      <w:tr w14:paraId="5C83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77" w:type="dxa"/>
            <w:tcBorders>
              <w:left w:val="nil"/>
            </w:tcBorders>
          </w:tcPr>
          <w:p w14:paraId="0E5E6C2F">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Bias</w:t>
            </w:r>
          </w:p>
        </w:tc>
        <w:tc>
          <w:tcPr>
            <w:tcW w:w="2137" w:type="dxa"/>
            <w:tcBorders>
              <w:right w:val="nil"/>
            </w:tcBorders>
          </w:tcPr>
          <w:p w14:paraId="5036B75D">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Authors</w:t>
            </w:r>
            <w:r>
              <w:rPr>
                <w:rFonts w:hint="default" w:ascii="Times New Roman" w:hAnsi="Times New Roman" w:cs="Times New Roman"/>
                <w:b/>
                <w:bCs/>
                <w:color w:val="auto"/>
                <w:sz w:val="22"/>
                <w:szCs w:val="36"/>
                <w:highlight w:val="none"/>
                <w:vertAlign w:val="baseline"/>
                <w:lang w:val="en-US" w:eastAsia="zh-CN"/>
              </w:rPr>
              <w:t>’</w:t>
            </w:r>
            <w:r>
              <w:rPr>
                <w:rFonts w:hint="eastAsia" w:ascii="Times New Roman" w:hAnsi="Times New Roman" w:cs="Times New Roman"/>
                <w:b/>
                <w:bCs/>
                <w:color w:val="auto"/>
                <w:sz w:val="22"/>
                <w:szCs w:val="36"/>
                <w:highlight w:val="none"/>
                <w:vertAlign w:val="baseline"/>
                <w:lang w:val="en-US" w:eastAsia="zh-CN"/>
              </w:rPr>
              <w:t xml:space="preserve"> judgement</w:t>
            </w:r>
          </w:p>
        </w:tc>
        <w:tc>
          <w:tcPr>
            <w:tcW w:w="5342" w:type="dxa"/>
            <w:tcBorders>
              <w:right w:val="nil"/>
            </w:tcBorders>
          </w:tcPr>
          <w:p w14:paraId="0AFC0414">
            <w:pPr>
              <w:widowControl w:val="0"/>
              <w:rPr>
                <w:rFonts w:hint="default" w:ascii="Times New Roman" w:hAnsi="Times New Roman" w:cs="Times New Roman"/>
                <w:b/>
                <w:bCs/>
                <w:color w:val="auto"/>
                <w:sz w:val="22"/>
                <w:szCs w:val="36"/>
                <w:highlight w:val="none"/>
                <w:vertAlign w:val="baseline"/>
                <w:lang w:val="en-US" w:eastAsia="zh-CN"/>
              </w:rPr>
            </w:pPr>
            <w:r>
              <w:rPr>
                <w:rFonts w:hint="eastAsia" w:ascii="Times New Roman" w:hAnsi="Times New Roman" w:cs="Times New Roman"/>
                <w:b/>
                <w:bCs/>
                <w:color w:val="auto"/>
                <w:sz w:val="22"/>
                <w:szCs w:val="36"/>
                <w:highlight w:val="none"/>
                <w:vertAlign w:val="baseline"/>
                <w:lang w:val="en-US" w:eastAsia="zh-CN"/>
              </w:rPr>
              <w:t>Support for judgement</w:t>
            </w:r>
          </w:p>
        </w:tc>
      </w:tr>
      <w:tr w14:paraId="5135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406C14E6">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Random sequence generation (selection bias)</w:t>
            </w:r>
          </w:p>
        </w:tc>
        <w:tc>
          <w:tcPr>
            <w:tcW w:w="2137" w:type="dxa"/>
            <w:tcBorders>
              <w:right w:val="nil"/>
            </w:tcBorders>
            <w:vAlign w:val="top"/>
          </w:tcPr>
          <w:p w14:paraId="3C720DB2">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51F3B273">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w:t>
            </w:r>
            <w:r>
              <w:rPr>
                <w:rFonts w:hint="eastAsia" w:ascii="Times New Roman" w:hAnsi="Times New Roman" w:cs="Times New Roman"/>
                <w:b w:val="0"/>
                <w:bCs w:val="0"/>
                <w:color w:val="auto"/>
                <w:sz w:val="22"/>
                <w:szCs w:val="36"/>
                <w:highlight w:val="none"/>
                <w:vertAlign w:val="baseline"/>
                <w:lang w:val="en-US" w:eastAsia="zh-CN"/>
              </w:rPr>
              <w:t>An independent staff member randomly allocated eligible participants to receive either DHEA or placebo, in a 1:1 ratio, according to a computer-generated randomisation list at the coordinating centre.</w:t>
            </w:r>
            <w:r>
              <w:rPr>
                <w:rFonts w:hint="default" w:ascii="Times New Roman" w:hAnsi="Times New Roman" w:cs="Times New Roman"/>
                <w:b w:val="0"/>
                <w:bCs w:val="0"/>
                <w:color w:val="auto"/>
                <w:sz w:val="22"/>
                <w:szCs w:val="36"/>
                <w:highlight w:val="none"/>
                <w:vertAlign w:val="baseline"/>
                <w:lang w:val="en-US" w:eastAsia="zh-CN"/>
              </w:rPr>
              <w:t>”</w:t>
            </w:r>
          </w:p>
        </w:tc>
      </w:tr>
      <w:tr w14:paraId="0B3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tcPr>
          <w:p w14:paraId="7737F1B0">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Allocation concealment (selection bias)</w:t>
            </w:r>
          </w:p>
        </w:tc>
        <w:tc>
          <w:tcPr>
            <w:tcW w:w="2137" w:type="dxa"/>
            <w:tcBorders>
              <w:right w:val="nil"/>
            </w:tcBorders>
            <w:vAlign w:val="top"/>
          </w:tcPr>
          <w:p w14:paraId="3949065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51314A04">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capsules were packed in identical bottles, which were labelled with a subject number according to the randomisation list and dispensed by an independent pharmacist. ”</w:t>
            </w:r>
          </w:p>
        </w:tc>
      </w:tr>
      <w:tr w14:paraId="5FD3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5F4EDB46">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participants and personnel (performance bias)</w:t>
            </w:r>
          </w:p>
          <w:p w14:paraId="35C77E8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37" w:type="dxa"/>
            <w:tcBorders>
              <w:right w:val="nil"/>
            </w:tcBorders>
            <w:vAlign w:val="top"/>
          </w:tcPr>
          <w:p w14:paraId="37B45B73">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11503AA1">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study participants, investigators, staff and statisticians were all blinded to the allocation throughout the study.”</w:t>
            </w:r>
          </w:p>
        </w:tc>
      </w:tr>
      <w:tr w14:paraId="172C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14D2C03E">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Blinding of outcome assessment  (detection bias)</w:t>
            </w:r>
          </w:p>
          <w:p w14:paraId="1A40F8A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37" w:type="dxa"/>
            <w:tcBorders>
              <w:right w:val="nil"/>
            </w:tcBorders>
            <w:vAlign w:val="top"/>
          </w:tcPr>
          <w:p w14:paraId="3C8DB176">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Low</w:t>
            </w:r>
            <w:r>
              <w:rPr>
                <w:rFonts w:hint="default" w:ascii="Times New Roman" w:hAnsi="Times New Roman" w:cs="Times New Roman"/>
                <w:b w:val="0"/>
                <w:bCs w:val="0"/>
                <w:color w:val="auto"/>
                <w:sz w:val="22"/>
                <w:szCs w:val="36"/>
                <w:highlight w:val="none"/>
                <w:vertAlign w:val="baseline"/>
                <w:lang w:val="en-US" w:eastAsia="zh-CN"/>
              </w:rPr>
              <w:t xml:space="preserve"> risk</w:t>
            </w:r>
          </w:p>
        </w:tc>
        <w:tc>
          <w:tcPr>
            <w:tcW w:w="5342" w:type="dxa"/>
            <w:tcBorders>
              <w:right w:val="nil"/>
            </w:tcBorders>
            <w:vAlign w:val="top"/>
          </w:tcPr>
          <w:p w14:paraId="26DE5735">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“The study participants, investigators, staff and statisticians were all blinded to the allocation throughout the study.”</w:t>
            </w:r>
          </w:p>
        </w:tc>
      </w:tr>
      <w:tr w14:paraId="7A7B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307E22A8">
            <w:pPr>
              <w:widowControl w:val="0"/>
              <w:rPr>
                <w:rFonts w:hint="eastAsia"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Incomplete outcome data (attrition bias)</w:t>
            </w:r>
          </w:p>
          <w:p w14:paraId="38076749">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All outcomes</w:t>
            </w:r>
          </w:p>
        </w:tc>
        <w:tc>
          <w:tcPr>
            <w:tcW w:w="2137" w:type="dxa"/>
            <w:tcBorders>
              <w:right w:val="nil"/>
            </w:tcBorders>
          </w:tcPr>
          <w:p w14:paraId="69F739A4">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tcPr>
          <w:p w14:paraId="0622BE77">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 xml:space="preserve">All patients in both groups completed the study. </w:t>
            </w:r>
          </w:p>
        </w:tc>
      </w:tr>
      <w:tr w14:paraId="239D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6F6C90A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Selective reporting (reporing bias)</w:t>
            </w:r>
          </w:p>
        </w:tc>
        <w:tc>
          <w:tcPr>
            <w:tcW w:w="2137" w:type="dxa"/>
            <w:tcBorders>
              <w:right w:val="nil"/>
            </w:tcBorders>
            <w:vAlign w:val="top"/>
          </w:tcPr>
          <w:p w14:paraId="23B83447">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Low risk</w:t>
            </w:r>
          </w:p>
        </w:tc>
        <w:tc>
          <w:tcPr>
            <w:tcW w:w="5342" w:type="dxa"/>
            <w:tcBorders>
              <w:right w:val="nil"/>
            </w:tcBorders>
            <w:vAlign w:val="top"/>
          </w:tcPr>
          <w:p w14:paraId="1A3E3528">
            <w:pPr>
              <w:widowControl w:val="0"/>
              <w:rPr>
                <w:rFonts w:hint="default" w:ascii="Times New Roman" w:hAnsi="Times New Roman" w:eastAsia="宋体" w:cs="Times New Roman"/>
                <w:b w:val="0"/>
                <w:bCs w:val="0"/>
                <w:color w:val="auto"/>
                <w:kern w:val="2"/>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All stated outcomes were reported.</w:t>
            </w:r>
          </w:p>
        </w:tc>
      </w:tr>
      <w:tr w14:paraId="6DE2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7" w:type="dxa"/>
            <w:tcBorders>
              <w:left w:val="nil"/>
            </w:tcBorders>
            <w:vAlign w:val="top"/>
          </w:tcPr>
          <w:p w14:paraId="12A4ACD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eastAsia" w:ascii="Times New Roman" w:hAnsi="Times New Roman" w:cs="Times New Roman"/>
                <w:b w:val="0"/>
                <w:bCs w:val="0"/>
                <w:color w:val="auto"/>
                <w:sz w:val="22"/>
                <w:szCs w:val="36"/>
                <w:highlight w:val="none"/>
                <w:vertAlign w:val="baseline"/>
                <w:lang w:val="en-US" w:eastAsia="zh-CN"/>
              </w:rPr>
              <w:t>Other bias</w:t>
            </w:r>
          </w:p>
        </w:tc>
        <w:tc>
          <w:tcPr>
            <w:tcW w:w="2137" w:type="dxa"/>
            <w:tcBorders>
              <w:right w:val="nil"/>
            </w:tcBorders>
            <w:vAlign w:val="top"/>
          </w:tcPr>
          <w:p w14:paraId="2AF3A122">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Unclear risk</w:t>
            </w:r>
          </w:p>
        </w:tc>
        <w:tc>
          <w:tcPr>
            <w:tcW w:w="5342" w:type="dxa"/>
            <w:tcBorders>
              <w:right w:val="nil"/>
            </w:tcBorders>
            <w:vAlign w:val="top"/>
          </w:tcPr>
          <w:p w14:paraId="3BDD3F1F">
            <w:pPr>
              <w:widowControl w:val="0"/>
              <w:rPr>
                <w:rFonts w:hint="default" w:ascii="Times New Roman" w:hAnsi="Times New Roman" w:cs="Times New Roman"/>
                <w:b w:val="0"/>
                <w:bCs w:val="0"/>
                <w:color w:val="auto"/>
                <w:sz w:val="22"/>
                <w:szCs w:val="36"/>
                <w:highlight w:val="none"/>
                <w:vertAlign w:val="baseline"/>
                <w:lang w:val="en-US" w:eastAsia="zh-CN"/>
              </w:rPr>
            </w:pPr>
            <w:r>
              <w:rPr>
                <w:rFonts w:hint="default" w:ascii="Times New Roman" w:hAnsi="Times New Roman" w:cs="Times New Roman"/>
                <w:b w:val="0"/>
                <w:bCs w:val="0"/>
                <w:color w:val="auto"/>
                <w:sz w:val="22"/>
                <w:szCs w:val="36"/>
                <w:highlight w:val="none"/>
                <w:vertAlign w:val="baseline"/>
                <w:lang w:val="en-US" w:eastAsia="zh-CN"/>
              </w:rPr>
              <w:t>Insufficient information to detect any other sources of bias.</w:t>
            </w:r>
          </w:p>
        </w:tc>
      </w:tr>
    </w:tbl>
    <w:p w14:paraId="7D1C0DC8">
      <w:pPr>
        <w:rPr>
          <w:rFonts w:hint="default" w:ascii="Times New Roman" w:hAnsi="Times New Roman" w:cs="Times New Roman"/>
          <w:b/>
          <w:bCs/>
          <w:color w:val="auto"/>
          <w:sz w:val="22"/>
          <w:szCs w:val="36"/>
          <w:highlight w:val="none"/>
          <w:lang w:val="en-US" w:eastAsia="zh-CN"/>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IyN2MxYTlmMzQ1NGE2MjU5NWRkMjhlOGMxYTAifQ=="/>
  </w:docVars>
  <w:rsids>
    <w:rsidRoot w:val="00172A27"/>
    <w:rsid w:val="00643BE3"/>
    <w:rsid w:val="00F06077"/>
    <w:rsid w:val="01C11512"/>
    <w:rsid w:val="02781BC8"/>
    <w:rsid w:val="02AD1871"/>
    <w:rsid w:val="03343D40"/>
    <w:rsid w:val="03E730BD"/>
    <w:rsid w:val="04581CB1"/>
    <w:rsid w:val="04A70542"/>
    <w:rsid w:val="04BB1B5A"/>
    <w:rsid w:val="05140057"/>
    <w:rsid w:val="054E0F0A"/>
    <w:rsid w:val="05654685"/>
    <w:rsid w:val="0633208D"/>
    <w:rsid w:val="06403C13"/>
    <w:rsid w:val="06C90C44"/>
    <w:rsid w:val="06D82C35"/>
    <w:rsid w:val="07706DBE"/>
    <w:rsid w:val="07A01913"/>
    <w:rsid w:val="08275C22"/>
    <w:rsid w:val="088A4403"/>
    <w:rsid w:val="08A454C4"/>
    <w:rsid w:val="09907BA7"/>
    <w:rsid w:val="09E0077E"/>
    <w:rsid w:val="0B617F28"/>
    <w:rsid w:val="0BC639A4"/>
    <w:rsid w:val="0C0544CC"/>
    <w:rsid w:val="0DCF5F7A"/>
    <w:rsid w:val="0DD91BFD"/>
    <w:rsid w:val="0DEF3128"/>
    <w:rsid w:val="0E1862CA"/>
    <w:rsid w:val="0E625C06"/>
    <w:rsid w:val="0F1A2B85"/>
    <w:rsid w:val="0F9F7929"/>
    <w:rsid w:val="1101791C"/>
    <w:rsid w:val="111E009C"/>
    <w:rsid w:val="112F4685"/>
    <w:rsid w:val="11616084"/>
    <w:rsid w:val="11B81FE1"/>
    <w:rsid w:val="11C10E95"/>
    <w:rsid w:val="120B3EBE"/>
    <w:rsid w:val="12CB49B0"/>
    <w:rsid w:val="138D7D05"/>
    <w:rsid w:val="13A866AB"/>
    <w:rsid w:val="13FB0308"/>
    <w:rsid w:val="145A3A0E"/>
    <w:rsid w:val="14887A48"/>
    <w:rsid w:val="1496293B"/>
    <w:rsid w:val="14AD4565"/>
    <w:rsid w:val="14EB6229"/>
    <w:rsid w:val="154A6D7F"/>
    <w:rsid w:val="15A07014"/>
    <w:rsid w:val="15FA2BC8"/>
    <w:rsid w:val="161C0D90"/>
    <w:rsid w:val="16D927DD"/>
    <w:rsid w:val="173E4D36"/>
    <w:rsid w:val="1777018B"/>
    <w:rsid w:val="17A607B9"/>
    <w:rsid w:val="17D061C5"/>
    <w:rsid w:val="182B2E8F"/>
    <w:rsid w:val="18A64941"/>
    <w:rsid w:val="190B4A31"/>
    <w:rsid w:val="19632D1C"/>
    <w:rsid w:val="196A3BC0"/>
    <w:rsid w:val="19B337B9"/>
    <w:rsid w:val="1A000001"/>
    <w:rsid w:val="1A534805"/>
    <w:rsid w:val="1B297880"/>
    <w:rsid w:val="1B700DE3"/>
    <w:rsid w:val="1C3404B6"/>
    <w:rsid w:val="1CEF42CC"/>
    <w:rsid w:val="1D0B1216"/>
    <w:rsid w:val="1D2441FA"/>
    <w:rsid w:val="1DA16950"/>
    <w:rsid w:val="1DF60118"/>
    <w:rsid w:val="1E157539"/>
    <w:rsid w:val="1E2D40C8"/>
    <w:rsid w:val="1E796654"/>
    <w:rsid w:val="1E867CF1"/>
    <w:rsid w:val="1E990AA4"/>
    <w:rsid w:val="1F202DE4"/>
    <w:rsid w:val="1F29462A"/>
    <w:rsid w:val="1F43738D"/>
    <w:rsid w:val="1F666BD8"/>
    <w:rsid w:val="1F792252"/>
    <w:rsid w:val="1FD35F8B"/>
    <w:rsid w:val="200C1D97"/>
    <w:rsid w:val="20D8516C"/>
    <w:rsid w:val="21CE7D40"/>
    <w:rsid w:val="21F4671D"/>
    <w:rsid w:val="220B3A67"/>
    <w:rsid w:val="22363CAD"/>
    <w:rsid w:val="22407BB4"/>
    <w:rsid w:val="227919EC"/>
    <w:rsid w:val="22BA5184"/>
    <w:rsid w:val="23005249"/>
    <w:rsid w:val="23333DD5"/>
    <w:rsid w:val="236216EF"/>
    <w:rsid w:val="24156F65"/>
    <w:rsid w:val="24D40A88"/>
    <w:rsid w:val="25057A51"/>
    <w:rsid w:val="257D111F"/>
    <w:rsid w:val="25864737"/>
    <w:rsid w:val="258C3110"/>
    <w:rsid w:val="25BC39F6"/>
    <w:rsid w:val="25F93317"/>
    <w:rsid w:val="26747786"/>
    <w:rsid w:val="271D7FA2"/>
    <w:rsid w:val="273F48DE"/>
    <w:rsid w:val="27634299"/>
    <w:rsid w:val="277773B2"/>
    <w:rsid w:val="291C31C2"/>
    <w:rsid w:val="298011DE"/>
    <w:rsid w:val="2B011EAB"/>
    <w:rsid w:val="2B373177"/>
    <w:rsid w:val="2B683822"/>
    <w:rsid w:val="2B872550"/>
    <w:rsid w:val="2C4D4C6F"/>
    <w:rsid w:val="2CAD4098"/>
    <w:rsid w:val="2CCB1D3A"/>
    <w:rsid w:val="2CED26E7"/>
    <w:rsid w:val="2DD271C5"/>
    <w:rsid w:val="2E862DF3"/>
    <w:rsid w:val="2E894691"/>
    <w:rsid w:val="2EDE0530"/>
    <w:rsid w:val="2FE222AB"/>
    <w:rsid w:val="300F506A"/>
    <w:rsid w:val="30803872"/>
    <w:rsid w:val="31454E58"/>
    <w:rsid w:val="31496359"/>
    <w:rsid w:val="31FC1174"/>
    <w:rsid w:val="32800DDF"/>
    <w:rsid w:val="32D355C4"/>
    <w:rsid w:val="32F719A3"/>
    <w:rsid w:val="337551E4"/>
    <w:rsid w:val="338B0EAB"/>
    <w:rsid w:val="34B866F6"/>
    <w:rsid w:val="352A3E47"/>
    <w:rsid w:val="358466C5"/>
    <w:rsid w:val="36385DC8"/>
    <w:rsid w:val="370B18C5"/>
    <w:rsid w:val="371A4138"/>
    <w:rsid w:val="371B136A"/>
    <w:rsid w:val="371B2546"/>
    <w:rsid w:val="37235FC6"/>
    <w:rsid w:val="375105C1"/>
    <w:rsid w:val="376E08C8"/>
    <w:rsid w:val="37DD15AA"/>
    <w:rsid w:val="37FB30AE"/>
    <w:rsid w:val="384F11E3"/>
    <w:rsid w:val="38963978"/>
    <w:rsid w:val="38CF77E9"/>
    <w:rsid w:val="390412B7"/>
    <w:rsid w:val="3942025E"/>
    <w:rsid w:val="398664FD"/>
    <w:rsid w:val="39FF48E8"/>
    <w:rsid w:val="3A4B3142"/>
    <w:rsid w:val="3B47390A"/>
    <w:rsid w:val="3B4F27BE"/>
    <w:rsid w:val="3C062B24"/>
    <w:rsid w:val="3C2E0626"/>
    <w:rsid w:val="3CC80A7A"/>
    <w:rsid w:val="3CCB5C7C"/>
    <w:rsid w:val="3D093637"/>
    <w:rsid w:val="3D1B32A0"/>
    <w:rsid w:val="3D622C7D"/>
    <w:rsid w:val="3E552EA4"/>
    <w:rsid w:val="3E587BDC"/>
    <w:rsid w:val="3E6C180C"/>
    <w:rsid w:val="3E6D3687"/>
    <w:rsid w:val="3F755B1D"/>
    <w:rsid w:val="40424776"/>
    <w:rsid w:val="405C39B3"/>
    <w:rsid w:val="40A869C3"/>
    <w:rsid w:val="40E57E4D"/>
    <w:rsid w:val="41087697"/>
    <w:rsid w:val="412A23D9"/>
    <w:rsid w:val="41AF633F"/>
    <w:rsid w:val="41DC3072"/>
    <w:rsid w:val="43282866"/>
    <w:rsid w:val="432B30AA"/>
    <w:rsid w:val="43622373"/>
    <w:rsid w:val="443B54A2"/>
    <w:rsid w:val="44AD1764"/>
    <w:rsid w:val="44D04283"/>
    <w:rsid w:val="44F00B6E"/>
    <w:rsid w:val="456B6447"/>
    <w:rsid w:val="45AB0DE1"/>
    <w:rsid w:val="45D60C4F"/>
    <w:rsid w:val="46EA51C7"/>
    <w:rsid w:val="473614B6"/>
    <w:rsid w:val="47C84024"/>
    <w:rsid w:val="482B6361"/>
    <w:rsid w:val="48474F49"/>
    <w:rsid w:val="48677399"/>
    <w:rsid w:val="48CC2994"/>
    <w:rsid w:val="49736D23"/>
    <w:rsid w:val="4A0D21C2"/>
    <w:rsid w:val="4ACC46BD"/>
    <w:rsid w:val="4BC13264"/>
    <w:rsid w:val="4C206421"/>
    <w:rsid w:val="4C24147D"/>
    <w:rsid w:val="4C3363A1"/>
    <w:rsid w:val="4C8C6593"/>
    <w:rsid w:val="4CFF6CCA"/>
    <w:rsid w:val="4D49738B"/>
    <w:rsid w:val="4D866514"/>
    <w:rsid w:val="4E060F4F"/>
    <w:rsid w:val="50800F93"/>
    <w:rsid w:val="509C7395"/>
    <w:rsid w:val="50E3057E"/>
    <w:rsid w:val="50FB2D75"/>
    <w:rsid w:val="51053BF3"/>
    <w:rsid w:val="5182198E"/>
    <w:rsid w:val="51DA6E2E"/>
    <w:rsid w:val="521B6B6B"/>
    <w:rsid w:val="522E6B06"/>
    <w:rsid w:val="5266633C"/>
    <w:rsid w:val="52734456"/>
    <w:rsid w:val="52A86F2C"/>
    <w:rsid w:val="53A63A5F"/>
    <w:rsid w:val="53AC2736"/>
    <w:rsid w:val="5522237F"/>
    <w:rsid w:val="55961E7F"/>
    <w:rsid w:val="55F67FAE"/>
    <w:rsid w:val="562C08FD"/>
    <w:rsid w:val="565A22EB"/>
    <w:rsid w:val="56666106"/>
    <w:rsid w:val="567D422C"/>
    <w:rsid w:val="568A2F1A"/>
    <w:rsid w:val="56E43199"/>
    <w:rsid w:val="571C3EA2"/>
    <w:rsid w:val="57607DD5"/>
    <w:rsid w:val="577473DD"/>
    <w:rsid w:val="57D9752A"/>
    <w:rsid w:val="58186787"/>
    <w:rsid w:val="590D7AE9"/>
    <w:rsid w:val="59913375"/>
    <w:rsid w:val="59C6560C"/>
    <w:rsid w:val="5AB1171C"/>
    <w:rsid w:val="5ADA1C4D"/>
    <w:rsid w:val="5B114365"/>
    <w:rsid w:val="5B182775"/>
    <w:rsid w:val="5B442B97"/>
    <w:rsid w:val="5BFC0F76"/>
    <w:rsid w:val="5CBA5B0A"/>
    <w:rsid w:val="5CC2508E"/>
    <w:rsid w:val="5D0531AA"/>
    <w:rsid w:val="5D721376"/>
    <w:rsid w:val="5D8F6495"/>
    <w:rsid w:val="5D9057B4"/>
    <w:rsid w:val="5E0C02C8"/>
    <w:rsid w:val="5E61657E"/>
    <w:rsid w:val="5E68756F"/>
    <w:rsid w:val="5EC40C4A"/>
    <w:rsid w:val="5F94383B"/>
    <w:rsid w:val="5FF86B47"/>
    <w:rsid w:val="60983D5B"/>
    <w:rsid w:val="60D0695F"/>
    <w:rsid w:val="60FB0B6F"/>
    <w:rsid w:val="61C73264"/>
    <w:rsid w:val="61EF4230"/>
    <w:rsid w:val="62143C96"/>
    <w:rsid w:val="62444A13"/>
    <w:rsid w:val="62535511"/>
    <w:rsid w:val="62EF0E65"/>
    <w:rsid w:val="63861992"/>
    <w:rsid w:val="63D535CE"/>
    <w:rsid w:val="642276F0"/>
    <w:rsid w:val="6453662C"/>
    <w:rsid w:val="64873DAE"/>
    <w:rsid w:val="649E3CEB"/>
    <w:rsid w:val="64B0503B"/>
    <w:rsid w:val="65257F68"/>
    <w:rsid w:val="663C37BC"/>
    <w:rsid w:val="663D6D98"/>
    <w:rsid w:val="664F1741"/>
    <w:rsid w:val="67D30150"/>
    <w:rsid w:val="686431D1"/>
    <w:rsid w:val="68EF05FA"/>
    <w:rsid w:val="69022DB3"/>
    <w:rsid w:val="693410C2"/>
    <w:rsid w:val="695A2ADD"/>
    <w:rsid w:val="69F60125"/>
    <w:rsid w:val="6AB604C3"/>
    <w:rsid w:val="6ABA1EE6"/>
    <w:rsid w:val="6AC029BD"/>
    <w:rsid w:val="6AEB3A02"/>
    <w:rsid w:val="6BFF3C0B"/>
    <w:rsid w:val="6CA81BAB"/>
    <w:rsid w:val="6DFE5138"/>
    <w:rsid w:val="6E1051A7"/>
    <w:rsid w:val="6EA57E47"/>
    <w:rsid w:val="6EFC61DE"/>
    <w:rsid w:val="6F08033E"/>
    <w:rsid w:val="6F852B23"/>
    <w:rsid w:val="6FA0300D"/>
    <w:rsid w:val="70136A8B"/>
    <w:rsid w:val="704D22FD"/>
    <w:rsid w:val="70B0102E"/>
    <w:rsid w:val="710940D7"/>
    <w:rsid w:val="7179722C"/>
    <w:rsid w:val="71A22550"/>
    <w:rsid w:val="722C7F38"/>
    <w:rsid w:val="722F148A"/>
    <w:rsid w:val="7304625A"/>
    <w:rsid w:val="73DE39BC"/>
    <w:rsid w:val="7534466A"/>
    <w:rsid w:val="76021B67"/>
    <w:rsid w:val="76404C02"/>
    <w:rsid w:val="76493707"/>
    <w:rsid w:val="764B0603"/>
    <w:rsid w:val="769F0874"/>
    <w:rsid w:val="76A038F3"/>
    <w:rsid w:val="77216056"/>
    <w:rsid w:val="779A6594"/>
    <w:rsid w:val="77A967D7"/>
    <w:rsid w:val="77B16489"/>
    <w:rsid w:val="78047D62"/>
    <w:rsid w:val="78436C2C"/>
    <w:rsid w:val="785E6AE0"/>
    <w:rsid w:val="788259A6"/>
    <w:rsid w:val="79006A68"/>
    <w:rsid w:val="793C3418"/>
    <w:rsid w:val="796A38C5"/>
    <w:rsid w:val="7A0558EF"/>
    <w:rsid w:val="7A3F4413"/>
    <w:rsid w:val="7A48677B"/>
    <w:rsid w:val="7AA5772A"/>
    <w:rsid w:val="7B7470FC"/>
    <w:rsid w:val="7B883294"/>
    <w:rsid w:val="7C6F2B32"/>
    <w:rsid w:val="7C835849"/>
    <w:rsid w:val="7C923CDE"/>
    <w:rsid w:val="7CDA1AC5"/>
    <w:rsid w:val="7D0755A2"/>
    <w:rsid w:val="7D4A280A"/>
    <w:rsid w:val="7D834B6D"/>
    <w:rsid w:val="7D9B4784"/>
    <w:rsid w:val="7DAA32A9"/>
    <w:rsid w:val="7DEC3AAA"/>
    <w:rsid w:val="7E09615F"/>
    <w:rsid w:val="7EFC18E2"/>
    <w:rsid w:val="7EFC3295"/>
    <w:rsid w:val="7F233313"/>
    <w:rsid w:val="7F69341C"/>
    <w:rsid w:val="7F764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宋体" w:asciiTheme="minorHAnsi" w:hAnsiTheme="minorHAnsi" w:cstheme="minorBidi"/>
      <w:kern w:val="2"/>
      <w:sz w:val="21"/>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1107</Words>
  <Characters>6254</Characters>
  <Lines>0</Lines>
  <Paragraphs>0</Paragraphs>
  <TotalTime>0</TotalTime>
  <ScaleCrop>false</ScaleCrop>
  <LinksUpToDate>false</LinksUpToDate>
  <CharactersWithSpaces>7269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2023-06-26T02:55:00Z</dcterms:created>
  <dc:creator>l</dc:creator>
  <cp:lastModifiedBy>江媚</cp:lastModifiedBy>
  <dcterms:modified xsi:type="dcterms:W3CDTF">2024-12-24T07:16:55Z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DECF53A0D3234183AB868EF6A230EA4A_12</vt:lpwstr>
  </property>
</Properties>
</file>