
<file path=[Content_Types].xml><?xml version="1.0" encoding="utf-8"?>
<Types xmlns="http://schemas.openxmlformats.org/package/2006/content-types">
  <Default Extension="jpeg" ContentType="image/jpeg"/>
  <Default Extension="JPG" ContentType="image/.jp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A16C9">
      <w:pPr>
        <w:pStyle w:val="4"/>
        <w:widowControl/>
        <w:shd w:val="clear" w:color="auto" w:fill="FFFFFF"/>
        <w:spacing w:beforeAutospacing="0" w:afterAutospacing="0" w:line="360" w:lineRule="auto"/>
        <w:rPr>
          <w:rFonts w:hint="default" w:ascii="Times New Roman" w:hAnsi="Times New Roman" w:cs="Times New Roman" w:eastAsiaTheme="minorEastAsia"/>
          <w:b/>
          <w:bCs/>
          <w:color w:val="FF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b/>
          <w:bCs/>
          <w:color w:val="FF0000"/>
          <w:kern w:val="0"/>
          <w:sz w:val="28"/>
          <w:szCs w:val="28"/>
          <w:highlight w:val="none"/>
          <w:lang w:val="en-US" w:eastAsia="zh-CN" w:bidi="ar-SA"/>
        </w:rPr>
        <w:t>Supplement Figure</w:t>
      </w:r>
      <w:r>
        <w:rPr>
          <w:rFonts w:hint="default" w:ascii="Times New Roman" w:hAnsi="Times New Roman" w:cs="Times New Roman" w:eastAsiaTheme="minorEastAsia"/>
          <w:b/>
          <w:bCs/>
          <w:color w:val="FF0000"/>
          <w:kern w:val="0"/>
          <w:sz w:val="28"/>
          <w:szCs w:val="28"/>
          <w:highlight w:val="none"/>
          <w:lang w:val="en-US" w:eastAsia="zh-CN" w:bidi="ar-SA"/>
        </w:rPr>
        <w:t xml:space="preserve"> 1 Measurement of ovarian volume by </w:t>
      </w:r>
      <w:r>
        <w:rPr>
          <w:rFonts w:hint="eastAsia" w:ascii="Times New Roman" w:hAnsi="Times New Roman" w:cs="Times New Roman"/>
          <w:b/>
          <w:bCs/>
          <w:color w:val="FF0000"/>
          <w:kern w:val="0"/>
          <w:sz w:val="28"/>
          <w:szCs w:val="28"/>
          <w:highlight w:val="none"/>
          <w:lang w:val="en-US" w:eastAsia="zh-CN" w:bidi="ar-SA"/>
        </w:rPr>
        <w:t>3</w:t>
      </w:r>
      <w:r>
        <w:rPr>
          <w:rFonts w:hint="default" w:ascii="Times New Roman" w:hAnsi="Times New Roman" w:cs="Times New Roman" w:eastAsiaTheme="minorEastAsia"/>
          <w:b/>
          <w:bCs/>
          <w:color w:val="FF0000"/>
          <w:kern w:val="0"/>
          <w:sz w:val="28"/>
          <w:szCs w:val="28"/>
          <w:highlight w:val="none"/>
          <w:lang w:val="en-US" w:eastAsia="zh-CN" w:bidi="ar-SA"/>
        </w:rPr>
        <w:t>D ultrasound</w:t>
      </w:r>
    </w:p>
    <w:p w14:paraId="1034CD3F">
      <w:pPr>
        <w:pStyle w:val="4"/>
        <w:widowControl/>
        <w:shd w:val="clear" w:color="auto" w:fill="FFFFFF"/>
        <w:spacing w:beforeAutospacing="0" w:afterAutospacing="0" w:line="360" w:lineRule="auto"/>
        <w:rPr>
          <w:rFonts w:hint="eastAsia" w:ascii="Times New Roman" w:hAnsi="Times New Roman" w:cs="Times New Roman" w:eastAsiaTheme="minorEastAsia"/>
          <w:color w:val="auto"/>
          <w:highlight w:val="none"/>
          <w:lang w:eastAsia="zh-CN"/>
        </w:rPr>
      </w:pPr>
      <w:r>
        <w:rPr>
          <w:rFonts w:hint="eastAsia" w:ascii="Times New Roman" w:hAnsi="Times New Roman" w:cs="Times New Roman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8498840" cy="1910715"/>
            <wp:effectExtent l="0" t="0" r="10160" b="6985"/>
            <wp:docPr id="1" name="图片 1" descr="fi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9884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7B6D9">
      <w:pPr>
        <w:pStyle w:val="4"/>
        <w:widowControl/>
        <w:shd w:val="clear" w:color="auto" w:fill="FFFFFF"/>
        <w:spacing w:beforeAutospacing="0" w:afterAutospacing="0" w:line="240" w:lineRule="auto"/>
        <w:rPr>
          <w:rFonts w:hint="eastAsia" w:ascii="Times New Roman" w:hAnsi="Times New Roman" w:cs="Times New Roman" w:eastAsiaTheme="minorEastAsia"/>
          <w:i/>
          <w:iCs/>
          <w:color w:val="FF0000"/>
          <w:kern w:val="2"/>
          <w:sz w:val="24"/>
          <w:szCs w:val="24"/>
          <w:highlight w:val="none"/>
          <w:lang w:val="en-US" w:eastAsia="zh-CN" w:bidi="ar-SA"/>
        </w:rPr>
      </w:pPr>
      <w:bookmarkStart w:id="0" w:name="OLE_LINK55"/>
      <w:r>
        <w:rPr>
          <w:rFonts w:hint="default" w:ascii="Times New Roman" w:hAnsi="Times New Roman" w:cs="Times New Roman" w:eastAsiaTheme="minorEastAsia"/>
          <w:i/>
          <w:iCs/>
          <w:color w:val="FF0000"/>
          <w:kern w:val="2"/>
          <w:sz w:val="24"/>
          <w:szCs w:val="24"/>
          <w:highlight w:val="none"/>
          <w:lang w:val="en-US" w:eastAsia="zh-CN" w:bidi="ar-SA"/>
        </w:rPr>
        <w:t>A, measurements of ovarian diameters D1</w:t>
      </w:r>
      <w:r>
        <w:rPr>
          <w:rFonts w:hint="eastAsia" w:ascii="Times New Roman" w:hAnsi="Times New Roman" w:cs="Times New Roman"/>
          <w:i/>
          <w:iCs/>
          <w:color w:val="FF0000"/>
          <w:kern w:val="2"/>
          <w:sz w:val="24"/>
          <w:szCs w:val="24"/>
          <w:highlight w:val="none"/>
          <w:lang w:val="en-US" w:eastAsia="zh-CN" w:bidi="ar-SA"/>
        </w:rPr>
        <w:t>(cm)</w:t>
      </w:r>
      <w:r>
        <w:rPr>
          <w:rFonts w:hint="default" w:ascii="Times New Roman" w:hAnsi="Times New Roman" w:cs="Times New Roman" w:eastAsiaTheme="minorEastAsia"/>
          <w:i/>
          <w:iCs/>
          <w:color w:val="FF0000"/>
          <w:kern w:val="2"/>
          <w:sz w:val="24"/>
          <w:szCs w:val="24"/>
          <w:highlight w:val="none"/>
          <w:lang w:val="en-US" w:eastAsia="zh-CN" w:bidi="ar-SA"/>
        </w:rPr>
        <w:t xml:space="preserve"> and D3</w:t>
      </w:r>
      <w:r>
        <w:rPr>
          <w:rFonts w:hint="eastAsia" w:ascii="Times New Roman" w:hAnsi="Times New Roman" w:cs="Times New Roman"/>
          <w:i/>
          <w:iCs/>
          <w:color w:val="FF0000"/>
          <w:kern w:val="2"/>
          <w:sz w:val="24"/>
          <w:szCs w:val="24"/>
          <w:highlight w:val="none"/>
          <w:lang w:val="en-US" w:eastAsia="zh-CN" w:bidi="ar-SA"/>
        </w:rPr>
        <w:t>(cm)</w:t>
      </w:r>
      <w:r>
        <w:rPr>
          <w:rFonts w:hint="default" w:ascii="Times New Roman" w:hAnsi="Times New Roman" w:cs="Times New Roman" w:eastAsiaTheme="minorEastAsia"/>
          <w:i/>
          <w:iCs/>
          <w:color w:val="FF0000"/>
          <w:kern w:val="2"/>
          <w:sz w:val="24"/>
          <w:szCs w:val="24"/>
          <w:highlight w:val="none"/>
          <w:lang w:val="en-US" w:eastAsia="zh-CN" w:bidi="ar-SA"/>
        </w:rPr>
        <w:t>; B, rotation of the probe by 90° to obtain ovarian diameter D2</w:t>
      </w:r>
      <w:r>
        <w:rPr>
          <w:rFonts w:hint="eastAsia" w:ascii="Times New Roman" w:hAnsi="Times New Roman" w:cs="Times New Roman"/>
          <w:i/>
          <w:iCs/>
          <w:color w:val="FF0000"/>
          <w:kern w:val="2"/>
          <w:sz w:val="24"/>
          <w:szCs w:val="24"/>
          <w:highlight w:val="none"/>
          <w:lang w:val="en-US" w:eastAsia="zh-CN" w:bidi="ar-SA"/>
        </w:rPr>
        <w:t>(cm)</w:t>
      </w:r>
      <w:r>
        <w:rPr>
          <w:rFonts w:hint="default" w:ascii="Times New Roman" w:hAnsi="Times New Roman" w:cs="Times New Roman" w:eastAsiaTheme="minorEastAsia"/>
          <w:i/>
          <w:iCs/>
          <w:color w:val="FF0000"/>
          <w:kern w:val="2"/>
          <w:sz w:val="24"/>
          <w:szCs w:val="24"/>
          <w:highlight w:val="none"/>
          <w:lang w:val="en-US" w:eastAsia="zh-CN" w:bidi="ar-SA"/>
        </w:rPr>
        <w:t xml:space="preserve">; three diameters obtained by </w:t>
      </w:r>
      <w:r>
        <w:rPr>
          <w:rFonts w:hint="eastAsia" w:ascii="Times New Roman" w:hAnsi="Times New Roman" w:cs="Times New Roman"/>
          <w:i/>
          <w:iCs/>
          <w:color w:val="FF0000"/>
          <w:kern w:val="2"/>
          <w:sz w:val="24"/>
          <w:szCs w:val="24"/>
          <w:highlight w:val="none"/>
          <w:lang w:val="en-US" w:eastAsia="zh-CN" w:bidi="ar-SA"/>
        </w:rPr>
        <w:t>3</w:t>
      </w:r>
      <w:r>
        <w:rPr>
          <w:rFonts w:hint="default" w:ascii="Times New Roman" w:hAnsi="Times New Roman" w:cs="Times New Roman" w:eastAsiaTheme="minorEastAsia"/>
          <w:i/>
          <w:iCs/>
          <w:color w:val="FF0000"/>
          <w:kern w:val="2"/>
          <w:sz w:val="24"/>
          <w:szCs w:val="24"/>
          <w:highlight w:val="none"/>
          <w:lang w:val="en-US" w:eastAsia="zh-CN" w:bidi="ar-SA"/>
        </w:rPr>
        <w:t>D-US, with shaded areas showing the orientation of the two planes</w:t>
      </w:r>
      <w:bookmarkEnd w:id="0"/>
      <w:r>
        <w:rPr>
          <w:rFonts w:hint="eastAsia" w:ascii="Times New Roman" w:hAnsi="Times New Roman" w:cs="Times New Roman" w:eastAsiaTheme="minorEastAsia"/>
          <w:i/>
          <w:iCs/>
          <w:color w:val="FF0000"/>
          <w:kern w:val="2"/>
          <w:sz w:val="24"/>
          <w:szCs w:val="24"/>
          <w:highlight w:val="none"/>
          <w:lang w:val="en-US" w:eastAsia="zh-CN" w:bidi="ar-SA"/>
        </w:rPr>
        <w:t>.</w:t>
      </w:r>
    </w:p>
    <w:p w14:paraId="25FE776E">
      <w:pPr>
        <w:rPr>
          <w:rFonts w:hint="eastAsia"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highlight w:val="none"/>
          <w:lang w:val="en-US" w:eastAsia="zh-CN" w:bidi="ar-SA"/>
        </w:rPr>
        <w:br w:type="page"/>
      </w:r>
    </w:p>
    <w:p w14:paraId="4384D2DA">
      <w:pPr>
        <w:rPr>
          <w:rFonts w:hint="eastAsia" w:ascii="Times New Roman" w:hAnsi="Times New Roman" w:cs="Times New Roman"/>
          <w:b/>
          <w:bCs/>
          <w:color w:val="auto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highlight w:val="none"/>
          <w:lang w:val="en-US" w:eastAsia="zh-CN" w:bidi="ar-SA"/>
        </w:rPr>
        <w:t>Supplement Fig</w:t>
      </w:r>
      <w:r>
        <w:rPr>
          <w:rFonts w:hint="eastAsia" w:ascii="Times New Roman" w:hAnsi="Times New Roman" w:cs="Times New Roman"/>
          <w:b/>
          <w:bCs/>
          <w:color w:val="auto"/>
          <w:kern w:val="0"/>
          <w:sz w:val="28"/>
          <w:szCs w:val="28"/>
          <w:highlight w:val="none"/>
          <w:lang w:val="en-US" w:eastAsia="zh-CN" w:bidi="ar-SA"/>
        </w:rPr>
        <w:t>ure 2 Distribution of follicle sphericity</w:t>
      </w:r>
    </w:p>
    <w:p w14:paraId="507223A1">
      <w:pPr>
        <w:rPr>
          <w:rFonts w:hint="default" w:ascii="Times New Roman" w:hAnsi="Times New Roman" w:cs="Times New Roman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drawing>
          <wp:inline distT="0" distB="0" distL="114300" distR="114300">
            <wp:extent cx="6071870" cy="2720340"/>
            <wp:effectExtent l="0" t="0" r="0" b="0"/>
            <wp:docPr id="2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4C28B23">
      <w:pPr>
        <w:rPr>
          <w:rFonts w:hint="default" w:ascii="Times New Roman" w:hAnsi="Times New Roman" w:cs="Times New Roman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cs="Times New Roman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br w:type="page"/>
      </w:r>
    </w:p>
    <w:p w14:paraId="3B9E828F">
      <w:pPr>
        <w:widowControl/>
        <w:spacing w:line="360" w:lineRule="auto"/>
        <w:jc w:val="both"/>
        <w:rPr>
          <w:rFonts w:hint="default" w:ascii="Times New Roman" w:hAnsi="Times New Roman" w:cs="Times New Roman" w:eastAsiaTheme="minorEastAsia"/>
          <w:b/>
          <w:bCs/>
          <w:color w:val="FF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color w:val="FF0000"/>
          <w:kern w:val="0"/>
          <w:sz w:val="28"/>
          <w:szCs w:val="28"/>
          <w:highlight w:val="none"/>
          <w:lang w:val="en-US" w:eastAsia="zh-CN" w:bidi="ar-SA"/>
        </w:rPr>
        <w:t xml:space="preserve">Supplement </w:t>
      </w:r>
      <w:r>
        <w:rPr>
          <w:rFonts w:hint="default" w:ascii="Times New Roman" w:hAnsi="Times New Roman" w:cs="Times New Roman" w:eastAsiaTheme="minorEastAsia"/>
          <w:b/>
          <w:bCs/>
          <w:color w:val="FF0000"/>
          <w:kern w:val="0"/>
          <w:sz w:val="28"/>
          <w:szCs w:val="28"/>
          <w:highlight w:val="none"/>
          <w:lang w:val="en-US" w:eastAsia="zh-CN" w:bidi="ar-SA"/>
        </w:rPr>
        <w:t>Fig</w:t>
      </w:r>
      <w:r>
        <w:rPr>
          <w:rFonts w:hint="eastAsia" w:ascii="Times New Roman" w:hAnsi="Times New Roman" w:cs="Times New Roman"/>
          <w:b/>
          <w:bCs/>
          <w:color w:val="FF0000"/>
          <w:kern w:val="0"/>
          <w:sz w:val="28"/>
          <w:szCs w:val="28"/>
          <w:highlight w:val="none"/>
          <w:lang w:val="en-US" w:eastAsia="zh-CN" w:bidi="ar-SA"/>
        </w:rPr>
        <w:t>ure</w:t>
      </w:r>
      <w:r>
        <w:rPr>
          <w:rFonts w:hint="default" w:ascii="Times New Roman" w:hAnsi="Times New Roman" w:cs="Times New Roman"/>
          <w:b/>
          <w:bCs/>
          <w:color w:val="FF0000"/>
          <w:kern w:val="0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FF0000"/>
          <w:kern w:val="0"/>
          <w:sz w:val="28"/>
          <w:szCs w:val="28"/>
          <w:highlight w:val="none"/>
          <w:lang w:val="en-US" w:eastAsia="zh-CN" w:bidi="ar-SA"/>
        </w:rPr>
        <w:t xml:space="preserve">3 </w:t>
      </w:r>
      <w:r>
        <w:rPr>
          <w:rFonts w:hint="default" w:ascii="Times New Roman" w:hAnsi="Times New Roman" w:cs="Times New Roman" w:eastAsiaTheme="minorEastAsia"/>
          <w:b/>
          <w:bCs/>
          <w:color w:val="FF0000"/>
          <w:kern w:val="0"/>
          <w:sz w:val="28"/>
          <w:szCs w:val="28"/>
          <w:highlight w:val="none"/>
          <w:lang w:val="en-US" w:eastAsia="zh-CN" w:bidi="ar-SA"/>
        </w:rPr>
        <w:t xml:space="preserve">The follicular sphericity </w:t>
      </w:r>
      <w:r>
        <w:rPr>
          <w:rFonts w:hint="eastAsia" w:ascii="Times New Roman" w:hAnsi="Times New Roman" w:cs="Times New Roman"/>
          <w:b/>
          <w:bCs/>
          <w:color w:val="FF0000"/>
          <w:kern w:val="0"/>
          <w:sz w:val="28"/>
          <w:szCs w:val="28"/>
          <w:highlight w:val="none"/>
          <w:lang w:val="en-US" w:eastAsia="zh-CN" w:bidi="ar-SA"/>
        </w:rPr>
        <w:t xml:space="preserve">and AFC </w:t>
      </w:r>
      <w:r>
        <w:rPr>
          <w:rFonts w:hint="default" w:ascii="Times New Roman" w:hAnsi="Times New Roman" w:cs="Times New Roman" w:eastAsiaTheme="minorEastAsia"/>
          <w:b/>
          <w:bCs/>
          <w:color w:val="FF0000"/>
          <w:kern w:val="0"/>
          <w:sz w:val="28"/>
          <w:szCs w:val="28"/>
          <w:highlight w:val="none"/>
          <w:lang w:val="en-US" w:eastAsia="zh-CN" w:bidi="ar-SA"/>
        </w:rPr>
        <w:t>in the prediction of MII oocyte by ROC</w:t>
      </w:r>
    </w:p>
    <w:p w14:paraId="54182A8B"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cs="Times New Roman"/>
          <w:color w:val="auto"/>
          <w:sz w:val="28"/>
          <w:szCs w:val="28"/>
          <w:highlight w:val="none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vertAlign w:val="baseline"/>
          <w:lang w:val="en-US" w:eastAsia="zh-CN"/>
        </w:rPr>
        <w:drawing>
          <wp:inline distT="0" distB="0" distL="114300" distR="114300">
            <wp:extent cx="4462145" cy="3623310"/>
            <wp:effectExtent l="0" t="0" r="0" b="0"/>
            <wp:docPr id="8" name="图片 8" descr="ROC curve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ROC curve新"/>
                    <pic:cNvPicPr>
                      <a:picLocks noChangeAspect="1"/>
                    </pic:cNvPicPr>
                  </pic:nvPicPr>
                  <pic:blipFill>
                    <a:blip r:embed="rId6"/>
                    <a:srcRect t="3875" b="3381"/>
                    <a:stretch>
                      <a:fillRect/>
                    </a:stretch>
                  </pic:blipFill>
                  <pic:spPr>
                    <a:xfrm>
                      <a:off x="0" y="0"/>
                      <a:ext cx="4462145" cy="362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195D3">
      <w:pPr>
        <w:spacing w:line="360" w:lineRule="auto"/>
        <w:rPr>
          <w:rFonts w:hint="default" w:ascii="Times New Roman" w:hAnsi="Times New Roman" w:eastAsia="宋体" w:cs="Times New Roman"/>
          <w:i/>
          <w:iCs/>
          <w:color w:val="FF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/>
          <w:iCs/>
          <w:color w:val="FF0000"/>
          <w:kern w:val="0"/>
          <w:sz w:val="24"/>
          <w:szCs w:val="24"/>
          <w:highlight w:val="none"/>
          <w:lang w:val="en-US" w:eastAsia="zh-CN" w:bidi="ar"/>
        </w:rPr>
        <w:t xml:space="preserve">*The blue curve indicates the ROC curve for AFC, and the red curve indicates the ROC curve for AFC combined with follicular sphericity. </w:t>
      </w:r>
    </w:p>
    <w:p w14:paraId="0F81F8EA">
      <w:pPr>
        <w:spacing w:line="360" w:lineRule="auto"/>
        <w:rPr>
          <w:rFonts w:hint="default" w:ascii="Times New Roman" w:hAnsi="Times New Roman" w:eastAsia="宋体" w:cs="Times New Roman"/>
          <w:i/>
          <w:iCs/>
          <w:color w:val="FF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/>
          <w:iCs/>
          <w:color w:val="FF0000"/>
          <w:kern w:val="0"/>
          <w:sz w:val="24"/>
          <w:szCs w:val="24"/>
          <w:highlight w:val="none"/>
          <w:lang w:val="en-US" w:eastAsia="zh-CN" w:bidi="ar"/>
        </w:rPr>
        <w:t>Abbreviations: antral follicle count</w:t>
      </w:r>
      <w:r>
        <w:rPr>
          <w:rFonts w:hint="eastAsia" w:ascii="Times New Roman" w:hAnsi="Times New Roman" w:eastAsia="宋体" w:cs="Times New Roman"/>
          <w:i/>
          <w:iCs/>
          <w:color w:val="FF0000"/>
          <w:kern w:val="0"/>
          <w:sz w:val="24"/>
          <w:szCs w:val="24"/>
          <w:highlight w:val="none"/>
          <w:lang w:val="en-US" w:eastAsia="zh-CN" w:bidi="ar"/>
        </w:rPr>
        <w:t xml:space="preserve">(AFC), </w:t>
      </w:r>
      <w:r>
        <w:rPr>
          <w:rFonts w:hint="default" w:ascii="Times New Roman" w:hAnsi="Times New Roman" w:eastAsia="宋体" w:cs="Times New Roman"/>
          <w:i/>
          <w:iCs/>
          <w:color w:val="FF0000"/>
          <w:kern w:val="0"/>
          <w:sz w:val="24"/>
          <w:szCs w:val="24"/>
          <w:highlight w:val="none"/>
          <w:lang w:val="en-US" w:eastAsia="zh-CN" w:bidi="ar"/>
        </w:rPr>
        <w:t>follicular sphericity(</w:t>
      </w:r>
      <w:r>
        <w:rPr>
          <w:rFonts w:hint="eastAsia" w:ascii="Times New Roman" w:hAnsi="Times New Roman" w:eastAsia="宋体" w:cs="Times New Roman"/>
          <w:i/>
          <w:iCs/>
          <w:color w:val="FF0000"/>
          <w:kern w:val="0"/>
          <w:sz w:val="24"/>
          <w:szCs w:val="24"/>
          <w:highlight w:val="none"/>
          <w:lang w:val="en-US" w:eastAsia="zh-CN" w:bidi="ar"/>
        </w:rPr>
        <w:t>FS</w:t>
      </w:r>
      <w:r>
        <w:rPr>
          <w:rFonts w:hint="default" w:ascii="Times New Roman" w:hAnsi="Times New Roman" w:eastAsia="宋体" w:cs="Times New Roman"/>
          <w:i/>
          <w:iCs/>
          <w:color w:val="FF0000"/>
          <w:kern w:val="0"/>
          <w:sz w:val="24"/>
          <w:szCs w:val="24"/>
          <w:highlight w:val="none"/>
          <w:lang w:val="en-US" w:eastAsia="zh-CN" w:bidi="ar"/>
        </w:rPr>
        <w:t xml:space="preserve">) </w:t>
      </w:r>
    </w:p>
    <w:p w14:paraId="35588046">
      <w:pPr>
        <w:rPr>
          <w:rFonts w:hint="eastAsia" w:ascii="Times New Roman" w:hAnsi="Times New Roman" w:cs="Times New Roman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highlight w:val="none"/>
          <w:lang w:val="en-US" w:eastAsia="zh-CN"/>
        </w:rPr>
        <w:br w:type="page"/>
      </w:r>
    </w:p>
    <w:p w14:paraId="4E8E4B04">
      <w:pPr>
        <w:spacing w:line="240" w:lineRule="auto"/>
        <w:rPr>
          <w:rFonts w:hint="default" w:ascii="Times New Roman" w:hAnsi="Times New Roman" w:cs="Times New Roman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highlight w:val="none"/>
          <w:lang w:val="en-US" w:eastAsia="zh-CN"/>
        </w:rPr>
        <w:t xml:space="preserve">Supplement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highlight w:val="none"/>
          <w:lang w:val="en-US" w:eastAsia="zh-CN"/>
        </w:rPr>
        <w:t xml:space="preserve"> Baseline characteristics of patients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highlight w:val="none"/>
          <w:lang w:val="en-US" w:eastAsia="zh-CN"/>
        </w:rPr>
        <w:t>with poor ovarian reserve or normal ovarian reserve</w:t>
      </w:r>
    </w:p>
    <w:p w14:paraId="669D8C65">
      <w:pPr>
        <w:rPr>
          <w:rFonts w:hint="default" w:ascii="Times New Roman" w:hAnsi="Times New Roman" w:cs="Times New Roman"/>
          <w:color w:val="auto"/>
          <w:sz w:val="22"/>
          <w:szCs w:val="22"/>
          <w:highlight w:val="none"/>
        </w:rPr>
      </w:pPr>
    </w:p>
    <w:tbl>
      <w:tblPr>
        <w:tblStyle w:val="5"/>
        <w:tblW w:w="841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1425"/>
        <w:gridCol w:w="1362"/>
        <w:gridCol w:w="716"/>
        <w:gridCol w:w="1446"/>
        <w:gridCol w:w="1431"/>
        <w:gridCol w:w="776"/>
      </w:tblGrid>
      <w:tr w14:paraId="1A3F6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6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498DF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3503" w:type="dxa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58D3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Patients with 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low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 ovarian reserve</w:t>
            </w:r>
          </w:p>
        </w:tc>
        <w:tc>
          <w:tcPr>
            <w:tcW w:w="3653" w:type="dxa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FAB36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Patients with 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 ovarian reserve</w:t>
            </w:r>
          </w:p>
        </w:tc>
      </w:tr>
      <w:tr w14:paraId="4982B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6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E848AA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F5AE4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Low sphericity</w:t>
            </w:r>
          </w:p>
          <w:p w14:paraId="285F1E8B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n=28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A865C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High sphericity</w:t>
            </w:r>
          </w:p>
          <w:p w14:paraId="266A2B83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n=19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0C649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P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15CEC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Low sphericity</w:t>
            </w:r>
          </w:p>
          <w:p w14:paraId="6E153D6A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n=143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  <w:tc>
          <w:tcPr>
            <w:tcW w:w="143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E664F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High sphericity</w:t>
            </w:r>
          </w:p>
          <w:p w14:paraId="79105F30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n=58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  <w:tc>
          <w:tcPr>
            <w:tcW w:w="77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0B9B30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P</w:t>
            </w:r>
          </w:p>
        </w:tc>
      </w:tr>
      <w:tr w14:paraId="7E529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F4E21">
            <w:pPr>
              <w:widowControl/>
              <w:spacing w:line="240" w:lineRule="auto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Age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F0AB6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32.65±3.51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CDE45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32.67±4.58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079F1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0.412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2A180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30.72±3.79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254B0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31.76±4.17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A5721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0.089</w:t>
            </w:r>
          </w:p>
        </w:tc>
      </w:tr>
      <w:tr w14:paraId="0107E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002AF">
            <w:pPr>
              <w:widowControl/>
              <w:spacing w:line="240" w:lineRule="auto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BMI, kg/m2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274CC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22.43±2.93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1BEC9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21.85±2.6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9C48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0.561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EDFA1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22.34±3.14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C05C0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22.92±3.07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AAABC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0.236</w:t>
            </w:r>
          </w:p>
        </w:tc>
      </w:tr>
      <w:tr w14:paraId="09226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B018F">
            <w:pPr>
              <w:widowControl/>
              <w:spacing w:line="240" w:lineRule="auto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Serum AMH, ng/mL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88B5F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1.7±0.85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E9D0C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1.16±0.44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68266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0.044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DD60A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4.94±2.68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A6326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4.12±3.13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6E9A0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0.064</w:t>
            </w:r>
          </w:p>
        </w:tc>
      </w:tr>
      <w:tr w14:paraId="343A1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828C0">
            <w:pPr>
              <w:widowControl/>
              <w:spacing w:line="240" w:lineRule="auto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Base serum P, IU/L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6D1B7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0.23±0.11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A1EA5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0.24±0.14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5F603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0.863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4BFE8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0.25±0.21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BE2B2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0.28±0.13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CAE9C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0.373</w:t>
            </w:r>
          </w:p>
        </w:tc>
      </w:tr>
      <w:tr w14:paraId="5343C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1A786D">
            <w:pPr>
              <w:widowControl/>
              <w:spacing w:line="240" w:lineRule="auto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Base serum FSH, IU/L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DEF98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7.32±1.77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20DBA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7.31±2.31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183E1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0.979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A2FA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5.71±1.41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731E9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6.01±1.37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8ACE6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0.178</w:t>
            </w:r>
          </w:p>
        </w:tc>
      </w:tr>
      <w:tr w14:paraId="5397B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7D150">
            <w:pPr>
              <w:widowControl/>
              <w:spacing w:line="240" w:lineRule="auto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Base serum LH, IU/L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5D335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2.59±1.22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A7EEC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2.91±1.15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DF703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0.441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7989B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3.63±1.89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891FD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3.45±1.57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2FB33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0.528</w:t>
            </w:r>
          </w:p>
        </w:tc>
      </w:tr>
      <w:tr w14:paraId="08EE8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8F7EF9">
            <w:pPr>
              <w:widowControl/>
              <w:spacing w:line="240" w:lineRule="auto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Base serum E2, pg/ml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44327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32.56±18.3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2ADEC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27.08±9.48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5DC53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0.336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AB4D0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28.51±12.98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A942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30.14±15.61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D9355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0.446</w:t>
            </w:r>
          </w:p>
        </w:tc>
      </w:tr>
      <w:tr w14:paraId="1CBF9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BFA6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Number of AFC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51505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4.08±1.81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6D79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4.75±1.42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257D8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0.264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0270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12.15±4.57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42155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9.74±4.75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98BA5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u w:val="single"/>
                <w:lang w:val="en-US" w:eastAsia="zh-CN"/>
              </w:rPr>
              <w:t>0.001</w:t>
            </w:r>
          </w:p>
        </w:tc>
      </w:tr>
      <w:tr w14:paraId="5AB6F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7843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Infertility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667D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AF317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0CB3C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0.538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CC6E6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A5C2C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25A0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0.386</w:t>
            </w:r>
          </w:p>
        </w:tc>
      </w:tr>
      <w:tr w14:paraId="03AAC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125B4">
            <w:pPr>
              <w:widowControl/>
              <w:spacing w:line="240" w:lineRule="auto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Male factor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B3AF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28.58%(8)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251C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10.53%(2)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1C97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A77A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15.38%(22)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F13B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13.79%(8)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BBF37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7960B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D9720">
            <w:pPr>
              <w:widowControl/>
              <w:spacing w:line="240" w:lineRule="auto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Ovulatory dysfunction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7E50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3.57%(1)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8357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5.26%(1)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DD8D6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982C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13.29%(19)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EE09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10.34%(6)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DB8E6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4EAC0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CDABF">
            <w:pPr>
              <w:widowControl/>
              <w:spacing w:line="240" w:lineRule="auto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Tubal factor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0A3D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50.00%(14)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620A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57.89%(11)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73E81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6292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69.93%(100)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85D9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72.41%(42)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DF543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2F7B4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26880">
            <w:pPr>
              <w:widowControl/>
              <w:spacing w:line="240" w:lineRule="auto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Diminished ovarian reserve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B2FF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10.71%(3)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6DCC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20.05%(4)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EE650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EC2C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(0)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29C0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(0)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11281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34F2D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5A349">
            <w:pPr>
              <w:widowControl/>
              <w:spacing w:line="240" w:lineRule="auto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Unexplained factor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C261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7.14%(2)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9072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5.26%(1)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39AC9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740F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1.40%(2)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9230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3.46%(2)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B68B2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43C84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61569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Fertilization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95B46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0707A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75DF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0.713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73D9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0B523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95E1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0.605</w:t>
            </w:r>
          </w:p>
        </w:tc>
      </w:tr>
      <w:tr w14:paraId="5BA12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EEBC6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ICSI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2486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28.57%(8)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B32F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47.37%(9)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D9296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DE0C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26.57%(38)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528C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20.69%(12)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9ED73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7CAC9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E2267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IVF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8E63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71.43%(20)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51C8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52.63%(10)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6034C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FF23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73.43%(105)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FFC3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79.31%(46)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8DD97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127DD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19F0E">
            <w:pPr>
              <w:widowControl/>
              <w:spacing w:line="240" w:lineRule="auto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Starting dose of Gn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6E86D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245.67±50.86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502DF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245.83±33.43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D50C5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0.992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F344D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176.14±42.35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A6580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203.88±52.78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5395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u w:val="single"/>
                <w:lang w:val="en-US" w:eastAsia="zh-CN"/>
              </w:rPr>
              <w:t>0.001</w:t>
            </w:r>
          </w:p>
        </w:tc>
      </w:tr>
      <w:tr w14:paraId="58EDA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CCDCB">
            <w:pPr>
              <w:widowControl/>
              <w:spacing w:line="240" w:lineRule="auto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Days of Gn administration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1DC99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8.31±1.64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79727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7.50±0.67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6A4E8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0.112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386A0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8.80±6.19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0EA2F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8.10±1.33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9AD9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0.400</w:t>
            </w:r>
          </w:p>
        </w:tc>
      </w:tr>
      <w:tr w14:paraId="61C34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A59204">
            <w:pPr>
              <w:widowControl/>
              <w:spacing w:line="240" w:lineRule="auto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highlight w:val="none"/>
                <w:lang w:bidi="ar"/>
              </w:rPr>
              <w:t>Total dose of Gn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EE3C60D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1987.50±686.01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1CAE85F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1806.25±370.52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B90D5EA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0.398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2A4CE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1505.86±624.58</w:t>
            </w:r>
          </w:p>
        </w:tc>
        <w:tc>
          <w:tcPr>
            <w:tcW w:w="14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C2A1282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1682.76±549.6</w:t>
            </w:r>
          </w:p>
        </w:tc>
        <w:tc>
          <w:tcPr>
            <w:tcW w:w="7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979BD6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  <w:lang w:val="en-US" w:eastAsia="zh-CN"/>
              </w:rPr>
              <w:t>0.061</w:t>
            </w:r>
          </w:p>
        </w:tc>
      </w:tr>
    </w:tbl>
    <w:p w14:paraId="656568CA">
      <w:pPr>
        <w:spacing w:line="360" w:lineRule="auto"/>
        <w:rPr>
          <w:rFonts w:hint="default" w:ascii="Times New Roman" w:hAnsi="Times New Roman" w:eastAsia="宋体" w:cs="Times New Roman"/>
          <w:i/>
          <w:iCs/>
          <w:kern w:val="0"/>
          <w:sz w:val="24"/>
          <w:szCs w:val="24"/>
          <w:lang w:bidi="ar"/>
        </w:rPr>
      </w:pPr>
      <w:r>
        <w:rPr>
          <w:rFonts w:hint="default" w:ascii="Times New Roman" w:hAnsi="Times New Roman" w:eastAsia="宋体" w:cs="Times New Roman"/>
          <w:i/>
          <w:iCs/>
          <w:kern w:val="0"/>
          <w:sz w:val="24"/>
          <w:szCs w:val="24"/>
          <w:lang w:bidi="ar"/>
        </w:rPr>
        <w:t xml:space="preserve">*Abbreviations: </w:t>
      </w:r>
      <w:r>
        <w:rPr>
          <w:rFonts w:hint="eastAsia" w:ascii="Times New Roman" w:hAnsi="Times New Roman" w:eastAsia="宋体" w:cs="Times New Roman"/>
          <w:i/>
          <w:iCs/>
          <w:kern w:val="0"/>
          <w:sz w:val="24"/>
          <w:szCs w:val="24"/>
          <w:lang w:val="en-US" w:eastAsia="zh-CN" w:bidi="ar"/>
        </w:rPr>
        <w:t>BMI</w:t>
      </w:r>
      <w:r>
        <w:rPr>
          <w:rFonts w:hint="default" w:ascii="Times New Roman" w:hAnsi="Times New Roman" w:eastAsia="宋体" w:cs="Times New Roman"/>
          <w:i/>
          <w:iCs/>
          <w:kern w:val="0"/>
          <w:sz w:val="24"/>
          <w:szCs w:val="24"/>
          <w:lang w:bidi="ar"/>
        </w:rPr>
        <w:t xml:space="preserve">, 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</w:rPr>
        <w:t>body mass index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highlight w:val="none"/>
          <w:lang w:val="en-US" w:eastAsia="zh-CN"/>
        </w:rPr>
        <w:t>; AMH,</w:t>
      </w:r>
      <w:r>
        <w:rPr>
          <w:rFonts w:hint="default" w:ascii="Times New Roman" w:hAnsi="Times New Roman" w:eastAsia="宋体" w:cs="Times New Roman"/>
          <w:b w:val="0"/>
          <w:i/>
          <w:iCs/>
          <w:kern w:val="2"/>
          <w:sz w:val="24"/>
          <w:szCs w:val="24"/>
          <w:lang w:val="en-US" w:eastAsia="zh-CN" w:bidi="ar-SA"/>
        </w:rPr>
        <w:t>anti-</w:t>
      </w:r>
      <w:r>
        <w:rPr>
          <w:rFonts w:hint="default" w:ascii="Times New Roman" w:hAnsi="Times New Roman" w:eastAsia="宋体" w:cs="Times New Roman"/>
          <w:b w:val="0"/>
          <w:i/>
          <w:iCs/>
          <w:color w:val="auto"/>
          <w:kern w:val="2"/>
          <w:sz w:val="24"/>
          <w:szCs w:val="24"/>
          <w:lang w:val="en-US" w:eastAsia="zh-CN" w:bidi="ar-SA"/>
        </w:rPr>
        <w:t>Müllerian hormone</w:t>
      </w:r>
      <w:r>
        <w:rPr>
          <w:rFonts w:hint="eastAsia" w:ascii="Times New Roman" w:hAnsi="Times New Roman" w:eastAsia="宋体" w:cs="Times New Roman"/>
          <w:b w:val="0"/>
          <w:i/>
          <w:iCs/>
          <w:color w:val="auto"/>
          <w:kern w:val="2"/>
          <w:sz w:val="24"/>
          <w:szCs w:val="24"/>
          <w:lang w:val="en-US" w:eastAsia="zh-CN" w:bidi="ar-SA"/>
        </w:rPr>
        <w:t xml:space="preserve">; FSH, 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</w:rPr>
        <w:t>follicle-stimulating hormone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highlight w:val="none"/>
          <w:lang w:val="en-US" w:eastAsia="zh-CN"/>
        </w:rPr>
        <w:t xml:space="preserve">; LH, </w:t>
      </w:r>
      <w:r>
        <w:rPr>
          <w:rFonts w:hint="default" w:ascii="Times New Roman" w:hAnsi="Times New Roman" w:eastAsia="宋体" w:cs="Times New Roman"/>
          <w:i/>
          <w:iCs/>
          <w:color w:val="auto"/>
          <w:kern w:val="0"/>
          <w:sz w:val="24"/>
          <w:szCs w:val="24"/>
          <w:highlight w:val="none"/>
          <w:lang w:val="en-US" w:eastAsia="zh-CN" w:bidi="ar"/>
        </w:rPr>
        <w:t>Luteinizing hormone</w:t>
      </w:r>
      <w:r>
        <w:rPr>
          <w:rFonts w:hint="eastAsia" w:ascii="Times New Roman" w:hAnsi="Times New Roman" w:eastAsia="宋体" w:cs="Times New Roman"/>
          <w:i/>
          <w:iCs/>
          <w:color w:val="auto"/>
          <w:kern w:val="0"/>
          <w:sz w:val="24"/>
          <w:szCs w:val="24"/>
          <w:highlight w:val="none"/>
          <w:lang w:val="en-US" w:eastAsia="zh-CN" w:bidi="ar"/>
        </w:rPr>
        <w:t>;</w:t>
      </w:r>
      <w:r>
        <w:rPr>
          <w:rFonts w:hint="default" w:ascii="Times New Roman" w:hAnsi="Times New Roman" w:eastAsia="宋体" w:cs="Times New Roman"/>
          <w:i/>
          <w:iCs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E</w:t>
      </w:r>
      <w:r>
        <w:rPr>
          <w:rFonts w:hint="default" w:ascii="Times New Roman" w:hAnsi="Times New Roman" w:eastAsia="宋体" w:cs="Times New Roman"/>
          <w:i/>
          <w:iCs/>
          <w:color w:val="auto"/>
          <w:kern w:val="0"/>
          <w:sz w:val="24"/>
          <w:szCs w:val="24"/>
          <w:highlight w:val="none"/>
          <w:vertAlign w:val="subscript"/>
          <w:lang w:val="en-US" w:eastAsia="zh-CN" w:bidi="ar"/>
        </w:rPr>
        <w:t>2</w:t>
      </w:r>
      <w:r>
        <w:rPr>
          <w:rFonts w:hint="eastAsia" w:ascii="Times New Roman" w:hAnsi="Times New Roman" w:eastAsia="宋体" w:cs="Times New Roman"/>
          <w:i/>
          <w:iCs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, </w:t>
      </w:r>
      <w:r>
        <w:rPr>
          <w:rFonts w:hint="default" w:ascii="Times New Roman" w:hAnsi="Times New Roman" w:eastAsia="宋体" w:cs="Times New Roman"/>
          <w:i/>
          <w:iCs/>
          <w:color w:val="auto"/>
          <w:kern w:val="0"/>
          <w:sz w:val="24"/>
          <w:szCs w:val="24"/>
          <w:highlight w:val="none"/>
          <w:lang w:val="en-US" w:eastAsia="zh-CN" w:bidi="ar"/>
        </w:rPr>
        <w:t>estradiol</w:t>
      </w:r>
      <w:r>
        <w:rPr>
          <w:rFonts w:hint="eastAsia" w:ascii="Times New Roman" w:hAnsi="Times New Roman" w:eastAsia="宋体" w:cs="Times New Roman"/>
          <w:i/>
          <w:iCs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; 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highlight w:val="none"/>
          <w:lang w:val="en-US" w:eastAsia="zh-CN"/>
        </w:rPr>
        <w:t xml:space="preserve">AFC, 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</w:rPr>
        <w:t>antral follicle count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highlight w:val="none"/>
          <w:lang w:val="en-US" w:eastAsia="zh-CN"/>
        </w:rPr>
        <w:t xml:space="preserve">; IVF, 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</w:rPr>
        <w:t>in vitro fertilization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highlight w:val="none"/>
          <w:lang w:val="en-US" w:eastAsia="zh-CN"/>
        </w:rPr>
        <w:t xml:space="preserve">; ICSI, 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</w:rPr>
        <w:t>intracytoplasmic sperm injection</w:t>
      </w:r>
      <w:r>
        <w:rPr>
          <w:rFonts w:hint="default" w:ascii="Times New Roman" w:hAnsi="Times New Roman" w:eastAsia="宋体" w:cs="Times New Roman"/>
          <w:i/>
          <w:iCs/>
          <w:kern w:val="0"/>
          <w:sz w:val="24"/>
          <w:szCs w:val="24"/>
          <w:lang w:bidi="ar"/>
        </w:rPr>
        <w:t>.</w:t>
      </w:r>
    </w:p>
    <w:p w14:paraId="079AFD05">
      <w:pPr>
        <w:rPr>
          <w:rFonts w:hint="default" w:ascii="Times New Roman" w:hAnsi="Times New Roman" w:cs="Times New Roman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</w:pPr>
      <w:bookmarkStart w:id="1" w:name="_GoBack"/>
      <w:bookmarkEnd w:id="1"/>
    </w:p>
    <w:p w14:paraId="66AB6871">
      <w:pPr>
        <w:rPr>
          <w:rFonts w:hint="default" w:ascii="Times New Roman" w:hAnsi="Times New Roman" w:cs="Times New Roman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</w:pPr>
    </w:p>
    <w:p w14:paraId="4DAE46CE">
      <w:pPr>
        <w:rPr>
          <w:rFonts w:hint="default" w:ascii="Times New Roman" w:hAnsi="Times New Roman" w:cs="Times New Roman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</w:pPr>
    </w:p>
    <w:p w14:paraId="7D295914">
      <w:pPr>
        <w:rPr>
          <w:rFonts w:hint="default" w:ascii="Times New Roman" w:hAnsi="Times New Roman" w:cs="Times New Roman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4238F7"/>
    <w:rsid w:val="01D46B46"/>
    <w:rsid w:val="055F6573"/>
    <w:rsid w:val="05B9052D"/>
    <w:rsid w:val="0A6D7B38"/>
    <w:rsid w:val="11C762BA"/>
    <w:rsid w:val="13070B2A"/>
    <w:rsid w:val="17A821AF"/>
    <w:rsid w:val="17C4265F"/>
    <w:rsid w:val="19265A82"/>
    <w:rsid w:val="1C11430B"/>
    <w:rsid w:val="1E6432D4"/>
    <w:rsid w:val="202D5948"/>
    <w:rsid w:val="243C43AB"/>
    <w:rsid w:val="251C177F"/>
    <w:rsid w:val="2674607E"/>
    <w:rsid w:val="2C8B2374"/>
    <w:rsid w:val="35496928"/>
    <w:rsid w:val="36581519"/>
    <w:rsid w:val="370944C7"/>
    <w:rsid w:val="391C7146"/>
    <w:rsid w:val="3B73602A"/>
    <w:rsid w:val="3C8A1D00"/>
    <w:rsid w:val="3CDE3DFA"/>
    <w:rsid w:val="3E500D27"/>
    <w:rsid w:val="3E91719A"/>
    <w:rsid w:val="42B2629D"/>
    <w:rsid w:val="4355495C"/>
    <w:rsid w:val="463D789F"/>
    <w:rsid w:val="47AF6ABF"/>
    <w:rsid w:val="49B90028"/>
    <w:rsid w:val="4C171492"/>
    <w:rsid w:val="504238F7"/>
    <w:rsid w:val="5DC866D4"/>
    <w:rsid w:val="5FBA587D"/>
    <w:rsid w:val="6190176D"/>
    <w:rsid w:val="62F615EE"/>
    <w:rsid w:val="664F5A97"/>
    <w:rsid w:val="6BC0571F"/>
    <w:rsid w:val="7DCC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黑体" w:cs="Times New Roman"/>
      <w:b/>
      <w:bCs/>
      <w:kern w:val="0"/>
      <w:sz w:val="30"/>
      <w:szCs w:val="27"/>
    </w:rPr>
  </w:style>
  <w:style w:type="paragraph" w:styleId="3">
    <w:name w:val="heading 4"/>
    <w:basedOn w:val="1"/>
    <w:next w:val="1"/>
    <w:link w:val="7"/>
    <w:semiHidden/>
    <w:unhideWhenUsed/>
    <w:qFormat/>
    <w:uiPriority w:val="0"/>
    <w:pPr>
      <w:spacing w:before="50" w:beforeLines="50" w:beforeAutospacing="0" w:after="50" w:afterLines="50" w:afterAutospacing="0" w:line="360" w:lineRule="auto"/>
      <w:jc w:val="left"/>
      <w:outlineLvl w:val="3"/>
    </w:pPr>
    <w:rPr>
      <w:rFonts w:hint="eastAsia" w:ascii="Times New Roman" w:hAnsi="Times New Roman" w:eastAsia="黑体" w:cs="Times New Roman"/>
      <w:b/>
      <w:bCs/>
      <w:kern w:val="0"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标题 4 Char"/>
    <w:link w:val="3"/>
    <w:qFormat/>
    <w:uiPriority w:val="0"/>
    <w:rPr>
      <w:rFonts w:hint="eastAsia" w:ascii="Times New Roman" w:hAnsi="Times New Roman" w:eastAsia="黑体" w:cs="Times New Roman"/>
      <w:b/>
      <w:bCs/>
      <w:kern w:val="0"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tiff"/><Relationship Id="rId5" Type="http://schemas.openxmlformats.org/officeDocument/2006/relationships/chart" Target="charts/chart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F:\Jingwei\&#24037;&#20316;\PhD&#35838;&#39064;\&#35770;&#25991;\&#20837;&#32452;&#24739;&#32773;\&#21069;&#30651;&#24615;&#23454;&#39564;&#23436;&#25972;&#25968;&#25454;\&#31867;&#29699;&#24230;&#25991;&#31456;\&#25968;&#25454;\AAAAAB&#36229;&#23454;&#39564;&#25968;&#25454;&#65288;&#26368;&#23436;&#25972;A&#65289;(1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499751416923536"/>
          <c:y val="0.0878326013949884"/>
          <c:w val="0.929143879884657"/>
          <c:h val="0.744252131232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'[AAAAAB超实验数据（最完整A）(1).xlsx]AAAAAAAA最终数据'!$ZL$1</c:f>
              <c:strCache>
                <c:ptCount val="1"/>
                <c:pt idx="0">
                  <c:v>Follicular sphericity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elete val="1"/>
          </c:dLbls>
          <c:val>
            <c:numRef>
              <c:f>'[AAAAAB超实验数据（最完整A）(1).xlsx]AAAAAAAA最终数据'!$ZL$2:$ZL$249</c:f>
              <c:numCache>
                <c:formatCode>General</c:formatCode>
                <c:ptCount val="248"/>
                <c:pt idx="0">
                  <c:v>0.675544977336045</c:v>
                </c:pt>
                <c:pt idx="1">
                  <c:v>0.686884040478323</c:v>
                </c:pt>
                <c:pt idx="2">
                  <c:v>0.777389315195103</c:v>
                </c:pt>
                <c:pt idx="3">
                  <c:v>0.720535451238862</c:v>
                </c:pt>
                <c:pt idx="4">
                  <c:v>0.750478021451165</c:v>
                </c:pt>
                <c:pt idx="5">
                  <c:v>0.684239954126591</c:v>
                </c:pt>
                <c:pt idx="6">
                  <c:v>0.649086267856823</c:v>
                </c:pt>
                <c:pt idx="7">
                  <c:v>0.700708084728967</c:v>
                </c:pt>
                <c:pt idx="8">
                  <c:v>0.812214673921385</c:v>
                </c:pt>
                <c:pt idx="9">
                  <c:v>0.695894789529202</c:v>
                </c:pt>
                <c:pt idx="10">
                  <c:v>0.739785656747129</c:v>
                </c:pt>
                <c:pt idx="11">
                  <c:v>0.704252365006889</c:v>
                </c:pt>
                <c:pt idx="12">
                  <c:v>0.724839377252851</c:v>
                </c:pt>
                <c:pt idx="13">
                  <c:v>0.701322357095283</c:v>
                </c:pt>
                <c:pt idx="14">
                  <c:v>0.674634132305996</c:v>
                </c:pt>
                <c:pt idx="15">
                  <c:v>0.705082213533297</c:v>
                </c:pt>
                <c:pt idx="16">
                  <c:v>0.642621345302738</c:v>
                </c:pt>
                <c:pt idx="17">
                  <c:v>0.772905820307812</c:v>
                </c:pt>
                <c:pt idx="18">
                  <c:v>0.668922533332854</c:v>
                </c:pt>
                <c:pt idx="19">
                  <c:v>0.714171917847729</c:v>
                </c:pt>
                <c:pt idx="20">
                  <c:v>0.701668464196326</c:v>
                </c:pt>
                <c:pt idx="21">
                  <c:v>0.715257126709902</c:v>
                </c:pt>
                <c:pt idx="22">
                  <c:v>0.657715171023889</c:v>
                </c:pt>
                <c:pt idx="23">
                  <c:v>0.693700096908093</c:v>
                </c:pt>
                <c:pt idx="24">
                  <c:v>0.715294896417122</c:v>
                </c:pt>
                <c:pt idx="25">
                  <c:v>0.690914785054074</c:v>
                </c:pt>
                <c:pt idx="26">
                  <c:v>0.717322067321599</c:v>
                </c:pt>
                <c:pt idx="27">
                  <c:v>0.67092580283287</c:v>
                </c:pt>
                <c:pt idx="28">
                  <c:v>0.73386089307438</c:v>
                </c:pt>
                <c:pt idx="29">
                  <c:v>0.707225318661366</c:v>
                </c:pt>
                <c:pt idx="30">
                  <c:v>0.678681054395245</c:v>
                </c:pt>
                <c:pt idx="31">
                  <c:v>0.793508852258852</c:v>
                </c:pt>
                <c:pt idx="32">
                  <c:v>0.661290342024853</c:v>
                </c:pt>
                <c:pt idx="33">
                  <c:v>0.691699303974743</c:v>
                </c:pt>
                <c:pt idx="34">
                  <c:v>0.651740350288566</c:v>
                </c:pt>
                <c:pt idx="35">
                  <c:v>0.738355703457528</c:v>
                </c:pt>
                <c:pt idx="36">
                  <c:v>0.741511791384207</c:v>
                </c:pt>
                <c:pt idx="37">
                  <c:v>0.687237381740029</c:v>
                </c:pt>
                <c:pt idx="38">
                  <c:v>0.695660643519038</c:v>
                </c:pt>
                <c:pt idx="39">
                  <c:v>0.727999612306961</c:v>
                </c:pt>
                <c:pt idx="40">
                  <c:v>0.721108211628267</c:v>
                </c:pt>
                <c:pt idx="41">
                  <c:v>0.728427845393987</c:v>
                </c:pt>
                <c:pt idx="42">
                  <c:v>0.726715130167829</c:v>
                </c:pt>
                <c:pt idx="43">
                  <c:v>0.67937868764844</c:v>
                </c:pt>
                <c:pt idx="44">
                  <c:v>0.682276670618222</c:v>
                </c:pt>
                <c:pt idx="45">
                  <c:v>0.715336157174874</c:v>
                </c:pt>
                <c:pt idx="46">
                  <c:v>0.696937964567516</c:v>
                </c:pt>
                <c:pt idx="47">
                  <c:v>0.701602988921687</c:v>
                </c:pt>
                <c:pt idx="48">
                  <c:v>0.727803046279431</c:v>
                </c:pt>
                <c:pt idx="49">
                  <c:v>0.689748129380883</c:v>
                </c:pt>
                <c:pt idx="50">
                  <c:v>0.661889465997982</c:v>
                </c:pt>
                <c:pt idx="51">
                  <c:v>0.668657255825553</c:v>
                </c:pt>
                <c:pt idx="52">
                  <c:v>0.654577701421291</c:v>
                </c:pt>
                <c:pt idx="53">
                  <c:v>0.703449970102401</c:v>
                </c:pt>
                <c:pt idx="54">
                  <c:v>0.712460771500557</c:v>
                </c:pt>
                <c:pt idx="55">
                  <c:v>0.678115750089984</c:v>
                </c:pt>
                <c:pt idx="56">
                  <c:v>0.715709344350372</c:v>
                </c:pt>
                <c:pt idx="57">
                  <c:v>0.689420527270937</c:v>
                </c:pt>
                <c:pt idx="58">
                  <c:v>0.760406747866474</c:v>
                </c:pt>
                <c:pt idx="59">
                  <c:v>0.650956335336575</c:v>
                </c:pt>
                <c:pt idx="60">
                  <c:v>0.744854592029501</c:v>
                </c:pt>
                <c:pt idx="61">
                  <c:v>0.701377371272321</c:v>
                </c:pt>
                <c:pt idx="62">
                  <c:v>0.72424276362488</c:v>
                </c:pt>
                <c:pt idx="63">
                  <c:v>0.770083025102287</c:v>
                </c:pt>
                <c:pt idx="64">
                  <c:v>0.710923024172133</c:v>
                </c:pt>
                <c:pt idx="65">
                  <c:v>0.680004201891806</c:v>
                </c:pt>
                <c:pt idx="66">
                  <c:v>0.699213457626219</c:v>
                </c:pt>
                <c:pt idx="67">
                  <c:v>0.690640324653454</c:v>
                </c:pt>
                <c:pt idx="68">
                  <c:v>0.669282641971883</c:v>
                </c:pt>
                <c:pt idx="69">
                  <c:v>0.685157061925983</c:v>
                </c:pt>
                <c:pt idx="70">
                  <c:v>0.681936206734624</c:v>
                </c:pt>
                <c:pt idx="71">
                  <c:v>0.713662183713065</c:v>
                </c:pt>
                <c:pt idx="72">
                  <c:v>0.713361893472846</c:v>
                </c:pt>
                <c:pt idx="73">
                  <c:v>0.646084671370898</c:v>
                </c:pt>
                <c:pt idx="74">
                  <c:v>0.69604939832468</c:v>
                </c:pt>
                <c:pt idx="75">
                  <c:v>0.700827039467302</c:v>
                </c:pt>
                <c:pt idx="76">
                  <c:v>0.768926327086219</c:v>
                </c:pt>
                <c:pt idx="77">
                  <c:v>0.715549591162169</c:v>
                </c:pt>
                <c:pt idx="78">
                  <c:v>0.712637088674595</c:v>
                </c:pt>
                <c:pt idx="79">
                  <c:v>0.634639052340538</c:v>
                </c:pt>
                <c:pt idx="80">
                  <c:v>0.706035457115719</c:v>
                </c:pt>
                <c:pt idx="81">
                  <c:v>0.693141774386476</c:v>
                </c:pt>
                <c:pt idx="82">
                  <c:v>0.674348662674289</c:v>
                </c:pt>
                <c:pt idx="83">
                  <c:v>0.703599101764133</c:v>
                </c:pt>
                <c:pt idx="84">
                  <c:v>0.696792295377936</c:v>
                </c:pt>
                <c:pt idx="85">
                  <c:v>0.700404235322377</c:v>
                </c:pt>
                <c:pt idx="86">
                  <c:v>0.685498333468951</c:v>
                </c:pt>
                <c:pt idx="87">
                  <c:v>0.653105278102043</c:v>
                </c:pt>
                <c:pt idx="88">
                  <c:v>0.717753579730299</c:v>
                </c:pt>
                <c:pt idx="89">
                  <c:v>0.672613646736531</c:v>
                </c:pt>
                <c:pt idx="90">
                  <c:v>0.766830233493692</c:v>
                </c:pt>
                <c:pt idx="91">
                  <c:v>0.668535936654662</c:v>
                </c:pt>
                <c:pt idx="92">
                  <c:v>0.70297638735639</c:v>
                </c:pt>
                <c:pt idx="93">
                  <c:v>0.80355050201721</c:v>
                </c:pt>
                <c:pt idx="94">
                  <c:v>0.696189460977251</c:v>
                </c:pt>
                <c:pt idx="95">
                  <c:v>0.646102137896425</c:v>
                </c:pt>
                <c:pt idx="96">
                  <c:v>0.781839500980198</c:v>
                </c:pt>
                <c:pt idx="97">
                  <c:v>0.711418434014288</c:v>
                </c:pt>
                <c:pt idx="98">
                  <c:v>0.721513609169482</c:v>
                </c:pt>
                <c:pt idx="99">
                  <c:v>0.670374318589738</c:v>
                </c:pt>
                <c:pt idx="100">
                  <c:v>0.67816531193117</c:v>
                </c:pt>
                <c:pt idx="101">
                  <c:v>0.751388549942314</c:v>
                </c:pt>
                <c:pt idx="102">
                  <c:v>0.708250278027173</c:v>
                </c:pt>
                <c:pt idx="103">
                  <c:v>0.725116093746198</c:v>
                </c:pt>
                <c:pt idx="104">
                  <c:v>0.698297983043021</c:v>
                </c:pt>
                <c:pt idx="105">
                  <c:v>0.670925798297021</c:v>
                </c:pt>
                <c:pt idx="106">
                  <c:v>0.634628568391341</c:v>
                </c:pt>
                <c:pt idx="107">
                  <c:v>0.704936554419401</c:v>
                </c:pt>
                <c:pt idx="108">
                  <c:v>0.653211357770755</c:v>
                </c:pt>
                <c:pt idx="109">
                  <c:v>0.683770814464131</c:v>
                </c:pt>
                <c:pt idx="110">
                  <c:v>0.691539733877395</c:v>
                </c:pt>
                <c:pt idx="111">
                  <c:v>0.766038435574101</c:v>
                </c:pt>
                <c:pt idx="112">
                  <c:v>0.689732969038495</c:v>
                </c:pt>
                <c:pt idx="113">
                  <c:v>0.692497118128493</c:v>
                </c:pt>
                <c:pt idx="114">
                  <c:v>0.685309277028871</c:v>
                </c:pt>
                <c:pt idx="115">
                  <c:v>0.714805384604034</c:v>
                </c:pt>
                <c:pt idx="116">
                  <c:v>0.695207144349863</c:v>
                </c:pt>
                <c:pt idx="117">
                  <c:v>0.643425853940088</c:v>
                </c:pt>
                <c:pt idx="118">
                  <c:v>0.691301684660667</c:v>
                </c:pt>
                <c:pt idx="119">
                  <c:v>0.724340768426321</c:v>
                </c:pt>
                <c:pt idx="120">
                  <c:v>0.697908196879026</c:v>
                </c:pt>
                <c:pt idx="121">
                  <c:v>0.721683886166789</c:v>
                </c:pt>
                <c:pt idx="122">
                  <c:v>0.751335994321481</c:v>
                </c:pt>
                <c:pt idx="123">
                  <c:v>0.635408937619325</c:v>
                </c:pt>
                <c:pt idx="124">
                  <c:v>0.767344230990338</c:v>
                </c:pt>
                <c:pt idx="125">
                  <c:v>0.670475464013226</c:v>
                </c:pt>
                <c:pt idx="126">
                  <c:v>0.739158163265306</c:v>
                </c:pt>
                <c:pt idx="127">
                  <c:v>0.659890560672045</c:v>
                </c:pt>
                <c:pt idx="128">
                  <c:v>0.674187764646849</c:v>
                </c:pt>
                <c:pt idx="129">
                  <c:v>0.734083323833177</c:v>
                </c:pt>
                <c:pt idx="130">
                  <c:v>0.684615973414715</c:v>
                </c:pt>
                <c:pt idx="131">
                  <c:v>0.681035787384222</c:v>
                </c:pt>
                <c:pt idx="132">
                  <c:v>0.670347975966853</c:v>
                </c:pt>
                <c:pt idx="133">
                  <c:v>0.733814290994229</c:v>
                </c:pt>
                <c:pt idx="134">
                  <c:v>0.696380988314031</c:v>
                </c:pt>
                <c:pt idx="135">
                  <c:v>0.714099138138572</c:v>
                </c:pt>
                <c:pt idx="136">
                  <c:v>0.742350701579639</c:v>
                </c:pt>
                <c:pt idx="137">
                  <c:v>0.741692017478999</c:v>
                </c:pt>
                <c:pt idx="138">
                  <c:v>0.692020888474341</c:v>
                </c:pt>
                <c:pt idx="139">
                  <c:v>0.744054707960854</c:v>
                </c:pt>
                <c:pt idx="140">
                  <c:v>0.723559680012945</c:v>
                </c:pt>
                <c:pt idx="141">
                  <c:v>0.717425135063648</c:v>
                </c:pt>
                <c:pt idx="142">
                  <c:v>0.682029913716659</c:v>
                </c:pt>
                <c:pt idx="143">
                  <c:v>0.702439154582161</c:v>
                </c:pt>
                <c:pt idx="144">
                  <c:v>0.674191514835219</c:v>
                </c:pt>
                <c:pt idx="145">
                  <c:v>0.686221451697716</c:v>
                </c:pt>
                <c:pt idx="146">
                  <c:v>0.71164171898279</c:v>
                </c:pt>
                <c:pt idx="147">
                  <c:v>0.697655778599355</c:v>
                </c:pt>
                <c:pt idx="148">
                  <c:v>0.724411449687012</c:v>
                </c:pt>
                <c:pt idx="149">
                  <c:v>0.727061883394107</c:v>
                </c:pt>
                <c:pt idx="150">
                  <c:v>0.72982901959145</c:v>
                </c:pt>
                <c:pt idx="151">
                  <c:v>0.891772477693892</c:v>
                </c:pt>
                <c:pt idx="152">
                  <c:v>0.692733062074889</c:v>
                </c:pt>
                <c:pt idx="153">
                  <c:v>0.76504436598637</c:v>
                </c:pt>
                <c:pt idx="154">
                  <c:v>0.750157601663832</c:v>
                </c:pt>
                <c:pt idx="155">
                  <c:v>0.703709140598657</c:v>
                </c:pt>
                <c:pt idx="156">
                  <c:v>0.767932808032898</c:v>
                </c:pt>
                <c:pt idx="157">
                  <c:v>0.765205646681418</c:v>
                </c:pt>
                <c:pt idx="158">
                  <c:v>0.699576525124498</c:v>
                </c:pt>
                <c:pt idx="159">
                  <c:v>0.781175846387975</c:v>
                </c:pt>
                <c:pt idx="160">
                  <c:v>0.693872862622886</c:v>
                </c:pt>
                <c:pt idx="161">
                  <c:v>0.776766658151038</c:v>
                </c:pt>
                <c:pt idx="162">
                  <c:v>0.683344249608898</c:v>
                </c:pt>
                <c:pt idx="163">
                  <c:v>0.713801534467234</c:v>
                </c:pt>
                <c:pt idx="164">
                  <c:v>0.678373153655462</c:v>
                </c:pt>
                <c:pt idx="165">
                  <c:v>0.783446415343566</c:v>
                </c:pt>
                <c:pt idx="166">
                  <c:v>0.628729911966916</c:v>
                </c:pt>
                <c:pt idx="167">
                  <c:v>0.657178373431181</c:v>
                </c:pt>
                <c:pt idx="168">
                  <c:v>0.708557047855928</c:v>
                </c:pt>
                <c:pt idx="169">
                  <c:v>0.709760289505243</c:v>
                </c:pt>
                <c:pt idx="170">
                  <c:v>0.685966466127998</c:v>
                </c:pt>
                <c:pt idx="171">
                  <c:v>0.686104356274267</c:v>
                </c:pt>
                <c:pt idx="172">
                  <c:v>0.634761691844369</c:v>
                </c:pt>
                <c:pt idx="173">
                  <c:v>0.67861816231545</c:v>
                </c:pt>
                <c:pt idx="174">
                  <c:v>0.733439634222333</c:v>
                </c:pt>
                <c:pt idx="175">
                  <c:v>0.700458695101463</c:v>
                </c:pt>
                <c:pt idx="176">
                  <c:v>0.726219959690637</c:v>
                </c:pt>
                <c:pt idx="177">
                  <c:v>0.662698773535172</c:v>
                </c:pt>
                <c:pt idx="178">
                  <c:v>0.695908393878086</c:v>
                </c:pt>
                <c:pt idx="179">
                  <c:v>0.726756147078728</c:v>
                </c:pt>
                <c:pt idx="180">
                  <c:v>0.660427460998649</c:v>
                </c:pt>
                <c:pt idx="181">
                  <c:v>0.701715803940172</c:v>
                </c:pt>
                <c:pt idx="182">
                  <c:v>0.715502150035751</c:v>
                </c:pt>
                <c:pt idx="183">
                  <c:v>0.660867690913436</c:v>
                </c:pt>
                <c:pt idx="184">
                  <c:v>0.718662251352917</c:v>
                </c:pt>
                <c:pt idx="185">
                  <c:v>0.653932268091362</c:v>
                </c:pt>
                <c:pt idx="186">
                  <c:v>0.618912766077259</c:v>
                </c:pt>
                <c:pt idx="187">
                  <c:v>0.728816802900852</c:v>
                </c:pt>
                <c:pt idx="188">
                  <c:v>0.752328077097926</c:v>
                </c:pt>
                <c:pt idx="189">
                  <c:v>0.761954124261092</c:v>
                </c:pt>
                <c:pt idx="190">
                  <c:v>0.684963969565356</c:v>
                </c:pt>
                <c:pt idx="191">
                  <c:v>0.684820907294825</c:v>
                </c:pt>
                <c:pt idx="192">
                  <c:v>0.738952585220938</c:v>
                </c:pt>
                <c:pt idx="193">
                  <c:v>0.620828393177827</c:v>
                </c:pt>
                <c:pt idx="194">
                  <c:v>0.689224238005497</c:v>
                </c:pt>
                <c:pt idx="195">
                  <c:v>0.688223354798587</c:v>
                </c:pt>
                <c:pt idx="196">
                  <c:v>0.685249045034889</c:v>
                </c:pt>
                <c:pt idx="197">
                  <c:v>0.704654426959133</c:v>
                </c:pt>
                <c:pt idx="198">
                  <c:v>0.724547978331014</c:v>
                </c:pt>
                <c:pt idx="199">
                  <c:v>0.714064702156331</c:v>
                </c:pt>
                <c:pt idx="200">
                  <c:v>0.714718096687289</c:v>
                </c:pt>
                <c:pt idx="201">
                  <c:v>0.703118490988886</c:v>
                </c:pt>
                <c:pt idx="202">
                  <c:v>0.690047597532283</c:v>
                </c:pt>
                <c:pt idx="203">
                  <c:v>0.673472843013115</c:v>
                </c:pt>
                <c:pt idx="204">
                  <c:v>0.701512849940191</c:v>
                </c:pt>
                <c:pt idx="205">
                  <c:v>0.736780969435334</c:v>
                </c:pt>
                <c:pt idx="206">
                  <c:v>0.67092580283287</c:v>
                </c:pt>
                <c:pt idx="207">
                  <c:v>0.726516281983239</c:v>
                </c:pt>
                <c:pt idx="208">
                  <c:v>0.663389073902111</c:v>
                </c:pt>
                <c:pt idx="209">
                  <c:v>0.735800475814612</c:v>
                </c:pt>
                <c:pt idx="210">
                  <c:v>0.689774262103925</c:v>
                </c:pt>
                <c:pt idx="211">
                  <c:v>0.672400145608746</c:v>
                </c:pt>
                <c:pt idx="212">
                  <c:v>0.684664009017206</c:v>
                </c:pt>
                <c:pt idx="213">
                  <c:v>0.72617170322497</c:v>
                </c:pt>
                <c:pt idx="214">
                  <c:v>0.666815099001928</c:v>
                </c:pt>
                <c:pt idx="215">
                  <c:v>0.737574533704669</c:v>
                </c:pt>
                <c:pt idx="216">
                  <c:v>0.678496000477385</c:v>
                </c:pt>
                <c:pt idx="217">
                  <c:v>0.704928847708446</c:v>
                </c:pt>
                <c:pt idx="218">
                  <c:v>0.685840014718096</c:v>
                </c:pt>
                <c:pt idx="219">
                  <c:v>0.73197917720194</c:v>
                </c:pt>
                <c:pt idx="220">
                  <c:v>0.706633646633707</c:v>
                </c:pt>
                <c:pt idx="221">
                  <c:v>0.712741162237026</c:v>
                </c:pt>
                <c:pt idx="222">
                  <c:v>0.643573302533151</c:v>
                </c:pt>
                <c:pt idx="223">
                  <c:v>0.695583655881582</c:v>
                </c:pt>
                <c:pt idx="224">
                  <c:v>0.724506141440563</c:v>
                </c:pt>
                <c:pt idx="225">
                  <c:v>0.67760633993765</c:v>
                </c:pt>
                <c:pt idx="226">
                  <c:v>0.710661744666349</c:v>
                </c:pt>
                <c:pt idx="227">
                  <c:v>0.665553283527812</c:v>
                </c:pt>
                <c:pt idx="228">
                  <c:v>0.720309114013028</c:v>
                </c:pt>
                <c:pt idx="229">
                  <c:v>0.715018239981666</c:v>
                </c:pt>
                <c:pt idx="230">
                  <c:v>0.699629570183953</c:v>
                </c:pt>
                <c:pt idx="231">
                  <c:v>0.746775119469062</c:v>
                </c:pt>
                <c:pt idx="232">
                  <c:v>0.731808968448532</c:v>
                </c:pt>
                <c:pt idx="233">
                  <c:v>0.65820656244069</c:v>
                </c:pt>
                <c:pt idx="234">
                  <c:v>0.726243497232807</c:v>
                </c:pt>
                <c:pt idx="235">
                  <c:v>0.696620641569705</c:v>
                </c:pt>
                <c:pt idx="236">
                  <c:v>0.588811904957071</c:v>
                </c:pt>
                <c:pt idx="237">
                  <c:v>0.759497935422767</c:v>
                </c:pt>
                <c:pt idx="238">
                  <c:v>0.718350423494202</c:v>
                </c:pt>
                <c:pt idx="239">
                  <c:v>0.718499911987073</c:v>
                </c:pt>
                <c:pt idx="240">
                  <c:v>0.722405145401988</c:v>
                </c:pt>
                <c:pt idx="241">
                  <c:v>0.651960046252298</c:v>
                </c:pt>
                <c:pt idx="242">
                  <c:v>0.700604137273559</c:v>
                </c:pt>
                <c:pt idx="243">
                  <c:v>0.712422207005112</c:v>
                </c:pt>
                <c:pt idx="244">
                  <c:v>0.650601940831073</c:v>
                </c:pt>
                <c:pt idx="245">
                  <c:v>0.500222363139384</c:v>
                </c:pt>
                <c:pt idx="246">
                  <c:v>0.682827891417924</c:v>
                </c:pt>
                <c:pt idx="247">
                  <c:v>0.687868447261662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46"/>
        <c:overlap val="-28"/>
        <c:axId val="551118188"/>
        <c:axId val="816574210"/>
      </c:barChart>
      <c:catAx>
        <c:axId val="551118188"/>
        <c:scaling>
          <c:orientation val="minMax"/>
        </c:scaling>
        <c:delete val="1"/>
        <c:axPos val="b"/>
        <c:title>
          <c:tx>
            <c:rich>
              <a:bodyPr rot="0" spcFirstLastPara="0" vertOverflow="ellipsis" vert="horz" wrap="square" anchor="ctr" anchorCtr="1"/>
              <a:lstStyle/>
              <a:p>
                <a:pPr defTabSz="914400">
                  <a:defRPr lang="zh-CN"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defRPr>
                </a:pPr>
                <a:r>
                  <a:rPr lang="en-US" altLang="zh-CN"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rPr>
                  <a:t>Patient‘s ID</a:t>
                </a:r>
                <a:endParaRPr lang="en-US" altLang="zh-CN">
                  <a:latin typeface="Times New Roman" panose="02020603050405020304" charset="0"/>
                  <a:ea typeface="Times New Roman" panose="02020603050405020304" charset="0"/>
                  <a:cs typeface="Times New Roman" panose="02020603050405020304" charset="0"/>
                  <a:sym typeface="Times New Roman" panose="02020603050405020304" charset="0"/>
                </a:endParaRPr>
              </a:p>
            </c:rich>
          </c:tx>
          <c:layout>
            <c:manualLayout>
              <c:xMode val="edge"/>
              <c:yMode val="edge"/>
              <c:x val="0.456279208511485"/>
              <c:y val="0.850167915267373"/>
            </c:manualLayout>
          </c:layout>
          <c:overlay val="0"/>
          <c:spPr>
            <a:noFill/>
            <a:ln>
              <a:noFill/>
            </a:ln>
            <a:effectLst/>
          </c:spPr>
        </c:title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  <c:crossAx val="816574210"/>
        <c:crosses val="autoZero"/>
        <c:auto val="1"/>
        <c:lblAlgn val="ctr"/>
        <c:lblOffset val="100"/>
        <c:noMultiLvlLbl val="0"/>
      </c:catAx>
      <c:valAx>
        <c:axId val="81657421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  <c:crossAx val="5511181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</c:legendEntry>
      <c:layout>
        <c:manualLayout>
          <c:xMode val="edge"/>
          <c:yMode val="edge"/>
          <c:x val="0.740842177336529"/>
          <c:y val="0.00783699059561128"/>
          <c:w val="0.214880748602077"/>
          <c:h val="0.0747126436781609"/>
        </c:manualLayout>
      </c:layout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charset="0"/>
              <a:ea typeface="Times New Roman" panose="02020603050405020304" charset="0"/>
              <a:cs typeface="Times New Roman" panose="02020603050405020304" charset="0"/>
              <a:sym typeface="Times New Roman" panose="02020603050405020304" charset="0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fc3b190-3168-4372-9820-e59eb7080317}"/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lang="zh-CN">
          <a:latin typeface="Times New Roman" panose="02020603050405020304" charset="0"/>
          <a:ea typeface="Times New Roman" panose="02020603050405020304" charset="0"/>
          <a:cs typeface="Times New Roman" panose="02020603050405020304" charset="0"/>
          <a:sym typeface="Times New Roman" panose="02020603050405020304" charset="0"/>
        </a:defRPr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0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396</Words>
  <Characters>2038</Characters>
  <Lines>0</Lines>
  <Paragraphs>0</Paragraphs>
  <TotalTime>0</TotalTime>
  <ScaleCrop>false</ScaleCrop>
  <LinksUpToDate>false</LinksUpToDate>
  <CharactersWithSpaces>2210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2025-04-01T07:53:00Z</dcterms:created>
  <dc:creator>Accdon</dc:creator>
  <cp:lastModifiedBy>杨静薇</cp:lastModifiedBy>
  <dcterms:modified xsi:type="dcterms:W3CDTF">2025-06-03T09:17:06Z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035C6F0E3CF740E9BEB6872F79BBE8DB_13</vt:lpwstr>
  </property>
  <property fmtid="{D5CDD505-2E9C-101B-9397-08002B2CF9AE}" pid="4" name="KSOTemplateDocerSaveRecord">
    <vt:lpwstr>eyJoZGlkIjoiZDZkNjg0MzkxN2QxMWRjNzNiNGE4NjRmOTI0YzAwMDYiLCJ1c2VySWQiOiIxNjk5NjM0MDY5In0=</vt:lpwstr>
  </property>
</Properties>
</file>