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86D45" w14:textId="25905BC9" w:rsidR="00CF5E7A" w:rsidRPr="00294E73" w:rsidRDefault="00CF5E7A" w:rsidP="00CF5E7A">
      <w:pPr>
        <w:keepNext/>
        <w:keepLines/>
        <w:spacing w:before="160" w:after="80" w:line="480" w:lineRule="auto"/>
        <w:outlineLvl w:val="2"/>
        <w:rPr>
          <w:rFonts w:ascii="Times New Roman" w:eastAsiaTheme="majorEastAsia" w:hAnsi="Times New Roman" w:cstheme="majorBidi"/>
          <w:b/>
          <w:bCs/>
        </w:rPr>
      </w:pPr>
      <w:r w:rsidRPr="00294E73">
        <w:rPr>
          <w:rFonts w:ascii="Times New Roman" w:eastAsiaTheme="majorEastAsia" w:hAnsi="Times New Roman" w:cstheme="majorBidi"/>
          <w:b/>
          <w:bCs/>
        </w:rPr>
        <w:t>Supplementary Table 2. Constructs for transfections and luciferase assays and antibodies.</w:t>
      </w:r>
    </w:p>
    <w:tbl>
      <w:tblPr>
        <w:tblStyle w:val="Grigliatabella"/>
        <w:tblW w:w="0" w:type="auto"/>
        <w:tblLook w:val="04A0" w:firstRow="1" w:lastRow="0" w:firstColumn="1" w:lastColumn="0" w:noHBand="0" w:noVBand="1"/>
      </w:tblPr>
      <w:tblGrid>
        <w:gridCol w:w="2834"/>
        <w:gridCol w:w="6794"/>
      </w:tblGrid>
      <w:tr w:rsidR="009B7CC9" w:rsidRPr="00294E73" w14:paraId="15D595CC" w14:textId="77777777" w:rsidTr="00610222">
        <w:trPr>
          <w:trHeight w:val="567"/>
        </w:trPr>
        <w:tc>
          <w:tcPr>
            <w:tcW w:w="0" w:type="auto"/>
          </w:tcPr>
          <w:p w14:paraId="003E97FE"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b/>
                <w:bCs/>
              </w:rPr>
            </w:pPr>
            <w:r w:rsidRPr="00294E73">
              <w:rPr>
                <w:rFonts w:ascii="Times New Roman" w:eastAsiaTheme="majorEastAsia" w:hAnsi="Times New Roman" w:cstheme="majorBidi"/>
                <w:b/>
                <w:bCs/>
              </w:rPr>
              <w:lastRenderedPageBreak/>
              <w:t>Reagent</w:t>
            </w:r>
          </w:p>
        </w:tc>
        <w:tc>
          <w:tcPr>
            <w:tcW w:w="0" w:type="auto"/>
          </w:tcPr>
          <w:p w14:paraId="7C59A32B"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b/>
                <w:bCs/>
              </w:rPr>
            </w:pPr>
            <w:r w:rsidRPr="00294E73">
              <w:rPr>
                <w:rFonts w:ascii="Times New Roman" w:eastAsiaTheme="majorEastAsia" w:hAnsi="Times New Roman" w:cstheme="majorBidi"/>
                <w:b/>
                <w:bCs/>
              </w:rPr>
              <w:t>Method/Source</w:t>
            </w:r>
          </w:p>
        </w:tc>
      </w:tr>
      <w:tr w:rsidR="009B7CC9" w:rsidRPr="00294E73" w14:paraId="1685A11F" w14:textId="77777777" w:rsidTr="00610222">
        <w:trPr>
          <w:trHeight w:val="567"/>
        </w:trPr>
        <w:tc>
          <w:tcPr>
            <w:tcW w:w="0" w:type="auto"/>
          </w:tcPr>
          <w:p w14:paraId="3DE067A2"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rPr>
            </w:pPr>
            <w:bookmarkStart w:id="0" w:name="_Hlk195608724"/>
            <w:r w:rsidRPr="00294E73">
              <w:rPr>
                <w:rFonts w:ascii="Times New Roman" w:eastAsiaTheme="majorEastAsia" w:hAnsi="Times New Roman" w:cstheme="majorBidi"/>
              </w:rPr>
              <w:t>pcDNA3-HA-T</w:t>
            </w:r>
            <w:r>
              <w:rPr>
                <w:rFonts w:ascii="Times New Roman" w:eastAsiaTheme="majorEastAsia" w:hAnsi="Times New Roman" w:cstheme="majorBidi"/>
              </w:rPr>
              <w:t>Ap</w:t>
            </w:r>
            <w:r w:rsidRPr="00294E73">
              <w:rPr>
                <w:rFonts w:ascii="Times New Roman" w:eastAsiaTheme="majorEastAsia" w:hAnsi="Times New Roman" w:cstheme="majorBidi"/>
              </w:rPr>
              <w:t>63</w:t>
            </w:r>
            <w:r>
              <w:rPr>
                <w:rFonts w:ascii="Times New Roman" w:eastAsiaTheme="majorEastAsia" w:hAnsi="Times New Roman" w:cstheme="majorBidi"/>
              </w:rPr>
              <w:sym w:font="Symbol" w:char="F061"/>
            </w:r>
            <w:r w:rsidRPr="00294E73">
              <w:rPr>
                <w:rFonts w:ascii="Times New Roman" w:eastAsiaTheme="majorEastAsia" w:hAnsi="Times New Roman" w:cstheme="majorBidi"/>
              </w:rPr>
              <w:t xml:space="preserve">-WT </w:t>
            </w:r>
            <w:bookmarkEnd w:id="0"/>
          </w:p>
        </w:tc>
        <w:tc>
          <w:tcPr>
            <w:tcW w:w="0" w:type="auto"/>
          </w:tcPr>
          <w:p w14:paraId="64F4985A"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rPr>
            </w:pPr>
            <w:r w:rsidRPr="00294E73">
              <w:rPr>
                <w:rFonts w:ascii="Times New Roman" w:eastAsiaTheme="majorEastAsia" w:hAnsi="Times New Roman" w:cstheme="majorBidi"/>
              </w:rPr>
              <w:t>Wild-type TAp63</w:t>
            </w:r>
            <w:r w:rsidRPr="00294E73">
              <w:rPr>
                <w:rFonts w:ascii="Times New Roman" w:eastAsiaTheme="majorEastAsia" w:hAnsi="Times New Roman" w:cstheme="majorBidi"/>
              </w:rPr>
              <w:sym w:font="Symbol" w:char="F061"/>
            </w:r>
            <w:r w:rsidRPr="00294E73">
              <w:rPr>
                <w:rFonts w:ascii="Times New Roman" w:eastAsiaTheme="majorEastAsia" w:hAnsi="Times New Roman" w:cstheme="majorBidi"/>
              </w:rPr>
              <w:t xml:space="preserve"> vector, kindly provided by Dr. Terrinoni </w:t>
            </w:r>
            <w:r w:rsidRPr="00294E73">
              <w:rPr>
                <w:rFonts w:ascii="Times New Roman" w:hAnsi="Times New Roman"/>
              </w:rPr>
              <w:t xml:space="preserve">(Università </w:t>
            </w:r>
            <w:proofErr w:type="spellStart"/>
            <w:r w:rsidRPr="00294E73">
              <w:rPr>
                <w:rFonts w:ascii="Times New Roman" w:hAnsi="Times New Roman"/>
              </w:rPr>
              <w:t>degli</w:t>
            </w:r>
            <w:proofErr w:type="spellEnd"/>
            <w:r w:rsidRPr="00294E73">
              <w:rPr>
                <w:rFonts w:ascii="Times New Roman" w:hAnsi="Times New Roman"/>
              </w:rPr>
              <w:t xml:space="preserve"> Studi di Roma Tor </w:t>
            </w:r>
            <w:proofErr w:type="spellStart"/>
            <w:r w:rsidRPr="00294E73">
              <w:rPr>
                <w:rFonts w:ascii="Times New Roman" w:hAnsi="Times New Roman"/>
              </w:rPr>
              <w:t>Vergata</w:t>
            </w:r>
            <w:proofErr w:type="spellEnd"/>
            <w:r w:rsidRPr="00294E73">
              <w:rPr>
                <w:rFonts w:ascii="Times New Roman" w:hAnsi="Times New Roman"/>
              </w:rPr>
              <w:t xml:space="preserve">, Rome, Italy) </w:t>
            </w:r>
            <w:r w:rsidRPr="00294E73">
              <w:rPr>
                <w:rFonts w:ascii="Times New Roman" w:hAnsi="Times New Roman"/>
              </w:rPr>
              <w:fldChar w:fldCharType="begin"/>
            </w:r>
            <w:r w:rsidRPr="00294E73">
              <w:rPr>
                <w:rFonts w:ascii="Times New Roman" w:hAnsi="Times New Roman"/>
              </w:rPr>
              <w:instrText xml:space="preserve"> ADDIN ZOTERO_ITEM CSL_CITATION {"citationID":"knSwpdHF","properties":{"formattedCitation":"(39)","plainCitation":"(39)","noteIndex":0},"citationItems":[{"id":267,"uris":["http://zotero.org/users/local/EkPKlu6i/items/MSGYWW4B"],"itemData":{"id":267,"type":"article-journal","abstract":"Heterozygous mutations in TP63 cause a wide spectrum of autosomal dominant developmental disorders variably affecting skin, limbs, and face. TP63 encodes p63, a protein expressed in two main isoforms (Tap63 and ΔNp63) with critical roles in both cell differentiation and development. Some analyses suggest a relationship of the mutation site to the observed clinical picture, although this link is inconsistent. This suggests an appreciable phenotypic continuity within the TP63‐related disorders. We report a 3‐month‐old boy ascertained for congenital scalp erosion and mild features of ectodermal dysplasia. His mother showed full‐blown characteristics of Rapp‐Hodgkin syndrome plus intense abdominal and popliteal freckling. Molecular investigation identified the novel TP63 mutation c.1697delG. We used a luciferase reporter assay to compare the effects on the p63 transactivation (TA) activity of c.1697delG with that of the p.Arg280Cys and p.Gln634X mutations, associated with ectrodactyly‐ectodermal dysplasia‐cleft lip/palate syndrome and isolated split hand/foot malformation, respectively. These results demonstrated complex behavior of c.1697delG in the TA of genes involved in epidermal differentiation and development and shed further light in the physiopathology of TP63‐related disorders. © 2011 Wiley Periodicals, Inc.","archive_location":"22069181","container-title":"American journal of medical genetics. Part A","DOI":"10.1002/ajmg.a.34335","ISSN":"1552-4825","issue":"12","page":"3104-3109","title":"Functional characterization of a novel TP63 mutation in a family with overlapping features of Rapp‐Hodgkin/AEC/ADULT syndromes","volume":"155","author":[{"family":"Serra","given":"Valeria"},{"family":"Castori","given":"Marco"},{"family":"Paradisi","given":"Mauro"},{"family":"Bui","given":"Laura"},{"family":"Melino","given":"Gerry"},{"family":"Terrinoni","given":"Alessandro"}],"issued":{"date-parts":[["2011"]]}}}],"schema":"https://github.com/citation-style-language/schema/raw/master/csl-citation.json"} </w:instrText>
            </w:r>
            <w:r w:rsidRPr="00294E73">
              <w:rPr>
                <w:rFonts w:ascii="Times New Roman" w:hAnsi="Times New Roman"/>
              </w:rPr>
              <w:fldChar w:fldCharType="separate"/>
            </w:r>
            <w:r w:rsidRPr="00294E73">
              <w:rPr>
                <w:rFonts w:ascii="Times New Roman" w:hAnsi="Times New Roman"/>
              </w:rPr>
              <w:t>(39)</w:t>
            </w:r>
            <w:r w:rsidRPr="00294E73">
              <w:rPr>
                <w:rFonts w:ascii="Times New Roman" w:hAnsi="Times New Roman"/>
              </w:rPr>
              <w:fldChar w:fldCharType="end"/>
            </w:r>
          </w:p>
        </w:tc>
      </w:tr>
      <w:tr w:rsidR="009B7CC9" w:rsidRPr="00294E73" w14:paraId="36FCBE90" w14:textId="77777777" w:rsidTr="00610222">
        <w:trPr>
          <w:trHeight w:val="567"/>
        </w:trPr>
        <w:tc>
          <w:tcPr>
            <w:tcW w:w="0" w:type="auto"/>
          </w:tcPr>
          <w:p w14:paraId="1F82CF5F"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rPr>
            </w:pPr>
            <w:r w:rsidRPr="00294E73">
              <w:rPr>
                <w:rFonts w:ascii="Times New Roman" w:eastAsiaTheme="majorEastAsia" w:hAnsi="Times New Roman" w:cstheme="majorBidi"/>
              </w:rPr>
              <w:t>pcDNA3-HA-T</w:t>
            </w:r>
            <w:r>
              <w:rPr>
                <w:rFonts w:ascii="Times New Roman" w:eastAsiaTheme="majorEastAsia" w:hAnsi="Times New Roman" w:cstheme="majorBidi"/>
              </w:rPr>
              <w:t>Ap</w:t>
            </w:r>
            <w:r w:rsidRPr="00294E73">
              <w:rPr>
                <w:rFonts w:ascii="Times New Roman" w:eastAsiaTheme="majorEastAsia" w:hAnsi="Times New Roman" w:cstheme="majorBidi"/>
              </w:rPr>
              <w:t>63</w:t>
            </w:r>
            <w:r>
              <w:rPr>
                <w:rFonts w:ascii="Times New Roman" w:eastAsiaTheme="majorEastAsia" w:hAnsi="Times New Roman" w:cstheme="majorBidi"/>
              </w:rPr>
              <w:sym w:font="Symbol" w:char="F061"/>
            </w:r>
            <w:r w:rsidRPr="00294E73">
              <w:rPr>
                <w:rFonts w:ascii="Times New Roman" w:eastAsiaTheme="majorEastAsia" w:hAnsi="Times New Roman" w:cstheme="majorBidi"/>
              </w:rPr>
              <w:t>-R643*</w:t>
            </w:r>
          </w:p>
        </w:tc>
        <w:tc>
          <w:tcPr>
            <w:tcW w:w="0" w:type="auto"/>
          </w:tcPr>
          <w:p w14:paraId="785A3052"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rPr>
            </w:pPr>
            <w:r w:rsidRPr="00294E73">
              <w:rPr>
                <w:rFonts w:ascii="Times New Roman" w:eastAsiaTheme="majorEastAsia" w:hAnsi="Times New Roman" w:cstheme="majorBidi"/>
              </w:rPr>
              <w:t>Mutagenized pcDNA3-HA-T</w:t>
            </w:r>
            <w:r>
              <w:rPr>
                <w:rFonts w:ascii="Times New Roman" w:eastAsiaTheme="majorEastAsia" w:hAnsi="Times New Roman" w:cstheme="majorBidi"/>
              </w:rPr>
              <w:t>Ap</w:t>
            </w:r>
            <w:r w:rsidRPr="00294E73">
              <w:rPr>
                <w:rFonts w:ascii="Times New Roman" w:eastAsiaTheme="majorEastAsia" w:hAnsi="Times New Roman" w:cstheme="majorBidi"/>
              </w:rPr>
              <w:t>63</w:t>
            </w:r>
            <w:r>
              <w:rPr>
                <w:rFonts w:ascii="Times New Roman" w:eastAsiaTheme="majorEastAsia" w:hAnsi="Times New Roman" w:cstheme="majorBidi"/>
              </w:rPr>
              <w:sym w:font="Symbol" w:char="F061"/>
            </w:r>
            <w:r w:rsidRPr="00294E73">
              <w:rPr>
                <w:rFonts w:ascii="Times New Roman" w:eastAsiaTheme="majorEastAsia" w:hAnsi="Times New Roman" w:cstheme="majorBidi"/>
              </w:rPr>
              <w:t xml:space="preserve">-WT vectors for R643* variant obtained via site-directed mutagenesis using the </w:t>
            </w:r>
            <w:proofErr w:type="spellStart"/>
            <w:r w:rsidRPr="00294E73">
              <w:rPr>
                <w:rFonts w:ascii="Times New Roman" w:eastAsiaTheme="majorEastAsia" w:hAnsi="Times New Roman" w:cstheme="majorBidi"/>
              </w:rPr>
              <w:t>QuickChange</w:t>
            </w:r>
            <w:proofErr w:type="spellEnd"/>
            <w:r w:rsidRPr="00294E73">
              <w:rPr>
                <w:rFonts w:ascii="Times New Roman" w:eastAsiaTheme="majorEastAsia" w:hAnsi="Times New Roman" w:cstheme="majorBidi"/>
              </w:rPr>
              <w:t xml:space="preserve"> Site-Directed Mutagenesis kit (Agilent Technologies)</w:t>
            </w:r>
          </w:p>
        </w:tc>
      </w:tr>
      <w:tr w:rsidR="009B7CC9" w:rsidRPr="00294E73" w14:paraId="57F469EE" w14:textId="77777777" w:rsidTr="00610222">
        <w:trPr>
          <w:trHeight w:val="567"/>
        </w:trPr>
        <w:tc>
          <w:tcPr>
            <w:tcW w:w="0" w:type="auto"/>
          </w:tcPr>
          <w:p w14:paraId="19276F0F"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rPr>
            </w:pPr>
            <w:r w:rsidRPr="00294E73">
              <w:rPr>
                <w:rFonts w:ascii="Times New Roman" w:eastAsiaTheme="majorEastAsia" w:hAnsi="Times New Roman" w:cstheme="majorBidi"/>
              </w:rPr>
              <w:t>pcDNA3-HA-T</w:t>
            </w:r>
            <w:r>
              <w:rPr>
                <w:rFonts w:ascii="Times New Roman" w:eastAsiaTheme="majorEastAsia" w:hAnsi="Times New Roman" w:cstheme="majorBidi"/>
              </w:rPr>
              <w:t>Ap</w:t>
            </w:r>
            <w:r w:rsidRPr="00294E73">
              <w:rPr>
                <w:rFonts w:ascii="Times New Roman" w:eastAsiaTheme="majorEastAsia" w:hAnsi="Times New Roman" w:cstheme="majorBidi"/>
              </w:rPr>
              <w:t>63</w:t>
            </w:r>
            <w:r>
              <w:rPr>
                <w:rFonts w:ascii="Times New Roman" w:eastAsiaTheme="majorEastAsia" w:hAnsi="Times New Roman" w:cstheme="majorBidi"/>
              </w:rPr>
              <w:sym w:font="Symbol" w:char="F061"/>
            </w:r>
            <w:r w:rsidRPr="00294E73">
              <w:rPr>
                <w:rFonts w:ascii="Times New Roman" w:eastAsiaTheme="majorEastAsia" w:hAnsi="Times New Roman" w:cstheme="majorBidi"/>
              </w:rPr>
              <w:t>-R594*</w:t>
            </w:r>
          </w:p>
        </w:tc>
        <w:tc>
          <w:tcPr>
            <w:tcW w:w="0" w:type="auto"/>
          </w:tcPr>
          <w:p w14:paraId="18DC56A3"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rPr>
            </w:pPr>
            <w:r w:rsidRPr="00294E73">
              <w:rPr>
                <w:rFonts w:ascii="Times New Roman" w:eastAsiaTheme="majorEastAsia" w:hAnsi="Times New Roman" w:cstheme="majorBidi"/>
              </w:rPr>
              <w:t>Mutagenized pcDNA3-HA- T</w:t>
            </w:r>
            <w:r>
              <w:rPr>
                <w:rFonts w:ascii="Times New Roman" w:eastAsiaTheme="majorEastAsia" w:hAnsi="Times New Roman" w:cstheme="majorBidi"/>
              </w:rPr>
              <w:t>Ap</w:t>
            </w:r>
            <w:r w:rsidRPr="00294E73">
              <w:rPr>
                <w:rFonts w:ascii="Times New Roman" w:eastAsiaTheme="majorEastAsia" w:hAnsi="Times New Roman" w:cstheme="majorBidi"/>
              </w:rPr>
              <w:t>63</w:t>
            </w:r>
            <w:r>
              <w:rPr>
                <w:rFonts w:ascii="Times New Roman" w:eastAsiaTheme="majorEastAsia" w:hAnsi="Times New Roman" w:cstheme="majorBidi"/>
              </w:rPr>
              <w:sym w:font="Symbol" w:char="F061"/>
            </w:r>
            <w:r w:rsidRPr="00294E73">
              <w:rPr>
                <w:rFonts w:ascii="Times New Roman" w:eastAsiaTheme="majorEastAsia" w:hAnsi="Times New Roman" w:cstheme="majorBidi"/>
              </w:rPr>
              <w:t xml:space="preserve">-WT vectors for </w:t>
            </w:r>
            <w:r w:rsidRPr="00294E73">
              <w:rPr>
                <w:rFonts w:ascii="Times New Roman" w:hAnsi="Times New Roman"/>
              </w:rPr>
              <w:t>R594* variant obtained</w:t>
            </w:r>
            <w:r w:rsidRPr="00294E73">
              <w:rPr>
                <w:rFonts w:ascii="Times New Roman" w:eastAsiaTheme="majorEastAsia" w:hAnsi="Times New Roman" w:cstheme="majorBidi"/>
              </w:rPr>
              <w:t xml:space="preserve"> via site-directed mutagenesis using the </w:t>
            </w:r>
            <w:proofErr w:type="spellStart"/>
            <w:r w:rsidRPr="00294E73">
              <w:rPr>
                <w:rFonts w:ascii="Times New Roman" w:eastAsiaTheme="majorEastAsia" w:hAnsi="Times New Roman" w:cstheme="majorBidi"/>
              </w:rPr>
              <w:t>QuickChange</w:t>
            </w:r>
            <w:proofErr w:type="spellEnd"/>
            <w:r w:rsidRPr="00294E73">
              <w:rPr>
                <w:rFonts w:ascii="Times New Roman" w:eastAsiaTheme="majorEastAsia" w:hAnsi="Times New Roman" w:cstheme="majorBidi"/>
              </w:rPr>
              <w:t xml:space="preserve"> Site-Directed Mutagenesis kit (Agilent Technologies)</w:t>
            </w:r>
          </w:p>
        </w:tc>
      </w:tr>
      <w:tr w:rsidR="009B7CC9" w:rsidRPr="00294E73" w14:paraId="3E875B79" w14:textId="77777777" w:rsidTr="00610222">
        <w:trPr>
          <w:trHeight w:val="567"/>
        </w:trPr>
        <w:tc>
          <w:tcPr>
            <w:tcW w:w="0" w:type="auto"/>
          </w:tcPr>
          <w:p w14:paraId="5690AA93"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rPr>
            </w:pPr>
            <w:r w:rsidRPr="00294E73">
              <w:rPr>
                <w:rFonts w:ascii="Times New Roman" w:eastAsiaTheme="majorEastAsia" w:hAnsi="Times New Roman" w:cstheme="majorBidi"/>
              </w:rPr>
              <w:t>pcDNA3-HA</w:t>
            </w:r>
          </w:p>
        </w:tc>
        <w:tc>
          <w:tcPr>
            <w:tcW w:w="0" w:type="auto"/>
          </w:tcPr>
          <w:p w14:paraId="06EC9E73"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rPr>
            </w:pPr>
            <w:r w:rsidRPr="00294E73">
              <w:rPr>
                <w:rFonts w:ascii="Times New Roman" w:eastAsiaTheme="majorEastAsia" w:hAnsi="Times New Roman" w:cstheme="majorBidi"/>
              </w:rPr>
              <w:t>Vector backbone (mock).</w:t>
            </w:r>
          </w:p>
        </w:tc>
      </w:tr>
      <w:tr w:rsidR="009B7CC9" w:rsidRPr="00294E73" w14:paraId="2BBDAEB3" w14:textId="77777777" w:rsidTr="00610222">
        <w:trPr>
          <w:trHeight w:val="567"/>
        </w:trPr>
        <w:tc>
          <w:tcPr>
            <w:tcW w:w="0" w:type="auto"/>
          </w:tcPr>
          <w:p w14:paraId="69CD058D"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rPr>
            </w:pPr>
            <w:proofErr w:type="spellStart"/>
            <w:r w:rsidRPr="00294E73">
              <w:rPr>
                <w:rFonts w:ascii="Times New Roman" w:eastAsiaTheme="majorEastAsia" w:hAnsi="Times New Roman" w:cstheme="majorBidi"/>
              </w:rPr>
              <w:t>pFL</w:t>
            </w:r>
            <w:proofErr w:type="spellEnd"/>
            <w:r w:rsidRPr="00294E73">
              <w:rPr>
                <w:rFonts w:ascii="Times New Roman" w:eastAsiaTheme="majorEastAsia" w:hAnsi="Times New Roman" w:cstheme="majorBidi"/>
              </w:rPr>
              <w:t>-BAX</w:t>
            </w:r>
          </w:p>
        </w:tc>
        <w:tc>
          <w:tcPr>
            <w:tcW w:w="0" w:type="auto"/>
          </w:tcPr>
          <w:p w14:paraId="795ACED5"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rPr>
            </w:pPr>
            <w:r w:rsidRPr="00294E73">
              <w:rPr>
                <w:rFonts w:ascii="Times New Roman" w:eastAsiaTheme="majorEastAsia" w:hAnsi="Times New Roman" w:cstheme="majorBidi"/>
              </w:rPr>
              <w:t xml:space="preserve">Luciferase reporter vector with the Firefly luciferase gene under the control of BAX promoter, kindly provided by Dr. Terrinoni </w:t>
            </w:r>
            <w:r w:rsidRPr="00294E73">
              <w:rPr>
                <w:rFonts w:ascii="Times New Roman" w:hAnsi="Times New Roman"/>
              </w:rPr>
              <w:t xml:space="preserve">(Università </w:t>
            </w:r>
            <w:proofErr w:type="spellStart"/>
            <w:r w:rsidRPr="00294E73">
              <w:rPr>
                <w:rFonts w:ascii="Times New Roman" w:hAnsi="Times New Roman"/>
              </w:rPr>
              <w:t>degli</w:t>
            </w:r>
            <w:proofErr w:type="spellEnd"/>
            <w:r w:rsidRPr="00294E73">
              <w:rPr>
                <w:rFonts w:ascii="Times New Roman" w:hAnsi="Times New Roman"/>
              </w:rPr>
              <w:t xml:space="preserve"> Studi di Roma Tor </w:t>
            </w:r>
            <w:proofErr w:type="spellStart"/>
            <w:r w:rsidRPr="00294E73">
              <w:rPr>
                <w:rFonts w:ascii="Times New Roman" w:hAnsi="Times New Roman"/>
              </w:rPr>
              <w:t>Vergata</w:t>
            </w:r>
            <w:proofErr w:type="spellEnd"/>
            <w:r w:rsidRPr="00294E73">
              <w:rPr>
                <w:rFonts w:ascii="Times New Roman" w:hAnsi="Times New Roman"/>
              </w:rPr>
              <w:t xml:space="preserve">, Rome, Italy) </w:t>
            </w:r>
            <w:r w:rsidRPr="00294E73">
              <w:rPr>
                <w:rFonts w:ascii="Times New Roman" w:hAnsi="Times New Roman"/>
              </w:rPr>
              <w:fldChar w:fldCharType="begin"/>
            </w:r>
            <w:r w:rsidRPr="00294E73">
              <w:rPr>
                <w:rFonts w:ascii="Times New Roman" w:hAnsi="Times New Roman"/>
              </w:rPr>
              <w:instrText xml:space="preserve"> ADDIN ZOTERO_ITEM CSL_CITATION {"citationID":"KE40JNY3","properties":{"formattedCitation":"(39)","plainCitation":"(39)","noteIndex":0},"citationItems":[{"id":267,"uris":["http://zotero.org/users/local/EkPKlu6i/items/MSGYWW4B"],"itemData":{"id":267,"type":"article-journal","abstract":"Heterozygous mutations in TP63 cause a wide spectrum of autosomal dominant developmental disorders variably affecting skin, limbs, and face. TP63 encodes p63, a protein expressed in two main isoforms (Tap63 and ΔNp63) with critical roles in both cell differentiation and development. Some analyses suggest a relationship of the mutation site to the observed clinical picture, although this link is inconsistent. This suggests an appreciable phenotypic continuity within the TP63‐related disorders. We report a 3‐month‐old boy ascertained for congenital scalp erosion and mild features of ectodermal dysplasia. His mother showed full‐blown characteristics of Rapp‐Hodgkin syndrome plus intense abdominal and popliteal freckling. Molecular investigation identified the novel TP63 mutation c.1697delG. We used a luciferase reporter assay to compare the effects on the p63 transactivation (TA) activity of c.1697delG with that of the p.Arg280Cys and p.Gln634X mutations, associated with ectrodactyly‐ectodermal dysplasia‐cleft lip/palate syndrome and isolated split hand/foot malformation, respectively. These results demonstrated complex behavior of c.1697delG in the TA of genes involved in epidermal differentiation and development and shed further light in the physiopathology of TP63‐related disorders. © 2011 Wiley Periodicals, Inc.","archive_location":"22069181","container-title":"American journal of medical genetics. Part A","DOI":"10.1002/ajmg.a.34335","ISSN":"1552-4825","issue":"12","page":"3104-3109","title":"Functional characterization of a novel TP63 mutation in a family with overlapping features of Rapp‐Hodgkin/AEC/ADULT syndromes","volume":"155","author":[{"family":"Serra","given":"Valeria"},{"family":"Castori","given":"Marco"},{"family":"Paradisi","given":"Mauro"},{"family":"Bui","given":"Laura"},{"family":"Melino","given":"Gerry"},{"family":"Terrinoni","given":"Alessandro"}],"issued":{"date-parts":[["2011"]]}}}],"schema":"https://github.com/citation-style-language/schema/raw/master/csl-citation.json"} </w:instrText>
            </w:r>
            <w:r w:rsidRPr="00294E73">
              <w:rPr>
                <w:rFonts w:ascii="Times New Roman" w:hAnsi="Times New Roman"/>
              </w:rPr>
              <w:fldChar w:fldCharType="separate"/>
            </w:r>
            <w:r w:rsidRPr="00294E73">
              <w:rPr>
                <w:rFonts w:ascii="Times New Roman" w:hAnsi="Times New Roman"/>
              </w:rPr>
              <w:t>(39)</w:t>
            </w:r>
            <w:r w:rsidRPr="00294E73">
              <w:rPr>
                <w:rFonts w:ascii="Times New Roman" w:hAnsi="Times New Roman"/>
              </w:rPr>
              <w:fldChar w:fldCharType="end"/>
            </w:r>
          </w:p>
        </w:tc>
      </w:tr>
      <w:tr w:rsidR="009B7CC9" w:rsidRPr="00294E73" w14:paraId="2914E24E" w14:textId="77777777" w:rsidTr="00610222">
        <w:trPr>
          <w:trHeight w:val="567"/>
        </w:trPr>
        <w:tc>
          <w:tcPr>
            <w:tcW w:w="0" w:type="auto"/>
          </w:tcPr>
          <w:p w14:paraId="26E3E378"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rPr>
            </w:pPr>
            <w:r w:rsidRPr="00294E73">
              <w:rPr>
                <w:rFonts w:ascii="Times New Roman" w:eastAsiaTheme="majorEastAsia" w:hAnsi="Times New Roman" w:cstheme="majorBidi"/>
              </w:rPr>
              <w:t>pFL-K14</w:t>
            </w:r>
          </w:p>
        </w:tc>
        <w:tc>
          <w:tcPr>
            <w:tcW w:w="0" w:type="auto"/>
          </w:tcPr>
          <w:p w14:paraId="0F9A2F4A"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rPr>
            </w:pPr>
            <w:r w:rsidRPr="00294E73">
              <w:rPr>
                <w:rFonts w:ascii="Times New Roman" w:eastAsiaTheme="majorEastAsia" w:hAnsi="Times New Roman" w:cstheme="majorBidi"/>
              </w:rPr>
              <w:t xml:space="preserve">Luciferase reporter vector with the Firefly luciferase gene under the control of K14 promoter, kindly provided by Dr. Terrinoni </w:t>
            </w:r>
            <w:r w:rsidRPr="00294E73">
              <w:rPr>
                <w:rFonts w:ascii="Times New Roman" w:hAnsi="Times New Roman"/>
              </w:rPr>
              <w:t xml:space="preserve">(Università </w:t>
            </w:r>
            <w:proofErr w:type="spellStart"/>
            <w:r w:rsidRPr="00294E73">
              <w:rPr>
                <w:rFonts w:ascii="Times New Roman" w:hAnsi="Times New Roman"/>
              </w:rPr>
              <w:t>degli</w:t>
            </w:r>
            <w:proofErr w:type="spellEnd"/>
            <w:r w:rsidRPr="00294E73">
              <w:rPr>
                <w:rFonts w:ascii="Times New Roman" w:hAnsi="Times New Roman"/>
              </w:rPr>
              <w:t xml:space="preserve"> Studi di Roma Tor </w:t>
            </w:r>
            <w:proofErr w:type="spellStart"/>
            <w:r w:rsidRPr="00294E73">
              <w:rPr>
                <w:rFonts w:ascii="Times New Roman" w:hAnsi="Times New Roman"/>
              </w:rPr>
              <w:t>Vergata</w:t>
            </w:r>
            <w:proofErr w:type="spellEnd"/>
            <w:r w:rsidRPr="00294E73">
              <w:rPr>
                <w:rFonts w:ascii="Times New Roman" w:hAnsi="Times New Roman"/>
              </w:rPr>
              <w:t xml:space="preserve">, Rome, Italy) </w:t>
            </w:r>
            <w:r w:rsidRPr="00294E73">
              <w:rPr>
                <w:rFonts w:ascii="Times New Roman" w:hAnsi="Times New Roman"/>
              </w:rPr>
              <w:fldChar w:fldCharType="begin"/>
            </w:r>
            <w:r w:rsidRPr="00294E73">
              <w:rPr>
                <w:rFonts w:ascii="Times New Roman" w:hAnsi="Times New Roman"/>
              </w:rPr>
              <w:instrText xml:space="preserve"> ADDIN ZOTERO_ITEM CSL_CITATION {"citationID":"XrEtJ6jt","properties":{"formattedCitation":"(39)","plainCitation":"(39)","noteIndex":0},"citationItems":[{"id":267,"uris":["http://zotero.org/users/local/EkPKlu6i/items/MSGYWW4B"],"itemData":{"id":267,"type":"article-journal","abstract":"Heterozygous mutations in TP63 cause a wide spectrum of autosomal dominant developmental disorders variably affecting skin, limbs, and face. TP63 encodes p63, a protein expressed in two main isoforms (Tap63 and ΔNp63) with critical roles in both cell differentiation and development. Some analyses suggest a relationship of the mutation site to the observed clinical picture, although this link is inconsistent. This suggests an appreciable phenotypic continuity within the TP63‐related disorders. We report a 3‐month‐old boy ascertained for congenital scalp erosion and mild features of ectodermal dysplasia. His mother showed full‐blown characteristics of Rapp‐Hodgkin syndrome plus intense abdominal and popliteal freckling. Molecular investigation identified the novel TP63 mutation c.1697delG. We used a luciferase reporter assay to compare the effects on the p63 transactivation (TA) activity of c.1697delG with that of the p.Arg280Cys and p.Gln634X mutations, associated with ectrodactyly‐ectodermal dysplasia‐cleft lip/palate syndrome and isolated split hand/foot malformation, respectively. These results demonstrated complex behavior of c.1697delG in the TA of genes involved in epidermal differentiation and development and shed further light in the physiopathology of TP63‐related disorders. © 2011 Wiley Periodicals, Inc.","archive_location":"22069181","container-title":"American journal of medical genetics. Part A","DOI":"10.1002/ajmg.a.34335","ISSN":"1552-4825","issue":"12","page":"3104-3109","title":"Functional characterization of a novel TP63 mutation in a family with overlapping features of Rapp‐Hodgkin/AEC/ADULT syndromes","volume":"155","author":[{"family":"Serra","given":"Valeria"},{"family":"Castori","given":"Marco"},{"family":"Paradisi","given":"Mauro"},{"family":"Bui","given":"Laura"},{"family":"Melino","given":"Gerry"},{"family":"Terrinoni","given":"Alessandro"}],"issued":{"date-parts":[["2011"]]}}}],"schema":"https://github.com/citation-style-language/schema/raw/master/csl-citation.json"} </w:instrText>
            </w:r>
            <w:r w:rsidRPr="00294E73">
              <w:rPr>
                <w:rFonts w:ascii="Times New Roman" w:hAnsi="Times New Roman"/>
              </w:rPr>
              <w:fldChar w:fldCharType="separate"/>
            </w:r>
            <w:r w:rsidRPr="00294E73">
              <w:rPr>
                <w:rFonts w:ascii="Times New Roman" w:hAnsi="Times New Roman"/>
              </w:rPr>
              <w:t>(39)</w:t>
            </w:r>
            <w:r w:rsidRPr="00294E73">
              <w:rPr>
                <w:rFonts w:ascii="Times New Roman" w:hAnsi="Times New Roman"/>
              </w:rPr>
              <w:fldChar w:fldCharType="end"/>
            </w:r>
          </w:p>
        </w:tc>
      </w:tr>
      <w:tr w:rsidR="009B7CC9" w:rsidRPr="00294E73" w14:paraId="0D061BC8" w14:textId="77777777" w:rsidTr="00610222">
        <w:trPr>
          <w:trHeight w:val="567"/>
        </w:trPr>
        <w:tc>
          <w:tcPr>
            <w:tcW w:w="0" w:type="auto"/>
          </w:tcPr>
          <w:p w14:paraId="213A9B8F"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rPr>
            </w:pPr>
            <w:r w:rsidRPr="00294E73">
              <w:rPr>
                <w:rFonts w:ascii="Times New Roman" w:eastAsiaTheme="majorEastAsia" w:hAnsi="Times New Roman" w:cstheme="majorBidi"/>
              </w:rPr>
              <w:t>pFL-IRF6</w:t>
            </w:r>
          </w:p>
        </w:tc>
        <w:tc>
          <w:tcPr>
            <w:tcW w:w="0" w:type="auto"/>
          </w:tcPr>
          <w:p w14:paraId="606E92E4"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rPr>
            </w:pPr>
            <w:r w:rsidRPr="00294E73">
              <w:rPr>
                <w:rFonts w:ascii="Times New Roman" w:eastAsiaTheme="majorEastAsia" w:hAnsi="Times New Roman" w:cstheme="majorBidi"/>
              </w:rPr>
              <w:t>Luciferase reporter vector with the Firefly luciferase gene under the control of IRF6 promoter, kindly provided by Dr. Zhou (</w:t>
            </w:r>
            <w:r w:rsidRPr="00294E73">
              <w:rPr>
                <w:rFonts w:ascii="Times New Roman" w:hAnsi="Times New Roman"/>
              </w:rPr>
              <w:t xml:space="preserve">Radboud University, Nijmegen, The Netherlands) </w:t>
            </w:r>
            <w:r w:rsidRPr="00294E73">
              <w:rPr>
                <w:rFonts w:ascii="Times New Roman" w:hAnsi="Times New Roman"/>
              </w:rPr>
              <w:fldChar w:fldCharType="begin"/>
            </w:r>
            <w:r w:rsidRPr="00294E73">
              <w:rPr>
                <w:rFonts w:ascii="Times New Roman" w:hAnsi="Times New Roman"/>
              </w:rPr>
              <w:instrText xml:space="preserve"> ADDIN ZOTERO_ITEM CSL_CITATION {"citationID":"FfyPOcp0","properties":{"formattedCitation":"(47)","plainCitation":"(47)","noteIndex":0},"citationItems":[{"id":275,"uris":["http://zotero.org/users/local/EkPKlu6i/items/PAH7334J"],"itemData":{"id":275,"type":"article-journal","abstract":"Cleft palate is a common congenital disorder that affects up to 1 in 2,500 live human births and results in considerable morbidity to affected individuals and their families. The etiology of cleft palate is complex, with both genetic and environmental factors implicated. Mutations in the transcription factor-encoding genes p63 and interferon regulatory factor 6 (IRF6) have individually been identified as causes of cleft palate; however, a relationship between the key transcription factors p63 and IRF6 has not been determined. Here, we used both mouse models and human primary keratinocytes from patients with cleft palate to demonstrate that IRF6 and p63 interact epistatically during development of the secondary palate. Mice simultaneously carrying a heterozygous deletion of p63 and the Irf6 knockin mutation R84C, which causes cleft palate in humans, displayed ectodermal abnormalities that led to cleft palate. Furthermore, we showed that p63 transactivated IRF6 by binding to an upstream enhancer element; genetic variation within this enhancer element is associated with increased susceptibility to cleft lip. Our findings therefore identify p63 as a key regulatory molecule during palate development and provide a mechanism for the cooperative role of p63 and IRF6 in orofacial development in mice and humans.","archive_location":"20424327","container-title":"Journal of Clinical Investigation","DOI":"10.1172/jci40266","ISSN":"0021-9738","issue":"5","page":"1561-1569","title":"Cooperation between the transcription factors p63 and IRF6 is essential to prevent cleft palate in mice","volume":"120","author":[{"family":"Thomason","given":"Helen A."},{"family":"Zhou","given":"Huiqing"},{"family":"Kouwenhoven","given":"Evelyn N."},{"family":"Dotto","given":"Gian-Paolo"},{"family":"Restivo","given":"Gaia"},{"family":"Nguyen","given":"Bach-Cuc"},{"family":"Little","given":"Hayley"},{"family":"Dixon","given":"Michael J."},{"family":"Bokhoven","given":"Hans","non-dropping-particle":"van"},{"family":"Dixon","given":"Jill"}],"issued":{"date-parts":[["2010"]]}}}],"schema":"https://github.com/citation-style-language/schema/raw/master/csl-citation.json"} </w:instrText>
            </w:r>
            <w:r w:rsidRPr="00294E73">
              <w:rPr>
                <w:rFonts w:ascii="Times New Roman" w:hAnsi="Times New Roman"/>
              </w:rPr>
              <w:fldChar w:fldCharType="separate"/>
            </w:r>
            <w:r w:rsidRPr="00294E73">
              <w:rPr>
                <w:rFonts w:ascii="Times New Roman" w:hAnsi="Times New Roman"/>
              </w:rPr>
              <w:t>(47)</w:t>
            </w:r>
            <w:r w:rsidRPr="00294E73">
              <w:rPr>
                <w:rFonts w:ascii="Times New Roman" w:hAnsi="Times New Roman"/>
              </w:rPr>
              <w:fldChar w:fldCharType="end"/>
            </w:r>
          </w:p>
        </w:tc>
      </w:tr>
      <w:tr w:rsidR="009B7CC9" w:rsidRPr="00294E73" w14:paraId="2EDCF06D" w14:textId="77777777" w:rsidTr="00610222">
        <w:trPr>
          <w:trHeight w:val="567"/>
        </w:trPr>
        <w:tc>
          <w:tcPr>
            <w:tcW w:w="0" w:type="auto"/>
          </w:tcPr>
          <w:p w14:paraId="3E649129"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rPr>
            </w:pPr>
            <w:proofErr w:type="spellStart"/>
            <w:r w:rsidRPr="00294E73">
              <w:rPr>
                <w:rFonts w:ascii="Times New Roman" w:eastAsiaTheme="majorEastAsia" w:hAnsi="Times New Roman" w:cstheme="majorBidi"/>
              </w:rPr>
              <w:t>pRL</w:t>
            </w:r>
            <w:proofErr w:type="spellEnd"/>
            <w:r w:rsidRPr="00294E73">
              <w:rPr>
                <w:rFonts w:ascii="Times New Roman" w:eastAsiaTheme="majorEastAsia" w:hAnsi="Times New Roman" w:cstheme="majorBidi"/>
              </w:rPr>
              <w:t>-CMV</w:t>
            </w:r>
          </w:p>
        </w:tc>
        <w:tc>
          <w:tcPr>
            <w:tcW w:w="0" w:type="auto"/>
          </w:tcPr>
          <w:p w14:paraId="3321B301"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lang w:val="en-US"/>
              </w:rPr>
            </w:pPr>
            <w:r w:rsidRPr="00294E73">
              <w:rPr>
                <w:rFonts w:ascii="Times New Roman" w:eastAsiaTheme="majorEastAsia" w:hAnsi="Times New Roman" w:cstheme="majorBidi"/>
              </w:rPr>
              <w:t xml:space="preserve">Luciferase reporter vector with the </w:t>
            </w:r>
            <w:proofErr w:type="spellStart"/>
            <w:r w:rsidRPr="00294E73">
              <w:rPr>
                <w:rFonts w:ascii="Times New Roman" w:eastAsiaTheme="majorEastAsia" w:hAnsi="Times New Roman" w:cstheme="majorBidi"/>
                <w:lang w:val="en-US"/>
              </w:rPr>
              <w:t>Renilla</w:t>
            </w:r>
            <w:proofErr w:type="spellEnd"/>
            <w:r w:rsidRPr="00294E73">
              <w:rPr>
                <w:rFonts w:ascii="Times New Roman" w:eastAsiaTheme="majorEastAsia" w:hAnsi="Times New Roman" w:cstheme="majorBidi"/>
                <w:lang w:val="en-US"/>
              </w:rPr>
              <w:t xml:space="preserve"> Luciferase gene under the control of CMV promoter, purchased from </w:t>
            </w:r>
            <w:r w:rsidRPr="00294E73">
              <w:rPr>
                <w:rFonts w:ascii="Times New Roman" w:hAnsi="Times New Roman"/>
              </w:rPr>
              <w:t>Promega (Madison, WI, USA).</w:t>
            </w:r>
          </w:p>
        </w:tc>
      </w:tr>
      <w:tr w:rsidR="009B7CC9" w:rsidRPr="00294E73" w14:paraId="635BC20C" w14:textId="77777777" w:rsidTr="00610222">
        <w:trPr>
          <w:trHeight w:val="567"/>
        </w:trPr>
        <w:tc>
          <w:tcPr>
            <w:tcW w:w="0" w:type="auto"/>
          </w:tcPr>
          <w:p w14:paraId="6D004EE0"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rPr>
            </w:pPr>
            <w:r w:rsidRPr="00294E73">
              <w:rPr>
                <w:rFonts w:ascii="Times New Roman" w:eastAsiaTheme="majorEastAsia" w:hAnsi="Times New Roman" w:cstheme="majorBidi"/>
              </w:rPr>
              <w:lastRenderedPageBreak/>
              <w:t>Rabbit p-</w:t>
            </w:r>
            <w:r>
              <w:rPr>
                <w:rFonts w:ascii="Times New Roman" w:eastAsiaTheme="majorEastAsia" w:hAnsi="Times New Roman" w:cstheme="majorBidi"/>
              </w:rPr>
              <w:sym w:font="Symbol" w:char="F067"/>
            </w:r>
            <w:r w:rsidRPr="00294E73">
              <w:rPr>
                <w:rFonts w:ascii="Times New Roman" w:eastAsiaTheme="majorEastAsia" w:hAnsi="Times New Roman" w:cstheme="majorBidi"/>
              </w:rPr>
              <w:t>H2AXSer139 antibody (diluted 1:1000)</w:t>
            </w:r>
          </w:p>
        </w:tc>
        <w:tc>
          <w:tcPr>
            <w:tcW w:w="0" w:type="auto"/>
          </w:tcPr>
          <w:p w14:paraId="3FDED9F1"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rPr>
            </w:pPr>
            <w:r w:rsidRPr="00294E73">
              <w:rPr>
                <w:rFonts w:ascii="Times New Roman" w:eastAsiaTheme="majorEastAsia" w:hAnsi="Times New Roman" w:cstheme="majorBidi"/>
              </w:rPr>
              <w:t xml:space="preserve">Primary antibody used for the detection of </w:t>
            </w:r>
            <w:r w:rsidRPr="00294E73">
              <w:rPr>
                <w:rFonts w:ascii="Times New Roman" w:hAnsi="Times New Roman"/>
              </w:rPr>
              <w:t>histone H2A member X (</w:t>
            </w:r>
            <w:r w:rsidRPr="00294E73">
              <w:rPr>
                <w:rFonts w:ascii="Symbol" w:hAnsi="Symbol"/>
              </w:rPr>
              <w:sym w:font="Symbol" w:char="F067"/>
            </w:r>
            <w:r w:rsidRPr="00294E73">
              <w:rPr>
                <w:rFonts w:ascii="Times New Roman" w:hAnsi="Times New Roman"/>
              </w:rPr>
              <w:t>H2AX), purchased f</w:t>
            </w:r>
            <w:r w:rsidRPr="00294E73">
              <w:rPr>
                <w:rFonts w:ascii="Times New Roman" w:eastAsiaTheme="majorEastAsia" w:hAnsi="Times New Roman" w:cstheme="majorBidi"/>
              </w:rPr>
              <w:t xml:space="preserve">rom Cell </w:t>
            </w:r>
            <w:proofErr w:type="spellStart"/>
            <w:r w:rsidRPr="00294E73">
              <w:rPr>
                <w:rFonts w:ascii="Times New Roman" w:eastAsiaTheme="majorEastAsia" w:hAnsi="Times New Roman" w:cstheme="majorBidi"/>
              </w:rPr>
              <w:t>Signaling</w:t>
            </w:r>
            <w:proofErr w:type="spellEnd"/>
            <w:r w:rsidRPr="00294E73">
              <w:rPr>
                <w:rFonts w:ascii="Times New Roman" w:eastAsiaTheme="majorEastAsia" w:hAnsi="Times New Roman" w:cstheme="majorBidi"/>
              </w:rPr>
              <w:t xml:space="preserve"> Technology (Danvers, MA, USA).</w:t>
            </w:r>
          </w:p>
        </w:tc>
      </w:tr>
      <w:tr w:rsidR="009B7CC9" w:rsidRPr="00294E73" w14:paraId="5DEF1D92" w14:textId="77777777" w:rsidTr="00610222">
        <w:trPr>
          <w:trHeight w:val="567"/>
        </w:trPr>
        <w:tc>
          <w:tcPr>
            <w:tcW w:w="0" w:type="auto"/>
          </w:tcPr>
          <w:p w14:paraId="52303BD9"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lang w:val="it-IT"/>
              </w:rPr>
            </w:pPr>
            <w:proofErr w:type="spellStart"/>
            <w:r w:rsidRPr="00294E73">
              <w:rPr>
                <w:rFonts w:ascii="Times New Roman" w:eastAsiaTheme="majorEastAsia" w:hAnsi="Times New Roman" w:cstheme="majorBidi"/>
                <w:lang w:val="it-IT"/>
              </w:rPr>
              <w:t>Rabbit</w:t>
            </w:r>
            <w:proofErr w:type="spellEnd"/>
            <w:r w:rsidRPr="00294E73">
              <w:rPr>
                <w:rFonts w:ascii="Times New Roman" w:eastAsiaTheme="majorEastAsia" w:hAnsi="Times New Roman" w:cstheme="majorBidi"/>
                <w:lang w:val="it-IT"/>
              </w:rPr>
              <w:t xml:space="preserve"> anti-HA </w:t>
            </w:r>
            <w:proofErr w:type="spellStart"/>
            <w:r w:rsidRPr="00294E73">
              <w:rPr>
                <w:rFonts w:ascii="Times New Roman" w:eastAsiaTheme="majorEastAsia" w:hAnsi="Times New Roman" w:cstheme="majorBidi"/>
                <w:lang w:val="it-IT"/>
              </w:rPr>
              <w:t>antibody</w:t>
            </w:r>
            <w:proofErr w:type="spellEnd"/>
            <w:r w:rsidRPr="00294E73">
              <w:rPr>
                <w:rFonts w:ascii="Times New Roman" w:eastAsiaTheme="majorEastAsia" w:hAnsi="Times New Roman" w:cstheme="majorBidi"/>
                <w:lang w:val="it-IT"/>
              </w:rPr>
              <w:t xml:space="preserve"> (</w:t>
            </w:r>
            <w:proofErr w:type="spellStart"/>
            <w:r w:rsidRPr="00294E73">
              <w:rPr>
                <w:rFonts w:ascii="Times New Roman" w:eastAsiaTheme="majorEastAsia" w:hAnsi="Times New Roman" w:cstheme="majorBidi"/>
                <w:lang w:val="it-IT"/>
              </w:rPr>
              <w:t>diluted</w:t>
            </w:r>
            <w:proofErr w:type="spellEnd"/>
            <w:r w:rsidRPr="00294E73">
              <w:rPr>
                <w:rFonts w:ascii="Times New Roman" w:eastAsiaTheme="majorEastAsia" w:hAnsi="Times New Roman" w:cstheme="majorBidi"/>
                <w:lang w:val="it-IT"/>
              </w:rPr>
              <w:t xml:space="preserve"> 1:1000)</w:t>
            </w:r>
          </w:p>
        </w:tc>
        <w:tc>
          <w:tcPr>
            <w:tcW w:w="0" w:type="auto"/>
          </w:tcPr>
          <w:p w14:paraId="1F74C67B"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lang w:val="en-US"/>
              </w:rPr>
            </w:pPr>
            <w:r w:rsidRPr="00294E73">
              <w:rPr>
                <w:rFonts w:ascii="Times New Roman" w:eastAsiaTheme="majorEastAsia" w:hAnsi="Times New Roman" w:cstheme="majorBidi"/>
              </w:rPr>
              <w:t>Primary antibody used for the detection of p63 protein, purchased from Sigma Aldrich (Saint Louis, MO, USA).</w:t>
            </w:r>
          </w:p>
        </w:tc>
      </w:tr>
      <w:tr w:rsidR="009B7CC9" w:rsidRPr="00294E73" w14:paraId="7C9FA8B1" w14:textId="77777777" w:rsidTr="00610222">
        <w:trPr>
          <w:trHeight w:val="567"/>
        </w:trPr>
        <w:tc>
          <w:tcPr>
            <w:tcW w:w="0" w:type="auto"/>
          </w:tcPr>
          <w:p w14:paraId="394E4F6B"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lang w:val="en-US"/>
              </w:rPr>
            </w:pPr>
            <w:r w:rsidRPr="00294E73">
              <w:rPr>
                <w:rFonts w:ascii="Times New Roman" w:eastAsiaTheme="majorEastAsia" w:hAnsi="Times New Roman" w:cstheme="majorBidi"/>
                <w:lang w:val="en-US"/>
              </w:rPr>
              <w:t>Mouse anti-ACTB antibody (diluted 1:5000)</w:t>
            </w:r>
          </w:p>
        </w:tc>
        <w:tc>
          <w:tcPr>
            <w:tcW w:w="0" w:type="auto"/>
          </w:tcPr>
          <w:p w14:paraId="0C498C7F"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rPr>
            </w:pPr>
            <w:r w:rsidRPr="00294E73">
              <w:rPr>
                <w:rFonts w:ascii="Times New Roman" w:eastAsiaTheme="majorEastAsia" w:hAnsi="Times New Roman" w:cstheme="majorBidi"/>
              </w:rPr>
              <w:t>Primary antibody used for the detection of actin B (ACTB), purchased from Sigma Aldrich (Saint Louis, MO, USA).</w:t>
            </w:r>
          </w:p>
        </w:tc>
      </w:tr>
      <w:tr w:rsidR="009B7CC9" w:rsidRPr="00294E73" w14:paraId="362207A4" w14:textId="77777777" w:rsidTr="00610222">
        <w:trPr>
          <w:trHeight w:val="567"/>
        </w:trPr>
        <w:tc>
          <w:tcPr>
            <w:tcW w:w="0" w:type="auto"/>
          </w:tcPr>
          <w:p w14:paraId="14179639"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lang w:val="en-US"/>
              </w:rPr>
            </w:pPr>
            <w:r w:rsidRPr="00294E73">
              <w:rPr>
                <w:rFonts w:ascii="Times New Roman" w:eastAsiaTheme="majorEastAsia" w:hAnsi="Times New Roman" w:cstheme="majorBidi"/>
                <w:lang w:val="en-US"/>
              </w:rPr>
              <w:t>IgG-HRP-conjugated secondary antibodies (diluted 1:5000)</w:t>
            </w:r>
          </w:p>
        </w:tc>
        <w:tc>
          <w:tcPr>
            <w:tcW w:w="0" w:type="auto"/>
          </w:tcPr>
          <w:p w14:paraId="67EACF5D" w14:textId="77777777" w:rsidR="009B7CC9" w:rsidRPr="00294E73" w:rsidRDefault="009B7CC9" w:rsidP="00610222">
            <w:pPr>
              <w:keepNext/>
              <w:keepLines/>
              <w:spacing w:before="160" w:after="80" w:line="480" w:lineRule="auto"/>
              <w:outlineLvl w:val="2"/>
              <w:rPr>
                <w:rFonts w:ascii="Times New Roman" w:eastAsiaTheme="majorEastAsia" w:hAnsi="Times New Roman" w:cstheme="majorBidi"/>
              </w:rPr>
            </w:pPr>
            <w:r w:rsidRPr="00294E73">
              <w:rPr>
                <w:rFonts w:ascii="Times New Roman" w:eastAsiaTheme="majorEastAsia" w:hAnsi="Times New Roman" w:cstheme="majorBidi"/>
              </w:rPr>
              <w:t xml:space="preserve">Secondary antibody used for the detection and amplification of primary antibodies, purchased from Cell </w:t>
            </w:r>
            <w:proofErr w:type="spellStart"/>
            <w:r w:rsidRPr="00294E73">
              <w:rPr>
                <w:rFonts w:ascii="Times New Roman" w:eastAsiaTheme="majorEastAsia" w:hAnsi="Times New Roman" w:cstheme="majorBidi"/>
              </w:rPr>
              <w:t>Signaling</w:t>
            </w:r>
            <w:proofErr w:type="spellEnd"/>
            <w:r w:rsidRPr="00294E73">
              <w:rPr>
                <w:rFonts w:ascii="Times New Roman" w:eastAsiaTheme="majorEastAsia" w:hAnsi="Times New Roman" w:cstheme="majorBidi"/>
              </w:rPr>
              <w:t xml:space="preserve"> Technology (Danvers, MA, USA).</w:t>
            </w:r>
          </w:p>
        </w:tc>
      </w:tr>
    </w:tbl>
    <w:p w14:paraId="206751A1" w14:textId="40D9FCF3" w:rsidR="00E4134F" w:rsidRPr="00670927" w:rsidRDefault="00670927" w:rsidP="00670927">
      <w:pPr>
        <w:rPr>
          <w:rFonts w:ascii="Times New Roman" w:hAnsi="Times New Roman"/>
        </w:rPr>
      </w:pPr>
      <w:r w:rsidRPr="00670927">
        <w:rPr>
          <w:rFonts w:ascii="Times New Roman" w:hAnsi="Times New Roman"/>
        </w:rPr>
        <w:t>WT: wild-type</w:t>
      </w:r>
      <w:r>
        <w:rPr>
          <w:rFonts w:ascii="Times New Roman" w:hAnsi="Times New Roman"/>
        </w:rPr>
        <w:t xml:space="preserve">, </w:t>
      </w:r>
      <w:r w:rsidR="002B1AFE" w:rsidRPr="002B1AFE">
        <w:rPr>
          <w:rFonts w:ascii="Times New Roman" w:hAnsi="Times New Roman"/>
        </w:rPr>
        <w:t>HA: Hemagglutinin tag</w:t>
      </w:r>
      <w:r w:rsidR="002B1AFE">
        <w:rPr>
          <w:rFonts w:ascii="Times New Roman" w:hAnsi="Times New Roman"/>
        </w:rPr>
        <w:t xml:space="preserve">, </w:t>
      </w:r>
      <w:r w:rsidR="002B1AFE" w:rsidRPr="00294E73">
        <w:rPr>
          <w:rFonts w:ascii="Times New Roman" w:eastAsiaTheme="majorEastAsia" w:hAnsi="Times New Roman" w:cstheme="majorBidi"/>
        </w:rPr>
        <w:t>FL</w:t>
      </w:r>
      <w:r w:rsidR="002B1AFE">
        <w:rPr>
          <w:rFonts w:ascii="Times New Roman" w:eastAsiaTheme="majorEastAsia" w:hAnsi="Times New Roman" w:cstheme="majorBidi"/>
        </w:rPr>
        <w:t xml:space="preserve">: Firefly Luciferase, RL: </w:t>
      </w:r>
      <w:proofErr w:type="spellStart"/>
      <w:r w:rsidR="002B1AFE">
        <w:rPr>
          <w:rFonts w:ascii="Times New Roman" w:eastAsiaTheme="majorEastAsia" w:hAnsi="Times New Roman" w:cstheme="majorBidi"/>
        </w:rPr>
        <w:t>Renilla</w:t>
      </w:r>
      <w:proofErr w:type="spellEnd"/>
      <w:r w:rsidR="002B1AFE">
        <w:rPr>
          <w:rFonts w:ascii="Times New Roman" w:eastAsiaTheme="majorEastAsia" w:hAnsi="Times New Roman" w:cstheme="majorBidi"/>
        </w:rPr>
        <w:t xml:space="preserve"> Luciferase, </w:t>
      </w:r>
      <w:r w:rsidR="002B1AFE" w:rsidRPr="00294E73">
        <w:rPr>
          <w:rFonts w:ascii="Symbol" w:hAnsi="Symbol"/>
        </w:rPr>
        <w:sym w:font="Symbol" w:char="F067"/>
      </w:r>
      <w:r w:rsidR="002B1AFE" w:rsidRPr="00294E73">
        <w:rPr>
          <w:rFonts w:ascii="Times New Roman" w:hAnsi="Times New Roman"/>
        </w:rPr>
        <w:t>H2AX</w:t>
      </w:r>
      <w:r w:rsidR="002B1AFE">
        <w:rPr>
          <w:rFonts w:ascii="Times New Roman" w:hAnsi="Times New Roman"/>
        </w:rPr>
        <w:t xml:space="preserve">: </w:t>
      </w:r>
      <w:r w:rsidR="002B1AFE" w:rsidRPr="00294E73">
        <w:rPr>
          <w:rFonts w:ascii="Times New Roman" w:hAnsi="Times New Roman"/>
        </w:rPr>
        <w:t>histone H2A member X</w:t>
      </w:r>
      <w:r w:rsidR="002B1AFE">
        <w:rPr>
          <w:rFonts w:ascii="Times New Roman" w:hAnsi="Times New Roman"/>
        </w:rPr>
        <w:t xml:space="preserve">, </w:t>
      </w:r>
      <w:r w:rsidR="002B1AFE" w:rsidRPr="00294E73">
        <w:rPr>
          <w:rFonts w:ascii="Times New Roman" w:eastAsiaTheme="majorEastAsia" w:hAnsi="Times New Roman" w:cstheme="majorBidi"/>
          <w:lang w:val="en-US"/>
        </w:rPr>
        <w:t>ACTB</w:t>
      </w:r>
      <w:r w:rsidR="002B1AFE">
        <w:rPr>
          <w:rFonts w:ascii="Times New Roman" w:eastAsiaTheme="majorEastAsia" w:hAnsi="Times New Roman" w:cstheme="majorBidi"/>
          <w:lang w:val="en-US"/>
        </w:rPr>
        <w:t xml:space="preserve">: </w:t>
      </w:r>
      <w:r w:rsidR="002B1AFE" w:rsidRPr="00294E73">
        <w:rPr>
          <w:rFonts w:ascii="Times New Roman" w:eastAsiaTheme="majorEastAsia" w:hAnsi="Times New Roman" w:cstheme="majorBidi"/>
        </w:rPr>
        <w:t>actin B</w:t>
      </w:r>
      <w:r w:rsidR="002B1AFE">
        <w:rPr>
          <w:rFonts w:ascii="Times New Roman" w:eastAsiaTheme="majorEastAsia" w:hAnsi="Times New Roman" w:cstheme="majorBidi"/>
        </w:rPr>
        <w:t xml:space="preserve">, </w:t>
      </w:r>
      <w:r w:rsidR="002B1AFE" w:rsidRPr="00294E73">
        <w:rPr>
          <w:rFonts w:ascii="Times New Roman" w:eastAsiaTheme="majorEastAsia" w:hAnsi="Times New Roman" w:cstheme="majorBidi"/>
          <w:lang w:val="en-US"/>
        </w:rPr>
        <w:t>HRP</w:t>
      </w:r>
      <w:r w:rsidR="002B1AFE">
        <w:rPr>
          <w:rFonts w:ascii="Times New Roman" w:eastAsiaTheme="majorEastAsia" w:hAnsi="Times New Roman" w:cstheme="majorBidi"/>
          <w:lang w:val="en-US"/>
        </w:rPr>
        <w:t xml:space="preserve">: </w:t>
      </w:r>
      <w:r w:rsidR="001A1BA6" w:rsidRPr="001A1BA6">
        <w:rPr>
          <w:rFonts w:ascii="Times New Roman" w:eastAsiaTheme="majorEastAsia" w:hAnsi="Times New Roman" w:cstheme="majorBidi"/>
          <w:lang w:val="en-US"/>
        </w:rPr>
        <w:t>Horseradish Peroxidase</w:t>
      </w:r>
      <w:r w:rsidR="001A1BA6">
        <w:rPr>
          <w:rFonts w:ascii="Times New Roman" w:eastAsiaTheme="majorEastAsia" w:hAnsi="Times New Roman" w:cstheme="majorBidi"/>
          <w:lang w:val="en-US"/>
        </w:rPr>
        <w:t>.</w:t>
      </w:r>
    </w:p>
    <w:sectPr w:rsidR="00E4134F" w:rsidRPr="0067092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E7A"/>
    <w:rsid w:val="0004045F"/>
    <w:rsid w:val="001A1BA6"/>
    <w:rsid w:val="00275B8B"/>
    <w:rsid w:val="002B1AFE"/>
    <w:rsid w:val="00511055"/>
    <w:rsid w:val="00670927"/>
    <w:rsid w:val="00705D49"/>
    <w:rsid w:val="0082613E"/>
    <w:rsid w:val="009B7CC9"/>
    <w:rsid w:val="00C040A2"/>
    <w:rsid w:val="00CF5E7A"/>
    <w:rsid w:val="00E4134F"/>
    <w:rsid w:val="00F42A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1F1E6"/>
  <w15:chartTrackingRefBased/>
  <w15:docId w15:val="{E79C85D5-AD77-4667-8DC3-7FA37E600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5E7A"/>
    <w:pPr>
      <w:spacing w:after="200" w:line="276" w:lineRule="auto"/>
    </w:pPr>
    <w:rPr>
      <w:rFonts w:ascii="Calibri" w:eastAsia="Calibri" w:hAnsi="Calibri" w:cs="Times New Roman"/>
      <w:kern w:val="0"/>
      <w:lang w:val="en-GB"/>
      <w14:ligatures w14:val="none"/>
    </w:rPr>
  </w:style>
  <w:style w:type="paragraph" w:styleId="Titolo1">
    <w:name w:val="heading 1"/>
    <w:basedOn w:val="Normale"/>
    <w:next w:val="Normale"/>
    <w:link w:val="Titolo1Carattere"/>
    <w:uiPriority w:val="9"/>
    <w:qFormat/>
    <w:rsid w:val="00275B8B"/>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val="it-IT"/>
      <w14:ligatures w14:val="standardContextual"/>
    </w:rPr>
  </w:style>
  <w:style w:type="paragraph" w:styleId="Titolo2">
    <w:name w:val="heading 2"/>
    <w:basedOn w:val="Normale"/>
    <w:next w:val="Normale"/>
    <w:link w:val="Titolo2Carattere"/>
    <w:uiPriority w:val="9"/>
    <w:semiHidden/>
    <w:unhideWhenUsed/>
    <w:qFormat/>
    <w:rsid w:val="00275B8B"/>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val="it-IT"/>
      <w14:ligatures w14:val="standardContextual"/>
    </w:rPr>
  </w:style>
  <w:style w:type="paragraph" w:styleId="Titolo3">
    <w:name w:val="heading 3"/>
    <w:basedOn w:val="Normale"/>
    <w:next w:val="Normale"/>
    <w:link w:val="Titolo3Carattere"/>
    <w:uiPriority w:val="9"/>
    <w:semiHidden/>
    <w:unhideWhenUsed/>
    <w:qFormat/>
    <w:rsid w:val="00275B8B"/>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lang w:val="it-IT"/>
      <w14:ligatures w14:val="standardContextual"/>
    </w:rPr>
  </w:style>
  <w:style w:type="paragraph" w:styleId="Titolo4">
    <w:name w:val="heading 4"/>
    <w:basedOn w:val="Normale"/>
    <w:next w:val="Normale"/>
    <w:link w:val="Titolo4Carattere"/>
    <w:uiPriority w:val="9"/>
    <w:semiHidden/>
    <w:unhideWhenUsed/>
    <w:qFormat/>
    <w:rsid w:val="00275B8B"/>
    <w:pPr>
      <w:keepNext/>
      <w:keepLines/>
      <w:spacing w:before="80" w:after="40" w:line="259" w:lineRule="auto"/>
      <w:outlineLvl w:val="3"/>
    </w:pPr>
    <w:rPr>
      <w:rFonts w:asciiTheme="minorHAnsi" w:eastAsiaTheme="majorEastAsia" w:hAnsiTheme="minorHAnsi" w:cstheme="majorBidi"/>
      <w:i/>
      <w:iCs/>
      <w:color w:val="2E74B5" w:themeColor="accent1" w:themeShade="BF"/>
      <w:kern w:val="2"/>
      <w:lang w:val="it-IT"/>
      <w14:ligatures w14:val="standardContextual"/>
    </w:rPr>
  </w:style>
  <w:style w:type="paragraph" w:styleId="Titolo5">
    <w:name w:val="heading 5"/>
    <w:basedOn w:val="Normale"/>
    <w:next w:val="Normale"/>
    <w:link w:val="Titolo5Carattere"/>
    <w:uiPriority w:val="9"/>
    <w:semiHidden/>
    <w:unhideWhenUsed/>
    <w:qFormat/>
    <w:rsid w:val="00275B8B"/>
    <w:pPr>
      <w:keepNext/>
      <w:keepLines/>
      <w:spacing w:before="80" w:after="40" w:line="259" w:lineRule="auto"/>
      <w:outlineLvl w:val="4"/>
    </w:pPr>
    <w:rPr>
      <w:rFonts w:asciiTheme="minorHAnsi" w:eastAsiaTheme="majorEastAsia" w:hAnsiTheme="minorHAnsi" w:cstheme="majorBidi"/>
      <w:color w:val="2E74B5" w:themeColor="accent1" w:themeShade="BF"/>
      <w:kern w:val="2"/>
      <w:lang w:val="it-IT"/>
      <w14:ligatures w14:val="standardContextual"/>
    </w:rPr>
  </w:style>
  <w:style w:type="paragraph" w:styleId="Titolo6">
    <w:name w:val="heading 6"/>
    <w:basedOn w:val="Normale"/>
    <w:next w:val="Normale"/>
    <w:link w:val="Titolo6Carattere"/>
    <w:uiPriority w:val="9"/>
    <w:semiHidden/>
    <w:unhideWhenUsed/>
    <w:qFormat/>
    <w:rsid w:val="00275B8B"/>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it-IT"/>
      <w14:ligatures w14:val="standardContextual"/>
    </w:rPr>
  </w:style>
  <w:style w:type="paragraph" w:styleId="Titolo7">
    <w:name w:val="heading 7"/>
    <w:basedOn w:val="Normale"/>
    <w:next w:val="Normale"/>
    <w:link w:val="Titolo7Carattere"/>
    <w:uiPriority w:val="9"/>
    <w:semiHidden/>
    <w:unhideWhenUsed/>
    <w:qFormat/>
    <w:rsid w:val="00275B8B"/>
    <w:pPr>
      <w:keepNext/>
      <w:keepLines/>
      <w:spacing w:before="40" w:after="0" w:line="259" w:lineRule="auto"/>
      <w:outlineLvl w:val="6"/>
    </w:pPr>
    <w:rPr>
      <w:rFonts w:asciiTheme="minorHAnsi" w:eastAsiaTheme="majorEastAsia" w:hAnsiTheme="minorHAnsi" w:cstheme="majorBidi"/>
      <w:color w:val="595959" w:themeColor="text1" w:themeTint="A6"/>
      <w:kern w:val="2"/>
      <w:lang w:val="it-IT"/>
      <w14:ligatures w14:val="standardContextual"/>
    </w:rPr>
  </w:style>
  <w:style w:type="paragraph" w:styleId="Titolo8">
    <w:name w:val="heading 8"/>
    <w:basedOn w:val="Normale"/>
    <w:next w:val="Normale"/>
    <w:link w:val="Titolo8Carattere"/>
    <w:uiPriority w:val="9"/>
    <w:semiHidden/>
    <w:unhideWhenUsed/>
    <w:qFormat/>
    <w:rsid w:val="00275B8B"/>
    <w:pPr>
      <w:keepNext/>
      <w:keepLines/>
      <w:spacing w:after="0" w:line="259" w:lineRule="auto"/>
      <w:outlineLvl w:val="7"/>
    </w:pPr>
    <w:rPr>
      <w:rFonts w:asciiTheme="minorHAnsi" w:eastAsiaTheme="majorEastAsia" w:hAnsiTheme="minorHAnsi" w:cstheme="majorBidi"/>
      <w:i/>
      <w:iCs/>
      <w:color w:val="272727" w:themeColor="text1" w:themeTint="D8"/>
      <w:kern w:val="2"/>
      <w:lang w:val="it-IT"/>
      <w14:ligatures w14:val="standardContextual"/>
    </w:rPr>
  </w:style>
  <w:style w:type="paragraph" w:styleId="Titolo9">
    <w:name w:val="heading 9"/>
    <w:basedOn w:val="Normale"/>
    <w:next w:val="Normale"/>
    <w:link w:val="Titolo9Carattere"/>
    <w:uiPriority w:val="9"/>
    <w:semiHidden/>
    <w:unhideWhenUsed/>
    <w:qFormat/>
    <w:rsid w:val="00275B8B"/>
    <w:pPr>
      <w:keepNext/>
      <w:keepLines/>
      <w:spacing w:after="0" w:line="259" w:lineRule="auto"/>
      <w:outlineLvl w:val="8"/>
    </w:pPr>
    <w:rPr>
      <w:rFonts w:asciiTheme="minorHAnsi" w:eastAsiaTheme="majorEastAsia" w:hAnsiTheme="minorHAnsi" w:cstheme="majorBidi"/>
      <w:color w:val="272727" w:themeColor="text1" w:themeTint="D8"/>
      <w:kern w:val="2"/>
      <w:lang w:val="it-IT"/>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75B8B"/>
    <w:rPr>
      <w:rFonts w:asciiTheme="majorHAnsi" w:eastAsiaTheme="majorEastAsia" w:hAnsiTheme="majorHAnsi" w:cstheme="majorBidi"/>
      <w:color w:val="2E74B5" w:themeColor="accent1" w:themeShade="BF"/>
      <w:sz w:val="40"/>
      <w:szCs w:val="40"/>
    </w:rPr>
  </w:style>
  <w:style w:type="character" w:customStyle="1" w:styleId="Titolo2Carattere">
    <w:name w:val="Titolo 2 Carattere"/>
    <w:basedOn w:val="Carpredefinitoparagrafo"/>
    <w:link w:val="Titolo2"/>
    <w:uiPriority w:val="9"/>
    <w:semiHidden/>
    <w:rsid w:val="00275B8B"/>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semiHidden/>
    <w:rsid w:val="00275B8B"/>
    <w:rPr>
      <w:rFonts w:eastAsiaTheme="majorEastAsia" w:cstheme="majorBidi"/>
      <w:color w:val="2E74B5" w:themeColor="accent1" w:themeShade="BF"/>
      <w:sz w:val="28"/>
      <w:szCs w:val="28"/>
    </w:rPr>
  </w:style>
  <w:style w:type="character" w:customStyle="1" w:styleId="Titolo4Carattere">
    <w:name w:val="Titolo 4 Carattere"/>
    <w:basedOn w:val="Carpredefinitoparagrafo"/>
    <w:link w:val="Titolo4"/>
    <w:uiPriority w:val="9"/>
    <w:semiHidden/>
    <w:rsid w:val="00275B8B"/>
    <w:rPr>
      <w:rFonts w:eastAsiaTheme="majorEastAsia" w:cstheme="majorBidi"/>
      <w:i/>
      <w:iCs/>
      <w:color w:val="2E74B5" w:themeColor="accent1" w:themeShade="BF"/>
    </w:rPr>
  </w:style>
  <w:style w:type="character" w:customStyle="1" w:styleId="Titolo5Carattere">
    <w:name w:val="Titolo 5 Carattere"/>
    <w:basedOn w:val="Carpredefinitoparagrafo"/>
    <w:link w:val="Titolo5"/>
    <w:uiPriority w:val="9"/>
    <w:semiHidden/>
    <w:rsid w:val="00275B8B"/>
    <w:rPr>
      <w:rFonts w:eastAsiaTheme="majorEastAsia" w:cstheme="majorBidi"/>
      <w:color w:val="2E74B5" w:themeColor="accent1" w:themeShade="BF"/>
    </w:rPr>
  </w:style>
  <w:style w:type="character" w:customStyle="1" w:styleId="Titolo6Carattere">
    <w:name w:val="Titolo 6 Carattere"/>
    <w:basedOn w:val="Carpredefinitoparagrafo"/>
    <w:link w:val="Titolo6"/>
    <w:uiPriority w:val="9"/>
    <w:semiHidden/>
    <w:rsid w:val="00275B8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75B8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75B8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75B8B"/>
    <w:rPr>
      <w:rFonts w:eastAsiaTheme="majorEastAsia" w:cstheme="majorBidi"/>
      <w:color w:val="272727" w:themeColor="text1" w:themeTint="D8"/>
    </w:rPr>
  </w:style>
  <w:style w:type="paragraph" w:styleId="Titolo">
    <w:name w:val="Title"/>
    <w:basedOn w:val="Normale"/>
    <w:next w:val="Normale"/>
    <w:link w:val="TitoloCarattere"/>
    <w:uiPriority w:val="10"/>
    <w:qFormat/>
    <w:rsid w:val="00275B8B"/>
    <w:pPr>
      <w:spacing w:after="80" w:line="240" w:lineRule="auto"/>
      <w:contextualSpacing/>
    </w:pPr>
    <w:rPr>
      <w:rFonts w:asciiTheme="majorHAnsi" w:eastAsiaTheme="majorEastAsia" w:hAnsiTheme="majorHAnsi" w:cstheme="majorBidi"/>
      <w:spacing w:val="-10"/>
      <w:kern w:val="28"/>
      <w:sz w:val="56"/>
      <w:szCs w:val="56"/>
      <w:lang w:val="it-IT"/>
      <w14:ligatures w14:val="standardContextual"/>
    </w:rPr>
  </w:style>
  <w:style w:type="character" w:customStyle="1" w:styleId="TitoloCarattere">
    <w:name w:val="Titolo Carattere"/>
    <w:basedOn w:val="Carpredefinitoparagrafo"/>
    <w:link w:val="Titolo"/>
    <w:uiPriority w:val="10"/>
    <w:rsid w:val="00275B8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75B8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it-IT"/>
      <w14:ligatures w14:val="standardContextual"/>
    </w:rPr>
  </w:style>
  <w:style w:type="character" w:customStyle="1" w:styleId="SottotitoloCarattere">
    <w:name w:val="Sottotitolo Carattere"/>
    <w:basedOn w:val="Carpredefinitoparagrafo"/>
    <w:link w:val="Sottotitolo"/>
    <w:uiPriority w:val="11"/>
    <w:rsid w:val="00275B8B"/>
    <w:rPr>
      <w:rFonts w:eastAsiaTheme="majorEastAsia" w:cstheme="majorBidi"/>
      <w:color w:val="595959" w:themeColor="text1" w:themeTint="A6"/>
      <w:spacing w:val="15"/>
      <w:sz w:val="28"/>
      <w:szCs w:val="28"/>
    </w:rPr>
  </w:style>
  <w:style w:type="paragraph" w:styleId="Paragrafoelenco">
    <w:name w:val="List Paragraph"/>
    <w:basedOn w:val="Normale"/>
    <w:uiPriority w:val="34"/>
    <w:qFormat/>
    <w:rsid w:val="00275B8B"/>
    <w:pPr>
      <w:spacing w:after="160" w:line="259" w:lineRule="auto"/>
      <w:ind w:left="720"/>
      <w:contextualSpacing/>
    </w:pPr>
    <w:rPr>
      <w:rFonts w:asciiTheme="minorHAnsi" w:eastAsiaTheme="minorHAnsi" w:hAnsiTheme="minorHAnsi" w:cstheme="minorBidi"/>
      <w:kern w:val="2"/>
      <w:lang w:val="it-IT"/>
      <w14:ligatures w14:val="standardContextual"/>
    </w:rPr>
  </w:style>
  <w:style w:type="paragraph" w:styleId="Citazione">
    <w:name w:val="Quote"/>
    <w:basedOn w:val="Normale"/>
    <w:next w:val="Normale"/>
    <w:link w:val="CitazioneCarattere"/>
    <w:uiPriority w:val="29"/>
    <w:qFormat/>
    <w:rsid w:val="00275B8B"/>
    <w:pPr>
      <w:spacing w:before="160" w:after="160" w:line="259" w:lineRule="auto"/>
      <w:jc w:val="center"/>
    </w:pPr>
    <w:rPr>
      <w:rFonts w:asciiTheme="minorHAnsi" w:eastAsiaTheme="minorHAnsi" w:hAnsiTheme="minorHAnsi" w:cstheme="minorBidi"/>
      <w:i/>
      <w:iCs/>
      <w:color w:val="404040" w:themeColor="text1" w:themeTint="BF"/>
      <w:kern w:val="2"/>
      <w:lang w:val="it-IT"/>
      <w14:ligatures w14:val="standardContextual"/>
    </w:rPr>
  </w:style>
  <w:style w:type="character" w:customStyle="1" w:styleId="CitazioneCarattere">
    <w:name w:val="Citazione Carattere"/>
    <w:basedOn w:val="Carpredefinitoparagrafo"/>
    <w:link w:val="Citazione"/>
    <w:uiPriority w:val="29"/>
    <w:rsid w:val="00275B8B"/>
    <w:rPr>
      <w:i/>
      <w:iCs/>
      <w:color w:val="404040" w:themeColor="text1" w:themeTint="BF"/>
    </w:rPr>
  </w:style>
  <w:style w:type="paragraph" w:styleId="Citazioneintensa">
    <w:name w:val="Intense Quote"/>
    <w:basedOn w:val="Normale"/>
    <w:next w:val="Normale"/>
    <w:link w:val="CitazioneintensaCarattere"/>
    <w:uiPriority w:val="30"/>
    <w:qFormat/>
    <w:rsid w:val="00275B8B"/>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lang w:val="it-IT"/>
      <w14:ligatures w14:val="standardContextual"/>
    </w:rPr>
  </w:style>
  <w:style w:type="character" w:customStyle="1" w:styleId="CitazioneintensaCarattere">
    <w:name w:val="Citazione intensa Carattere"/>
    <w:basedOn w:val="Carpredefinitoparagrafo"/>
    <w:link w:val="Citazioneintensa"/>
    <w:uiPriority w:val="30"/>
    <w:rsid w:val="00275B8B"/>
    <w:rPr>
      <w:i/>
      <w:iCs/>
      <w:color w:val="2E74B5" w:themeColor="accent1" w:themeShade="BF"/>
    </w:rPr>
  </w:style>
  <w:style w:type="character" w:styleId="Enfasiintensa">
    <w:name w:val="Intense Emphasis"/>
    <w:basedOn w:val="Carpredefinitoparagrafo"/>
    <w:uiPriority w:val="21"/>
    <w:qFormat/>
    <w:rsid w:val="00275B8B"/>
    <w:rPr>
      <w:i/>
      <w:iCs/>
      <w:color w:val="2E74B5" w:themeColor="accent1" w:themeShade="BF"/>
    </w:rPr>
  </w:style>
  <w:style w:type="character" w:styleId="Riferimentointenso">
    <w:name w:val="Intense Reference"/>
    <w:basedOn w:val="Carpredefinitoparagrafo"/>
    <w:uiPriority w:val="32"/>
    <w:qFormat/>
    <w:rsid w:val="00275B8B"/>
    <w:rPr>
      <w:b/>
      <w:bCs/>
      <w:smallCaps/>
      <w:color w:val="2E74B5" w:themeColor="accent1" w:themeShade="BF"/>
      <w:spacing w:val="5"/>
    </w:rPr>
  </w:style>
  <w:style w:type="table" w:styleId="Grigliatabella">
    <w:name w:val="Table Grid"/>
    <w:basedOn w:val="Tabellanormale"/>
    <w:uiPriority w:val="39"/>
    <w:rsid w:val="00CF5E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1742</Words>
  <Characters>9933</Characters>
  <Application>Microsoft Office Word</Application>
  <DocSecurity>0</DocSecurity>
  <Lines>82</Lines>
  <Paragraphs>23</Paragraphs>
  <ScaleCrop>false</ScaleCrop>
  <Company/>
  <LinksUpToDate>false</LinksUpToDate>
  <CharactersWithSpaces>11652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Raffaella Rossetti</dc:creator>
  <cp:keywords/>
  <dc:description/>
  <cp:lastModifiedBy>Raffaella Rossetti</cp:lastModifiedBy>
  <cp:revision>7</cp:revision>
  <dcterms:created xsi:type="dcterms:W3CDTF">2025-04-30T10:20:00Z</dcterms:created>
  <dcterms:modified xsi:type="dcterms:W3CDTF">2025-07-07T13:34:00Z</dcterms:modified>
</cp:coreProperties>
</file>