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40FF0">
      <w:pPr>
        <w:spacing w:line="360" w:lineRule="auto"/>
        <w:rPr>
          <w:rFonts w:cs="Times New Roman"/>
          <w:szCs w:val="24"/>
        </w:rPr>
      </w:pPr>
      <w:r>
        <w:rPr>
          <w:rFonts w:hint="eastAsia" w:cs="Times New Roman"/>
          <w:b/>
          <w:bCs/>
          <w:sz w:val="32"/>
          <w:szCs w:val="32"/>
        </w:rPr>
        <w:t>The association between serum antinuclear antibodies and premature ovarian insufficiency: a meta-analysis</w:t>
      </w:r>
    </w:p>
    <w:p w14:paraId="45042C33">
      <w:pPr>
        <w:spacing w:line="480" w:lineRule="auto"/>
        <w:jc w:val="center"/>
        <w:rPr>
          <w:rFonts w:cs="Times New Roman"/>
          <w:szCs w:val="24"/>
        </w:rPr>
      </w:pPr>
      <w:r>
        <w:rPr>
          <w:rFonts w:hint="eastAsia" w:cs="Times New Roman"/>
          <w:szCs w:val="24"/>
        </w:rPr>
        <w:t>Tejunzhang Pi</w:t>
      </w:r>
      <w:r>
        <w:rPr>
          <w:rFonts w:cs="Times New Roman"/>
          <w:szCs w:val="24"/>
        </w:rPr>
        <w:t xml:space="preserve"> </w:t>
      </w:r>
      <w:r>
        <w:rPr>
          <w:rFonts w:cs="Times New Roman"/>
          <w:szCs w:val="24"/>
          <w:vertAlign w:val="superscript"/>
        </w:rPr>
        <w:t>1</w:t>
      </w:r>
      <w:r>
        <w:rPr>
          <w:rFonts w:cs="Times New Roman"/>
          <w:szCs w:val="24"/>
        </w:rPr>
        <w:t xml:space="preserve">, </w:t>
      </w:r>
      <w:r>
        <w:rPr>
          <w:rFonts w:hint="eastAsia" w:cs="Times New Roman"/>
          <w:szCs w:val="24"/>
        </w:rPr>
        <w:t>Zuxian Hu</w:t>
      </w:r>
      <w:r>
        <w:rPr>
          <w:rFonts w:cs="Times New Roman"/>
          <w:szCs w:val="24"/>
        </w:rPr>
        <w:t xml:space="preserve"> </w:t>
      </w:r>
      <w:r>
        <w:rPr>
          <w:rFonts w:hint="eastAsia" w:cs="Times New Roman"/>
          <w:szCs w:val="24"/>
          <w:vertAlign w:val="superscript"/>
        </w:rPr>
        <w:t>2</w:t>
      </w:r>
      <w:r>
        <w:rPr>
          <w:rFonts w:cs="Times New Roman"/>
          <w:szCs w:val="24"/>
        </w:rPr>
        <w:t xml:space="preserve">, </w:t>
      </w:r>
      <w:r>
        <w:rPr>
          <w:rFonts w:hint="eastAsia" w:cs="Times New Roman"/>
          <w:szCs w:val="24"/>
        </w:rPr>
        <w:t>Lei</w:t>
      </w:r>
      <w:r>
        <w:rPr>
          <w:rFonts w:cs="Times New Roman"/>
          <w:szCs w:val="24"/>
        </w:rPr>
        <w:t xml:space="preserve"> </w:t>
      </w:r>
      <w:r>
        <w:rPr>
          <w:rFonts w:hint="eastAsia" w:cs="Times New Roman"/>
          <w:szCs w:val="24"/>
        </w:rPr>
        <w:t>Luo</w:t>
      </w:r>
      <w:r>
        <w:rPr>
          <w:rFonts w:hint="eastAsia" w:cs="Times New Roman"/>
          <w:szCs w:val="24"/>
          <w:lang w:val="en-US" w:eastAsia="zh-CN"/>
        </w:rPr>
        <w:t xml:space="preserve"> </w:t>
      </w:r>
      <w:r>
        <w:rPr>
          <w:rFonts w:hint="eastAsia" w:cs="Times New Roman"/>
          <w:szCs w:val="24"/>
          <w:vertAlign w:val="superscript"/>
        </w:rPr>
        <w:t>3</w:t>
      </w:r>
      <w:r>
        <w:rPr>
          <w:rFonts w:cs="Times New Roman"/>
          <w:szCs w:val="24"/>
        </w:rPr>
        <w:t xml:space="preserve">, </w:t>
      </w:r>
      <w:r>
        <w:rPr>
          <w:rFonts w:hint="eastAsia" w:cs="Times New Roman"/>
          <w:szCs w:val="24"/>
        </w:rPr>
        <w:t>Zhengqi Liu</w:t>
      </w:r>
      <w:r>
        <w:rPr>
          <w:rFonts w:cs="Times New Roman"/>
          <w:szCs w:val="24"/>
        </w:rPr>
        <w:t xml:space="preserve"> </w:t>
      </w:r>
      <w:r>
        <w:rPr>
          <w:rFonts w:hint="eastAsia" w:cs="Times New Roman"/>
          <w:szCs w:val="24"/>
          <w:vertAlign w:val="superscript"/>
          <w:lang w:val="en-US" w:eastAsia="zh-CN"/>
        </w:rPr>
        <w:t>4</w:t>
      </w:r>
      <w:r>
        <w:rPr>
          <w:rFonts w:cs="Times New Roman"/>
          <w:szCs w:val="24"/>
        </w:rPr>
        <w:t>*</w:t>
      </w:r>
    </w:p>
    <w:p w14:paraId="4C207B57">
      <w:pPr>
        <w:autoSpaceDE w:val="0"/>
        <w:autoSpaceDN w:val="0"/>
        <w:adjustRightInd w:val="0"/>
        <w:spacing w:line="480" w:lineRule="auto"/>
        <w:ind w:right="482" w:rightChars="201"/>
        <w:rPr>
          <w:rFonts w:cs="Times New Roman"/>
          <w:szCs w:val="24"/>
        </w:rPr>
      </w:pPr>
      <w:r>
        <w:rPr>
          <w:rFonts w:cs="Times New Roman"/>
          <w:szCs w:val="24"/>
        </w:rPr>
        <w:t>1</w:t>
      </w:r>
      <w:r>
        <w:rPr>
          <w:rFonts w:hint="eastAsia" w:cs="Times New Roman"/>
          <w:szCs w:val="24"/>
          <w:lang w:val="en-US" w:eastAsia="zh-CN"/>
        </w:rPr>
        <w:t xml:space="preserve"> Department of Hematology, </w:t>
      </w:r>
      <w:r>
        <w:rPr>
          <w:rFonts w:cs="Times New Roman"/>
          <w:szCs w:val="24"/>
        </w:rPr>
        <w:t>Guihang</w:t>
      </w:r>
      <w:r>
        <w:rPr>
          <w:rFonts w:hint="eastAsia" w:cs="Times New Roman"/>
          <w:szCs w:val="24"/>
          <w:lang w:val="en-US" w:eastAsia="zh-CN"/>
        </w:rPr>
        <w:t xml:space="preserve"> </w:t>
      </w:r>
      <w:r>
        <w:rPr>
          <w:rFonts w:cs="Times New Roman"/>
          <w:szCs w:val="24"/>
        </w:rPr>
        <w:t>300 Hospital Affiliated to Zunyi Medical University</w:t>
      </w:r>
      <w:r>
        <w:rPr>
          <w:rFonts w:hint="eastAsia" w:eastAsia="宋体" w:cs="Times New Roman"/>
          <w:szCs w:val="24"/>
        </w:rPr>
        <w:t>,</w:t>
      </w:r>
      <w:r>
        <w:rPr>
          <w:rFonts w:hint="eastAsia" w:cs="Times New Roman"/>
          <w:szCs w:val="24"/>
        </w:rPr>
        <w:t>Guiyang</w:t>
      </w:r>
      <w:r>
        <w:rPr>
          <w:rFonts w:cs="Times New Roman"/>
          <w:szCs w:val="24"/>
        </w:rPr>
        <w:t xml:space="preserve"> </w:t>
      </w:r>
      <w:r>
        <w:rPr>
          <w:rFonts w:hint="eastAsia" w:cs="Times New Roman"/>
          <w:szCs w:val="24"/>
        </w:rPr>
        <w:t>550009</w:t>
      </w:r>
      <w:r>
        <w:rPr>
          <w:rFonts w:cs="Times New Roman"/>
          <w:szCs w:val="24"/>
        </w:rPr>
        <w:t xml:space="preserve">, </w:t>
      </w:r>
      <w:r>
        <w:rPr>
          <w:rFonts w:hint="eastAsia" w:cs="Times New Roman"/>
          <w:szCs w:val="24"/>
        </w:rPr>
        <w:t>Guizhou</w:t>
      </w:r>
      <w:r>
        <w:rPr>
          <w:rFonts w:cs="Times New Roman"/>
          <w:szCs w:val="24"/>
        </w:rPr>
        <w:t xml:space="preserve"> Province, China</w:t>
      </w:r>
    </w:p>
    <w:p w14:paraId="15289824">
      <w:pPr>
        <w:autoSpaceDE w:val="0"/>
        <w:autoSpaceDN w:val="0"/>
        <w:adjustRightInd w:val="0"/>
        <w:spacing w:line="480" w:lineRule="auto"/>
        <w:ind w:right="482" w:rightChars="201"/>
        <w:rPr>
          <w:rFonts w:cs="Times New Roman"/>
          <w:szCs w:val="24"/>
        </w:rPr>
      </w:pPr>
      <w:r>
        <w:rPr>
          <w:rFonts w:cs="Times New Roman"/>
          <w:szCs w:val="24"/>
        </w:rPr>
        <w:t xml:space="preserve">2 Department of </w:t>
      </w:r>
      <w:r>
        <w:rPr>
          <w:rFonts w:hint="eastAsia" w:cs="Times New Roman"/>
          <w:szCs w:val="24"/>
        </w:rPr>
        <w:t>Gynaecology</w:t>
      </w:r>
      <w:r>
        <w:rPr>
          <w:rFonts w:cs="Times New Roman"/>
          <w:szCs w:val="24"/>
        </w:rPr>
        <w:t xml:space="preserve">, </w:t>
      </w:r>
      <w:r>
        <w:rPr>
          <w:rFonts w:eastAsia="宋体" w:cs="Times New Roman"/>
          <w:szCs w:val="24"/>
        </w:rPr>
        <w:t>The Second Affiliated Hospital of Guizhou University of Traditional Chinese Medicine</w:t>
      </w:r>
      <w:r>
        <w:rPr>
          <w:rFonts w:cs="Times New Roman"/>
          <w:szCs w:val="24"/>
        </w:rPr>
        <w:t xml:space="preserve">, </w:t>
      </w:r>
      <w:r>
        <w:rPr>
          <w:rFonts w:hint="eastAsia" w:cs="Times New Roman"/>
          <w:szCs w:val="24"/>
        </w:rPr>
        <w:t>550003</w:t>
      </w:r>
      <w:r>
        <w:rPr>
          <w:rFonts w:cs="Times New Roman"/>
          <w:szCs w:val="24"/>
        </w:rPr>
        <w:t xml:space="preserve">, </w:t>
      </w:r>
      <w:r>
        <w:rPr>
          <w:rFonts w:hint="eastAsia" w:cs="Times New Roman"/>
          <w:szCs w:val="24"/>
        </w:rPr>
        <w:t>Guizhou</w:t>
      </w:r>
      <w:r>
        <w:rPr>
          <w:rFonts w:cs="Times New Roman"/>
          <w:szCs w:val="24"/>
        </w:rPr>
        <w:t xml:space="preserve"> Province, China</w:t>
      </w:r>
    </w:p>
    <w:p w14:paraId="51616742">
      <w:pPr>
        <w:autoSpaceDE w:val="0"/>
        <w:autoSpaceDN w:val="0"/>
        <w:adjustRightInd w:val="0"/>
        <w:spacing w:line="480" w:lineRule="auto"/>
        <w:ind w:right="482" w:rightChars="201"/>
        <w:rPr>
          <w:rFonts w:cs="Times New Roman"/>
          <w:szCs w:val="24"/>
        </w:rPr>
      </w:pPr>
      <w:r>
        <w:rPr>
          <w:rFonts w:hint="eastAsia" w:cs="Times New Roman"/>
          <w:szCs w:val="24"/>
        </w:rPr>
        <w:t>Z.X.H. has made the same contributions as T.J.Z.P.</w:t>
      </w:r>
    </w:p>
    <w:p w14:paraId="3FAB7583">
      <w:pPr>
        <w:autoSpaceDE w:val="0"/>
        <w:autoSpaceDN w:val="0"/>
        <w:adjustRightInd w:val="0"/>
        <w:spacing w:line="480" w:lineRule="auto"/>
        <w:ind w:right="482" w:rightChars="201"/>
        <w:rPr>
          <w:rFonts w:cs="Times New Roman"/>
          <w:szCs w:val="24"/>
        </w:rPr>
      </w:pPr>
      <w:r>
        <w:rPr>
          <w:rFonts w:hint="eastAsia" w:cs="Times New Roman"/>
          <w:szCs w:val="24"/>
        </w:rPr>
        <w:t xml:space="preserve">3 </w:t>
      </w:r>
      <w:r>
        <w:rPr>
          <w:rFonts w:eastAsia="宋体" w:cs="Times New Roman"/>
          <w:szCs w:val="24"/>
        </w:rPr>
        <w:t>Guizhou University of Traditional Chinese Medicine</w:t>
      </w:r>
      <w:r>
        <w:rPr>
          <w:rFonts w:hint="eastAsia" w:eastAsia="宋体" w:cs="Times New Roman"/>
          <w:szCs w:val="24"/>
        </w:rPr>
        <w:t>,</w:t>
      </w:r>
      <w:r>
        <w:rPr>
          <w:rFonts w:hint="eastAsia" w:cs="Times New Roman"/>
          <w:szCs w:val="24"/>
        </w:rPr>
        <w:t>Guiyang</w:t>
      </w:r>
      <w:r>
        <w:rPr>
          <w:rFonts w:cs="Times New Roman"/>
          <w:szCs w:val="24"/>
        </w:rPr>
        <w:t xml:space="preserve"> </w:t>
      </w:r>
      <w:r>
        <w:rPr>
          <w:rFonts w:hint="eastAsia" w:cs="Times New Roman"/>
          <w:szCs w:val="24"/>
        </w:rPr>
        <w:t>550003</w:t>
      </w:r>
      <w:r>
        <w:rPr>
          <w:rFonts w:cs="Times New Roman"/>
          <w:szCs w:val="24"/>
        </w:rPr>
        <w:t xml:space="preserve">, </w:t>
      </w:r>
      <w:r>
        <w:rPr>
          <w:rFonts w:hint="eastAsia" w:cs="Times New Roman"/>
          <w:szCs w:val="24"/>
        </w:rPr>
        <w:t>Guizhou</w:t>
      </w:r>
      <w:r>
        <w:rPr>
          <w:rFonts w:cs="Times New Roman"/>
          <w:szCs w:val="24"/>
        </w:rPr>
        <w:t xml:space="preserve"> Province, China</w:t>
      </w:r>
    </w:p>
    <w:p w14:paraId="070B98DF">
      <w:pPr>
        <w:autoSpaceDE w:val="0"/>
        <w:autoSpaceDN w:val="0"/>
        <w:adjustRightInd w:val="0"/>
        <w:spacing w:line="480" w:lineRule="auto"/>
        <w:ind w:right="482" w:rightChars="201"/>
        <w:rPr>
          <w:rFonts w:cs="Times New Roman"/>
          <w:szCs w:val="24"/>
        </w:rPr>
      </w:pPr>
      <w:r>
        <w:rPr>
          <w:rFonts w:hint="eastAsia" w:cs="Times New Roman"/>
          <w:szCs w:val="24"/>
          <w:lang w:val="en-US" w:eastAsia="zh-CN"/>
        </w:rPr>
        <w:t xml:space="preserve">4 </w:t>
      </w:r>
      <w:r>
        <w:rPr>
          <w:rFonts w:hint="eastAsia" w:cs="Times New Roman"/>
          <w:szCs w:val="24"/>
        </w:rPr>
        <w:t>Department of Rheumatology and Immunology</w:t>
      </w:r>
      <w:r>
        <w:rPr>
          <w:rFonts w:hint="eastAsia" w:cs="Times New Roman"/>
          <w:szCs w:val="24"/>
          <w:lang w:val="en-US" w:eastAsia="zh-CN"/>
        </w:rPr>
        <w:t xml:space="preserve">, </w:t>
      </w:r>
      <w:r>
        <w:rPr>
          <w:rFonts w:eastAsia="宋体" w:cs="Times New Roman"/>
          <w:szCs w:val="24"/>
        </w:rPr>
        <w:t>The Second Affiliated Hospital of Guizhou University of Traditional Chinese Medicine</w:t>
      </w:r>
      <w:r>
        <w:rPr>
          <w:rFonts w:cs="Times New Roman"/>
          <w:szCs w:val="24"/>
        </w:rPr>
        <w:t xml:space="preserve">, </w:t>
      </w:r>
      <w:r>
        <w:rPr>
          <w:rFonts w:hint="eastAsia" w:cs="Times New Roman"/>
          <w:szCs w:val="24"/>
        </w:rPr>
        <w:t>550003</w:t>
      </w:r>
      <w:r>
        <w:rPr>
          <w:rFonts w:cs="Times New Roman"/>
          <w:szCs w:val="24"/>
        </w:rPr>
        <w:t xml:space="preserve">, </w:t>
      </w:r>
      <w:r>
        <w:rPr>
          <w:rFonts w:hint="eastAsia" w:cs="Times New Roman"/>
          <w:szCs w:val="24"/>
        </w:rPr>
        <w:t>Guizhou</w:t>
      </w:r>
      <w:r>
        <w:rPr>
          <w:rFonts w:cs="Times New Roman"/>
          <w:szCs w:val="24"/>
        </w:rPr>
        <w:t xml:space="preserve"> Province, China</w:t>
      </w:r>
    </w:p>
    <w:p w14:paraId="092D8114">
      <w:pPr>
        <w:autoSpaceDE w:val="0"/>
        <w:autoSpaceDN w:val="0"/>
        <w:adjustRightInd w:val="0"/>
        <w:spacing w:line="480" w:lineRule="auto"/>
        <w:ind w:right="482" w:rightChars="201"/>
        <w:rPr>
          <w:rFonts w:hint="default" w:cs="Times New Roman" w:eastAsiaTheme="minorEastAsia"/>
          <w:szCs w:val="24"/>
          <w:lang w:val="en-US" w:eastAsia="zh-CN"/>
        </w:rPr>
      </w:pPr>
    </w:p>
    <w:p w14:paraId="20C32213">
      <w:pPr>
        <w:spacing w:line="480" w:lineRule="auto"/>
        <w:rPr>
          <w:rFonts w:cs="Times New Roman"/>
          <w:szCs w:val="24"/>
        </w:rPr>
      </w:pPr>
      <w:r>
        <w:rPr>
          <w:rFonts w:eastAsia="宋体" w:cs="Times New Roman"/>
          <w:szCs w:val="24"/>
          <w:vertAlign w:val="superscript"/>
        </w:rPr>
        <w:t>*</w:t>
      </w:r>
      <w:r>
        <w:rPr>
          <w:rFonts w:cs="Times New Roman"/>
          <w:szCs w:val="24"/>
        </w:rPr>
        <w:t>Corresponding author:</w:t>
      </w:r>
    </w:p>
    <w:p w14:paraId="78FEF73C">
      <w:pPr>
        <w:autoSpaceDE w:val="0"/>
        <w:autoSpaceDN w:val="0"/>
        <w:adjustRightInd w:val="0"/>
        <w:spacing w:line="480" w:lineRule="auto"/>
        <w:ind w:right="482" w:rightChars="201"/>
        <w:rPr>
          <w:rFonts w:eastAsia="宋体" w:cs="Times New Roman"/>
          <w:szCs w:val="24"/>
        </w:rPr>
      </w:pPr>
      <w:r>
        <w:rPr>
          <w:rFonts w:hint="eastAsia" w:cs="Times New Roman"/>
          <w:szCs w:val="24"/>
        </w:rPr>
        <w:t>Zhengqi Liu</w:t>
      </w:r>
    </w:p>
    <w:p w14:paraId="685FABCF">
      <w:pPr>
        <w:autoSpaceDE w:val="0"/>
        <w:autoSpaceDN w:val="0"/>
        <w:adjustRightInd w:val="0"/>
        <w:spacing w:line="480" w:lineRule="auto"/>
        <w:ind w:right="482" w:rightChars="201"/>
        <w:rPr>
          <w:rFonts w:eastAsia="宋体" w:cs="Times New Roman"/>
          <w:szCs w:val="24"/>
        </w:rPr>
      </w:pPr>
      <w:r>
        <w:rPr>
          <w:rFonts w:hint="eastAsia" w:cs="Times New Roman"/>
          <w:szCs w:val="24"/>
        </w:rPr>
        <w:t>Department of Rheumatology and Immunology</w:t>
      </w:r>
      <w:r>
        <w:rPr>
          <w:rFonts w:hint="eastAsia" w:cs="Times New Roman"/>
          <w:szCs w:val="24"/>
          <w:lang w:val="en-US" w:eastAsia="zh-CN"/>
        </w:rPr>
        <w:t xml:space="preserve">, </w:t>
      </w:r>
      <w:r>
        <w:rPr>
          <w:rFonts w:eastAsia="宋体" w:cs="Times New Roman"/>
          <w:szCs w:val="24"/>
        </w:rPr>
        <w:t>The Second Affiliated Hospital of Guizhou University of Traditional Chinese Medicine</w:t>
      </w:r>
      <w:r>
        <w:rPr>
          <w:rFonts w:cs="Times New Roman"/>
          <w:szCs w:val="24"/>
        </w:rPr>
        <w:t>,</w:t>
      </w:r>
      <w:r>
        <w:rPr>
          <w:rFonts w:eastAsia="宋体" w:cs="Times New Roman"/>
          <w:szCs w:val="24"/>
        </w:rPr>
        <w:t xml:space="preserve"> No.</w:t>
      </w:r>
      <w:r>
        <w:rPr>
          <w:rFonts w:hint="eastAsia" w:eastAsia="宋体" w:cs="Times New Roman"/>
          <w:szCs w:val="24"/>
        </w:rPr>
        <w:t>83</w:t>
      </w:r>
      <w:r>
        <w:rPr>
          <w:rFonts w:eastAsia="宋体" w:cs="Times New Roman"/>
          <w:szCs w:val="24"/>
        </w:rPr>
        <w:t xml:space="preserve">, </w:t>
      </w:r>
      <w:r>
        <w:rPr>
          <w:rFonts w:hint="eastAsia" w:eastAsia="宋体" w:cs="Times New Roman"/>
          <w:szCs w:val="24"/>
        </w:rPr>
        <w:t>Feishan</w:t>
      </w:r>
      <w:r>
        <w:rPr>
          <w:rFonts w:eastAsia="宋体" w:cs="Times New Roman"/>
          <w:szCs w:val="24"/>
        </w:rPr>
        <w:t xml:space="preserve"> Road</w:t>
      </w:r>
      <w:r>
        <w:rPr>
          <w:rFonts w:hint="eastAsia" w:eastAsia="宋体" w:cs="Times New Roman"/>
          <w:szCs w:val="24"/>
          <w:lang w:val="en-US" w:eastAsia="zh-CN"/>
        </w:rPr>
        <w:t xml:space="preserve">, </w:t>
      </w:r>
      <w:r>
        <w:rPr>
          <w:rFonts w:hint="eastAsia" w:cs="Times New Roman"/>
          <w:szCs w:val="24"/>
        </w:rPr>
        <w:t>550003</w:t>
      </w:r>
      <w:r>
        <w:rPr>
          <w:rFonts w:hint="eastAsia" w:eastAsia="宋体" w:cs="Times New Roman"/>
          <w:szCs w:val="24"/>
        </w:rPr>
        <w:t>,</w:t>
      </w:r>
      <w:r>
        <w:rPr>
          <w:rFonts w:eastAsia="宋体" w:cs="Times New Roman"/>
          <w:szCs w:val="24"/>
        </w:rPr>
        <w:t xml:space="preserve"> </w:t>
      </w:r>
      <w:r>
        <w:rPr>
          <w:rFonts w:hint="eastAsia" w:cs="Times New Roman"/>
          <w:szCs w:val="24"/>
        </w:rPr>
        <w:t>Guiyang</w:t>
      </w:r>
      <w:r>
        <w:rPr>
          <w:rFonts w:cs="Times New Roman"/>
          <w:szCs w:val="24"/>
        </w:rPr>
        <w:t xml:space="preserve"> , </w:t>
      </w:r>
      <w:r>
        <w:rPr>
          <w:rFonts w:hint="eastAsia" w:cs="Times New Roman"/>
          <w:szCs w:val="24"/>
        </w:rPr>
        <w:t>Guizhou</w:t>
      </w:r>
      <w:r>
        <w:rPr>
          <w:rFonts w:cs="Times New Roman"/>
          <w:szCs w:val="24"/>
        </w:rPr>
        <w:t xml:space="preserve"> Province,</w:t>
      </w:r>
      <w:bookmarkStart w:id="0" w:name="_GoBack"/>
      <w:bookmarkEnd w:id="0"/>
      <w:r>
        <w:rPr>
          <w:rFonts w:eastAsia="宋体" w:cs="Times New Roman"/>
          <w:szCs w:val="24"/>
        </w:rPr>
        <w:t xml:space="preserve"> CHINA</w:t>
      </w:r>
    </w:p>
    <w:p w14:paraId="394F1D82">
      <w:pPr>
        <w:spacing w:line="360" w:lineRule="auto"/>
        <w:rPr>
          <w:rFonts w:eastAsia="宋体" w:cs="Times New Roman"/>
          <w:kern w:val="0"/>
          <w:szCs w:val="24"/>
        </w:rPr>
      </w:pPr>
      <w:r>
        <w:rPr>
          <w:rFonts w:eastAsia="宋体" w:cs="Times New Roman"/>
          <w:szCs w:val="24"/>
          <w:lang w:val="fr-FR"/>
        </w:rPr>
        <w:t xml:space="preserve">E-mail: </w:t>
      </w:r>
      <w:r>
        <w:rPr>
          <w:rFonts w:hint="eastAsia" w:eastAsia="宋体" w:cs="Times New Roman"/>
          <w:szCs w:val="24"/>
          <w:lang w:val="fr-FR"/>
        </w:rPr>
        <w:t>liuzhengqi130@gzy.edu.cn</w:t>
      </w:r>
      <w:r>
        <w:rPr>
          <w:rFonts w:eastAsia="宋体" w:cs="Times New Roman"/>
          <w:szCs w:val="24"/>
        </w:rPr>
        <w:t xml:space="preserve"> </w:t>
      </w:r>
    </w:p>
    <w:p w14:paraId="2B2BE0FD">
      <w:pPr>
        <w:spacing w:line="360" w:lineRule="auto"/>
        <w:rPr>
          <w:rFonts w:eastAsia="宋体" w:cs="Times New Roman"/>
          <w:szCs w:val="24"/>
        </w:rPr>
      </w:pPr>
      <w:r>
        <w:rPr>
          <w:rFonts w:eastAsia="宋体" w:cs="Times New Roman"/>
          <w:szCs w:val="24"/>
        </w:rPr>
        <w:t xml:space="preserve">   </w:t>
      </w:r>
    </w:p>
    <w:p w14:paraId="4D631ECE">
      <w:pPr>
        <w:spacing w:line="360" w:lineRule="auto"/>
        <w:rPr>
          <w:rFonts w:eastAsia="宋体" w:cs="Times New Roman"/>
          <w:szCs w:val="24"/>
        </w:rPr>
      </w:pPr>
      <w:r>
        <w:rPr>
          <w:rFonts w:eastAsia="宋体" w:cs="Times New Roman"/>
          <w:b/>
          <w:bCs/>
          <w:szCs w:val="24"/>
        </w:rPr>
        <w:t xml:space="preserve">Running Title: </w:t>
      </w:r>
      <w:r>
        <w:rPr>
          <w:rFonts w:hint="eastAsia" w:eastAsia="宋体" w:cs="Times New Roman"/>
          <w:szCs w:val="24"/>
        </w:rPr>
        <w:t>ANA</w:t>
      </w:r>
      <w:r>
        <w:rPr>
          <w:rFonts w:eastAsia="宋体" w:cs="Times New Roman"/>
          <w:szCs w:val="24"/>
        </w:rPr>
        <w:t xml:space="preserve"> involvements in </w:t>
      </w:r>
      <w:r>
        <w:rPr>
          <w:rFonts w:hint="eastAsia" w:eastAsia="宋体" w:cs="Times New Roman"/>
          <w:szCs w:val="24"/>
        </w:rPr>
        <w:t>POI</w:t>
      </w:r>
      <w:r>
        <w:rPr>
          <w:rFonts w:eastAsia="宋体" w:cs="Times New Roman"/>
          <w:szCs w:val="24"/>
        </w:rPr>
        <w:t>.</w:t>
      </w:r>
    </w:p>
    <w:p w14:paraId="6EA196F4">
      <w:pPr>
        <w:spacing w:line="360" w:lineRule="auto"/>
        <w:rPr>
          <w:rFonts w:eastAsia="宋体" w:cs="Times New Roman"/>
          <w:szCs w:val="24"/>
        </w:rPr>
      </w:pPr>
    </w:p>
    <w:p w14:paraId="482911D7">
      <w:pPr>
        <w:spacing w:line="480" w:lineRule="auto"/>
        <w:rPr>
          <w:rFonts w:cs="Times New Roman"/>
          <w:b/>
          <w:bCs/>
          <w:szCs w:val="24"/>
        </w:rPr>
      </w:pPr>
      <w:r>
        <w:rPr>
          <w:rFonts w:cs="Times New Roman"/>
          <w:b/>
          <w:bCs/>
          <w:szCs w:val="24"/>
        </w:rPr>
        <w:t>Contributors:</w:t>
      </w:r>
    </w:p>
    <w:p w14:paraId="6A9E410A">
      <w:pPr>
        <w:spacing w:line="480" w:lineRule="auto"/>
        <w:rPr>
          <w:rFonts w:cs="Times New Roman"/>
          <w:szCs w:val="24"/>
        </w:rPr>
      </w:pPr>
      <w:r>
        <w:rPr>
          <w:rFonts w:hint="eastAsia" w:cs="Times New Roman"/>
          <w:szCs w:val="24"/>
        </w:rPr>
        <w:t xml:space="preserve">T.J.Z.P., Z.X.H. </w:t>
      </w:r>
      <w:r>
        <w:rPr>
          <w:rFonts w:cs="Times New Roman"/>
          <w:szCs w:val="24"/>
        </w:rPr>
        <w:t xml:space="preserve">and </w:t>
      </w:r>
      <w:r>
        <w:rPr>
          <w:rFonts w:hint="eastAsia" w:cs="Times New Roman"/>
          <w:szCs w:val="24"/>
        </w:rPr>
        <w:t>Z.Q.L</w:t>
      </w:r>
      <w:r>
        <w:rPr>
          <w:rFonts w:cs="Times New Roman"/>
          <w:szCs w:val="24"/>
        </w:rPr>
        <w:t xml:space="preserve">. designed the study and </w:t>
      </w:r>
      <w:r>
        <w:rPr>
          <w:rFonts w:hint="eastAsia" w:cs="Times New Roman"/>
          <w:szCs w:val="24"/>
        </w:rPr>
        <w:t>Z.Q.L</w:t>
      </w:r>
      <w:r>
        <w:rPr>
          <w:rFonts w:cs="Times New Roman"/>
          <w:szCs w:val="24"/>
        </w:rPr>
        <w:t>.</w:t>
      </w:r>
      <w:r>
        <w:rPr>
          <w:rFonts w:hint="eastAsia" w:cs="Times New Roman"/>
          <w:szCs w:val="24"/>
        </w:rPr>
        <w:t xml:space="preserve"> </w:t>
      </w:r>
      <w:r>
        <w:rPr>
          <w:rFonts w:cs="Times New Roman"/>
          <w:szCs w:val="24"/>
        </w:rPr>
        <w:t xml:space="preserve">supervised the overall project. </w:t>
      </w:r>
      <w:r>
        <w:rPr>
          <w:rFonts w:hint="eastAsia" w:cs="Times New Roman"/>
          <w:szCs w:val="24"/>
        </w:rPr>
        <w:t xml:space="preserve">T.J.Z.P. and Z.X.H. </w:t>
      </w:r>
      <w:r>
        <w:rPr>
          <w:rFonts w:cs="Times New Roman"/>
          <w:szCs w:val="24"/>
        </w:rPr>
        <w:t>completed literature retrieval and data extraction respectively</w:t>
      </w:r>
      <w:r>
        <w:rPr>
          <w:rFonts w:hint="eastAsia" w:cs="Times New Roman"/>
          <w:szCs w:val="24"/>
        </w:rPr>
        <w:t>;</w:t>
      </w:r>
      <w:r>
        <w:rPr>
          <w:rFonts w:cs="Times New Roman"/>
          <w:szCs w:val="24"/>
        </w:rPr>
        <w:t xml:space="preserve"> all authors </w:t>
      </w:r>
      <w:r>
        <w:rPr>
          <w:rFonts w:hint="eastAsia" w:cs="Times New Roman"/>
          <w:szCs w:val="24"/>
        </w:rPr>
        <w:t>v</w:t>
      </w:r>
      <w:r>
        <w:rPr>
          <w:rFonts w:cs="Times New Roman"/>
          <w:szCs w:val="24"/>
        </w:rPr>
        <w:t>erif</w:t>
      </w:r>
      <w:r>
        <w:rPr>
          <w:rFonts w:hint="eastAsia" w:cs="Times New Roman"/>
          <w:szCs w:val="24"/>
        </w:rPr>
        <w:t>ied</w:t>
      </w:r>
      <w:r>
        <w:rPr>
          <w:rFonts w:cs="Times New Roman"/>
          <w:szCs w:val="24"/>
        </w:rPr>
        <w:t xml:space="preserve"> and check</w:t>
      </w:r>
      <w:r>
        <w:rPr>
          <w:rFonts w:hint="eastAsia" w:cs="Times New Roman"/>
          <w:szCs w:val="24"/>
        </w:rPr>
        <w:t>ed</w:t>
      </w:r>
      <w:r>
        <w:rPr>
          <w:rFonts w:cs="Times New Roman"/>
          <w:szCs w:val="24"/>
        </w:rPr>
        <w:t xml:space="preserve"> data</w:t>
      </w:r>
      <w:r>
        <w:rPr>
          <w:rFonts w:hint="eastAsia" w:cs="Times New Roman"/>
          <w:szCs w:val="24"/>
        </w:rPr>
        <w:t>;</w:t>
      </w:r>
      <w:r>
        <w:rPr>
          <w:rFonts w:cs="Times New Roman"/>
          <w:szCs w:val="24"/>
        </w:rPr>
        <w:t xml:space="preserve"> </w:t>
      </w:r>
      <w:r>
        <w:rPr>
          <w:rFonts w:hint="eastAsia" w:cs="Times New Roman"/>
          <w:szCs w:val="24"/>
        </w:rPr>
        <w:t>T.J.Z.P. and Z.X.H.</w:t>
      </w:r>
      <w:r>
        <w:rPr>
          <w:rFonts w:cs="Times New Roman"/>
          <w:szCs w:val="24"/>
        </w:rPr>
        <w:t xml:space="preserve"> provided the statistical analysis and wrote the manuscript.</w:t>
      </w:r>
      <w:r>
        <w:rPr>
          <w:rFonts w:hint="eastAsia" w:cs="Times New Roman"/>
          <w:szCs w:val="24"/>
        </w:rPr>
        <w:t xml:space="preserve"> L.L.</w:t>
      </w:r>
      <w:r>
        <w:rPr>
          <w:rFonts w:cs="Times New Roman"/>
          <w:szCs w:val="24"/>
        </w:rPr>
        <w:t xml:space="preserve"> participated in data curation</w:t>
      </w:r>
      <w:r>
        <w:rPr>
          <w:rFonts w:hint="eastAsia" w:cs="Times New Roman"/>
          <w:szCs w:val="24"/>
        </w:rPr>
        <w:t xml:space="preserve"> and</w:t>
      </w:r>
      <w:r>
        <w:rPr>
          <w:rFonts w:cs="Times New Roman"/>
          <w:szCs w:val="24"/>
        </w:rPr>
        <w:t xml:space="preserve"> manuscript</w:t>
      </w:r>
      <w:r>
        <w:rPr>
          <w:rFonts w:hint="eastAsia" w:cs="Times New Roman"/>
          <w:szCs w:val="24"/>
        </w:rPr>
        <w:t xml:space="preserve"> </w:t>
      </w:r>
      <w:r>
        <w:rPr>
          <w:rFonts w:cs="Times New Roman"/>
          <w:szCs w:val="24"/>
        </w:rPr>
        <w:t>Writing</w:t>
      </w:r>
      <w:r>
        <w:rPr>
          <w:rFonts w:hint="eastAsia" w:cs="Times New Roman"/>
          <w:szCs w:val="24"/>
        </w:rPr>
        <w:t>.</w:t>
      </w:r>
    </w:p>
    <w:p w14:paraId="543217F7">
      <w:pPr>
        <w:spacing w:line="360" w:lineRule="auto"/>
        <w:rPr>
          <w:rFonts w:cs="Times New Roman"/>
          <w:szCs w:val="24"/>
        </w:rPr>
      </w:pPr>
    </w:p>
    <w:p w14:paraId="20CE37D3">
      <w:pPr>
        <w:spacing w:line="360" w:lineRule="auto"/>
        <w:rPr>
          <w:rFonts w:cs="Times New Roman"/>
          <w:b/>
          <w:bCs/>
          <w:szCs w:val="24"/>
        </w:rPr>
      </w:pPr>
      <w:r>
        <w:rPr>
          <w:rFonts w:cs="Times New Roman"/>
          <w:b/>
          <w:bCs/>
          <w:szCs w:val="24"/>
        </w:rPr>
        <w:t>Conflict of interest</w:t>
      </w:r>
    </w:p>
    <w:p w14:paraId="22404C02">
      <w:pPr>
        <w:spacing w:line="360" w:lineRule="auto"/>
        <w:rPr>
          <w:rFonts w:cs="Times New Roman"/>
          <w:szCs w:val="24"/>
        </w:rPr>
      </w:pPr>
      <w:r>
        <w:rPr>
          <w:rFonts w:cs="Times New Roman"/>
          <w:szCs w:val="24"/>
        </w:rPr>
        <w:t>The authors declare that they have no conflict of interest.</w:t>
      </w:r>
    </w:p>
    <w:p w14:paraId="17B09E9A">
      <w:pPr>
        <w:spacing w:line="360" w:lineRule="auto"/>
        <w:rPr>
          <w:rFonts w:cs="Times New Roman"/>
          <w:szCs w:val="24"/>
        </w:rPr>
      </w:pPr>
    </w:p>
    <w:p w14:paraId="6DC1446C">
      <w:pPr>
        <w:spacing w:line="360" w:lineRule="auto"/>
        <w:rPr>
          <w:rFonts w:cs="Times New Roman"/>
          <w:szCs w:val="24"/>
        </w:rPr>
      </w:pPr>
      <w:r>
        <w:rPr>
          <w:rFonts w:cs="Times New Roman"/>
          <w:b/>
          <w:bCs/>
          <w:szCs w:val="24"/>
        </w:rPr>
        <w:t>Ethical standards</w:t>
      </w:r>
    </w:p>
    <w:p w14:paraId="2A6AD234">
      <w:pPr>
        <w:spacing w:line="360" w:lineRule="auto"/>
        <w:rPr>
          <w:rFonts w:cs="Times New Roman"/>
          <w:szCs w:val="24"/>
        </w:rPr>
      </w:pPr>
      <w:r>
        <w:rPr>
          <w:rFonts w:cs="Times New Roman"/>
          <w:szCs w:val="24"/>
        </w:rPr>
        <w:t>This is a systematic review and meta-analysis, ethics approval and consent to participate are not applicable.</w:t>
      </w:r>
    </w:p>
    <w:p w14:paraId="5F0EEF2D">
      <w:pPr>
        <w:spacing w:line="360" w:lineRule="auto"/>
        <w:rPr>
          <w:rFonts w:cs="Times New Roman"/>
          <w:szCs w:val="24"/>
        </w:rPr>
      </w:pPr>
    </w:p>
    <w:p w14:paraId="5AFA8CD4">
      <w:pPr>
        <w:spacing w:line="360" w:lineRule="auto"/>
        <w:rPr>
          <w:rFonts w:cs="Times New Roman"/>
          <w:b/>
          <w:bCs/>
          <w:szCs w:val="24"/>
        </w:rPr>
      </w:pPr>
      <w:r>
        <w:rPr>
          <w:rFonts w:cs="Times New Roman"/>
          <w:b/>
          <w:bCs/>
          <w:szCs w:val="24"/>
        </w:rPr>
        <w:t>Consent for publication</w:t>
      </w:r>
    </w:p>
    <w:p w14:paraId="58F9880A">
      <w:pPr>
        <w:spacing w:line="360" w:lineRule="auto"/>
        <w:rPr>
          <w:rFonts w:cs="Times New Roman"/>
          <w:szCs w:val="24"/>
        </w:rPr>
      </w:pPr>
      <w:r>
        <w:rPr>
          <w:rFonts w:cs="Times New Roman"/>
          <w:szCs w:val="24"/>
        </w:rPr>
        <w:t>Not applicable. This study does not involve human participants.</w:t>
      </w:r>
    </w:p>
    <w:p w14:paraId="77E4DE77">
      <w:pPr>
        <w:spacing w:line="360" w:lineRule="auto"/>
        <w:rPr>
          <w:rFonts w:cs="Times New Roman"/>
          <w:szCs w:val="24"/>
        </w:rPr>
      </w:pPr>
      <w:r>
        <w:rPr>
          <w:rFonts w:cs="Times New Roman"/>
          <w:szCs w:val="24"/>
        </w:rPr>
        <w:t>Informed consent to publish was obtained from the study participants.</w:t>
      </w:r>
    </w:p>
    <w:p w14:paraId="22377E95">
      <w:pPr>
        <w:pStyle w:val="10"/>
        <w:spacing w:line="360" w:lineRule="auto"/>
        <w:jc w:val="both"/>
        <w:rPr>
          <w:rFonts w:cs="Times New Roman"/>
          <w:sz w:val="24"/>
          <w:szCs w:val="24"/>
        </w:rPr>
      </w:pPr>
      <w:r>
        <w:rPr>
          <w:rFonts w:cs="Times New Roman"/>
          <w:sz w:val="24"/>
          <w:szCs w:val="24"/>
        </w:rPr>
        <w:t>Not applicable.</w:t>
      </w:r>
      <w:r>
        <w:rPr>
          <w:rFonts w:cs="Times New Roman"/>
          <w:color w:val="333333"/>
          <w:sz w:val="24"/>
          <w:szCs w:val="24"/>
          <w:shd w:val="clear" w:color="auto" w:fill="FFFFFF"/>
        </w:rPr>
        <w:t xml:space="preserve"> The manuscript does not include the participant's identification image or other personal or clinical details</w:t>
      </w:r>
      <w:r>
        <w:rPr>
          <w:rFonts w:hint="eastAsia" w:cs="Times New Roman"/>
          <w:color w:val="333333"/>
          <w:sz w:val="24"/>
          <w:szCs w:val="24"/>
          <w:shd w:val="clear" w:color="auto" w:fill="FFFFFF"/>
        </w:rPr>
        <w:t>.</w:t>
      </w:r>
    </w:p>
    <w:p w14:paraId="45FFDDA4">
      <w:pPr>
        <w:spacing w:line="360" w:lineRule="auto"/>
        <w:rPr>
          <w:rFonts w:cs="Times New Roman"/>
          <w:szCs w:val="24"/>
        </w:rPr>
      </w:pPr>
    </w:p>
    <w:p w14:paraId="03E6A94F">
      <w:pPr>
        <w:spacing w:line="360" w:lineRule="auto"/>
        <w:rPr>
          <w:rFonts w:cs="Times New Roman"/>
          <w:szCs w:val="24"/>
        </w:rPr>
      </w:pPr>
      <w:r>
        <w:rPr>
          <w:rFonts w:cs="Times New Roman"/>
          <w:b/>
          <w:bCs/>
          <w:szCs w:val="24"/>
        </w:rPr>
        <w:t>Availability of data and materials</w:t>
      </w:r>
    </w:p>
    <w:p w14:paraId="42F9EF2D">
      <w:pPr>
        <w:spacing w:line="360" w:lineRule="auto"/>
        <w:rPr>
          <w:rFonts w:cs="Times New Roman"/>
          <w:szCs w:val="24"/>
        </w:rPr>
      </w:pPr>
      <w:r>
        <w:rPr>
          <w:rFonts w:hint="eastAsia" w:cs="Times New Roman"/>
          <w:szCs w:val="24"/>
        </w:rPr>
        <w:t>The data of this study can be obtained from the corresponding author according to reasonable requirements.</w:t>
      </w:r>
    </w:p>
    <w:p w14:paraId="347B1C98">
      <w:pPr>
        <w:spacing w:line="360" w:lineRule="auto"/>
        <w:rPr>
          <w:rFonts w:cs="Times New Roman"/>
          <w:szCs w:val="24"/>
        </w:rPr>
      </w:pPr>
    </w:p>
    <w:p w14:paraId="09596306">
      <w:pPr>
        <w:spacing w:line="360" w:lineRule="auto"/>
        <w:rPr>
          <w:rFonts w:cs="Times New Roman"/>
          <w:b/>
          <w:bCs/>
          <w:szCs w:val="24"/>
        </w:rPr>
      </w:pPr>
      <w:r>
        <w:rPr>
          <w:rFonts w:cs="Times New Roman"/>
          <w:b/>
          <w:bCs/>
          <w:szCs w:val="24"/>
        </w:rPr>
        <w:t xml:space="preserve">Funding </w:t>
      </w:r>
    </w:p>
    <w:p w14:paraId="45389035">
      <w:pPr>
        <w:spacing w:line="360" w:lineRule="auto"/>
        <w:rPr>
          <w:rFonts w:cs="Times New Roman"/>
          <w:szCs w:val="24"/>
        </w:rPr>
      </w:pPr>
      <w:r>
        <w:rPr>
          <w:rFonts w:hint="eastAsia" w:cs="Times New Roman"/>
          <w:szCs w:val="24"/>
        </w:rPr>
        <w:t>The research of our article was funded by</w:t>
      </w:r>
      <w:r>
        <w:rPr>
          <w:rFonts w:cs="Times New Roman"/>
          <w:szCs w:val="24"/>
        </w:rPr>
        <w:t xml:space="preserve"> </w:t>
      </w:r>
      <w:r>
        <w:rPr>
          <w:rFonts w:hint="eastAsia" w:cs="Times New Roman"/>
          <w:szCs w:val="24"/>
        </w:rPr>
        <w:t>Guizhou Science and Technology Cooperation Platform Talents Program No. [2020]2202</w:t>
      </w:r>
    </w:p>
    <w:p w14:paraId="26010F7B">
      <w:pPr>
        <w:widowControl/>
        <w:jc w:val="left"/>
        <w:rPr>
          <w:rFonts w:cs="Times New Roman"/>
          <w:szCs w:val="24"/>
        </w:rPr>
      </w:pPr>
      <w:r>
        <w:rPr>
          <w:rFonts w:cs="Times New Roman"/>
          <w:szCs w:val="24"/>
        </w:rPr>
        <w:br w:type="page"/>
      </w:r>
    </w:p>
    <w:p w14:paraId="11BBAD70">
      <w:pPr>
        <w:spacing w:line="360" w:lineRule="auto"/>
        <w:rPr>
          <w:rFonts w:cs="Times New Roman"/>
          <w:b/>
          <w:bCs/>
          <w:szCs w:val="24"/>
        </w:rPr>
      </w:pPr>
      <w:r>
        <w:rPr>
          <w:rFonts w:cs="Times New Roman"/>
          <w:b/>
          <w:bCs/>
          <w:szCs w:val="24"/>
        </w:rPr>
        <w:t>ABSTRACT</w:t>
      </w:r>
    </w:p>
    <w:p w14:paraId="66F0F3A3">
      <w:pPr>
        <w:spacing w:line="360" w:lineRule="auto"/>
        <w:rPr>
          <w:rFonts w:cs="Times New Roman"/>
          <w:szCs w:val="24"/>
        </w:rPr>
      </w:pPr>
      <w:r>
        <w:rPr>
          <w:rFonts w:hint="eastAsia" w:cs="Times New Roman"/>
          <w:b/>
          <w:bCs/>
          <w:szCs w:val="24"/>
        </w:rPr>
        <w:t>Background</w:t>
      </w:r>
      <w:r>
        <w:rPr>
          <w:rFonts w:cs="Times New Roman"/>
          <w:szCs w:val="24"/>
        </w:rPr>
        <w:t>:</w:t>
      </w:r>
      <w:r>
        <w:t xml:space="preserve"> </w:t>
      </w:r>
      <w:r>
        <w:rPr>
          <w:rFonts w:cs="Times New Roman"/>
          <w:color w:val="FF0000"/>
          <w:szCs w:val="24"/>
        </w:rPr>
        <w:t>Autoimmune dysfunction is a recognized contributor to primary ovarian insufficiency (POI), and antinuclear antibodies (ANA) are widely used to assess autoimmune activity. Although many studies have examined the association between ANA and POI, their findings remain inconsistent. This meta-analysis aims to clarify the correlation between ANA positivity and POI and to evaluate the potential of ANA as a serological marker of autoimmune involvement in POI.</w:t>
      </w:r>
    </w:p>
    <w:p w14:paraId="08AD27BB">
      <w:pPr>
        <w:spacing w:before="156" w:beforeLines="50" w:after="156" w:afterLines="50" w:line="360" w:lineRule="auto"/>
        <w:rPr>
          <w:rFonts w:eastAsia="宋体" w:cs="Times New Roman"/>
          <w:b/>
          <w:bCs/>
          <w:szCs w:val="24"/>
        </w:rPr>
      </w:pPr>
      <w:r>
        <w:rPr>
          <w:rFonts w:cs="Times New Roman"/>
          <w:b/>
          <w:bCs/>
          <w:szCs w:val="24"/>
        </w:rPr>
        <w:t>Methods</w:t>
      </w:r>
      <w:r>
        <w:rPr>
          <w:rFonts w:cs="Times New Roman"/>
          <w:szCs w:val="24"/>
        </w:rPr>
        <w:t xml:space="preserve">: </w:t>
      </w:r>
      <w:r>
        <w:rPr>
          <w:rFonts w:eastAsia="宋体" w:cs="Times New Roman"/>
          <w:color w:val="FF0000"/>
          <w:szCs w:val="24"/>
        </w:rPr>
        <w:t>We systematically searched PubMed, EMBASE, Cochrane Library, CNKI, VIP, and WanFang Data for case-control studies published up to August 2024. Manual reference screening was also performed. Studies comparing antinuclear antibody (ANA) positivity between women with primary ovarian insufficiency (POI) and controls were included. A random-effects model was used to calculate pooled odds ratios (ORs) with 95% confidence intervals (CIs). Heterogeneity and publication bias were assessed using the I² statistic and Begg’s test.</w:t>
      </w:r>
    </w:p>
    <w:p w14:paraId="40E61B4B">
      <w:pPr>
        <w:spacing w:line="360" w:lineRule="auto"/>
        <w:rPr>
          <w:rFonts w:cs="Times New Roman"/>
          <w:b/>
          <w:bCs/>
          <w:szCs w:val="24"/>
        </w:rPr>
      </w:pPr>
      <w:r>
        <w:rPr>
          <w:rFonts w:cs="Times New Roman"/>
          <w:b/>
          <w:bCs/>
          <w:szCs w:val="24"/>
        </w:rPr>
        <w:t>Results</w:t>
      </w:r>
      <w:r>
        <w:rPr>
          <w:rFonts w:cs="Times New Roman"/>
          <w:szCs w:val="24"/>
        </w:rPr>
        <w:t>:</w:t>
      </w:r>
      <w:r>
        <w:rPr>
          <w:rFonts w:cs="Times New Roman"/>
          <w:b/>
          <w:bCs/>
          <w:i/>
          <w:iCs/>
          <w:szCs w:val="24"/>
        </w:rPr>
        <w:t xml:space="preserve"> </w:t>
      </w:r>
      <w:r>
        <w:rPr>
          <w:rFonts w:eastAsia="宋体" w:cs="Times New Roman"/>
          <w:b w:val="0"/>
          <w:bCs w:val="0"/>
          <w:szCs w:val="24"/>
        </w:rPr>
        <w:t>According to the analysis of all 1</w:t>
      </w:r>
      <w:r>
        <w:rPr>
          <w:rFonts w:hint="eastAsia" w:eastAsia="宋体" w:cs="Times New Roman"/>
          <w:b w:val="0"/>
          <w:bCs w:val="0"/>
          <w:szCs w:val="24"/>
          <w:lang w:val="en-US" w:eastAsia="zh-CN"/>
        </w:rPr>
        <w:t>3</w:t>
      </w:r>
      <w:r>
        <w:rPr>
          <w:rFonts w:eastAsia="宋体" w:cs="Times New Roman"/>
          <w:b w:val="0"/>
          <w:bCs w:val="0"/>
          <w:szCs w:val="24"/>
        </w:rPr>
        <w:t xml:space="preserve"> studies, ANA positivity was significantly associated with POI (OR 2.</w:t>
      </w:r>
      <w:r>
        <w:rPr>
          <w:rFonts w:hint="eastAsia" w:eastAsia="宋体" w:cs="Times New Roman"/>
          <w:b w:val="0"/>
          <w:bCs w:val="0"/>
          <w:szCs w:val="24"/>
          <w:lang w:val="en-US" w:eastAsia="zh-CN"/>
        </w:rPr>
        <w:t>57</w:t>
      </w:r>
      <w:r>
        <w:rPr>
          <w:rFonts w:eastAsia="宋体" w:cs="Times New Roman"/>
          <w:b w:val="0"/>
          <w:bCs w:val="0"/>
          <w:szCs w:val="24"/>
        </w:rPr>
        <w:t>, 95% CI</w:t>
      </w:r>
      <w:r>
        <w:rPr>
          <w:rFonts w:hint="eastAsia" w:eastAsia="宋体" w:cs="Times New Roman"/>
          <w:b w:val="0"/>
          <w:bCs w:val="0"/>
          <w:szCs w:val="24"/>
          <w:lang w:val="en-US" w:eastAsia="zh-CN"/>
        </w:rPr>
        <w:t xml:space="preserve">: </w:t>
      </w:r>
      <w:r>
        <w:rPr>
          <w:rFonts w:eastAsia="宋体" w:cs="Times New Roman"/>
          <w:b w:val="0"/>
          <w:bCs w:val="0"/>
          <w:szCs w:val="24"/>
        </w:rPr>
        <w:t>1.</w:t>
      </w:r>
      <w:r>
        <w:rPr>
          <w:rFonts w:hint="eastAsia" w:eastAsia="宋体" w:cs="Times New Roman"/>
          <w:b w:val="0"/>
          <w:bCs w:val="0"/>
          <w:szCs w:val="24"/>
          <w:lang w:val="en-US" w:eastAsia="zh-CN"/>
        </w:rPr>
        <w:t>62</w:t>
      </w:r>
      <w:r>
        <w:rPr>
          <w:rFonts w:eastAsia="宋体" w:cs="Times New Roman"/>
          <w:b w:val="0"/>
          <w:bCs w:val="0"/>
          <w:szCs w:val="24"/>
        </w:rPr>
        <w:t>–4.</w:t>
      </w:r>
      <w:r>
        <w:rPr>
          <w:rFonts w:hint="eastAsia" w:eastAsia="宋体" w:cs="Times New Roman"/>
          <w:b w:val="0"/>
          <w:bCs w:val="0"/>
          <w:szCs w:val="24"/>
          <w:lang w:val="en-US" w:eastAsia="zh-CN"/>
        </w:rPr>
        <w:t>08</w:t>
      </w:r>
      <w:r>
        <w:rPr>
          <w:rFonts w:eastAsia="宋体" w:cs="Times New Roman"/>
          <w:b w:val="0"/>
          <w:bCs w:val="0"/>
          <w:szCs w:val="24"/>
        </w:rPr>
        <w:t xml:space="preserve">, </w:t>
      </w:r>
      <w:r>
        <w:rPr>
          <w:rFonts w:hint="eastAsia" w:eastAsia="宋体" w:cs="Times New Roman"/>
          <w:b w:val="0"/>
          <w:bCs w:val="0"/>
          <w:color w:val="FF0000"/>
          <w:szCs w:val="24"/>
        </w:rPr>
        <w:t xml:space="preserve">Z=4.001, </w:t>
      </w:r>
      <w:r>
        <w:rPr>
          <w:rFonts w:eastAsia="宋体" w:cs="Times New Roman"/>
          <w:b w:val="0"/>
          <w:bCs w:val="0"/>
          <w:color w:val="FF0000"/>
          <w:szCs w:val="24"/>
        </w:rPr>
        <w:t>P &lt; 0.001</w:t>
      </w:r>
      <w:r>
        <w:rPr>
          <w:rFonts w:eastAsia="宋体" w:cs="Times New Roman"/>
          <w:b w:val="0"/>
          <w:bCs w:val="0"/>
          <w:szCs w:val="24"/>
        </w:rPr>
        <w:t>). No significant heterogeneity was observed in the primary outcome (</w:t>
      </w:r>
      <w:r>
        <w:rPr>
          <w:rFonts w:eastAsia="宋体" w:cs="Times New Roman"/>
          <w:b w:val="0"/>
          <w:bCs w:val="0"/>
          <w:color w:val="FF0000"/>
          <w:szCs w:val="24"/>
        </w:rPr>
        <w:t>I</w:t>
      </w:r>
      <w:r>
        <w:rPr>
          <w:rFonts w:hint="eastAsia" w:eastAsia="宋体" w:cs="Times New Roman"/>
          <w:b w:val="0"/>
          <w:bCs w:val="0"/>
          <w:color w:val="FF0000"/>
          <w:szCs w:val="24"/>
          <w:vertAlign w:val="superscript"/>
        </w:rPr>
        <w:t xml:space="preserve">2 </w:t>
      </w:r>
      <w:r>
        <w:rPr>
          <w:rFonts w:eastAsia="宋体" w:cs="Times New Roman"/>
          <w:b w:val="0"/>
          <w:bCs w:val="0"/>
          <w:szCs w:val="24"/>
        </w:rPr>
        <w:t xml:space="preserve">= </w:t>
      </w:r>
      <w:r>
        <w:rPr>
          <w:rFonts w:hint="eastAsia" w:eastAsia="宋体" w:cs="Times New Roman"/>
          <w:b w:val="0"/>
          <w:bCs w:val="0"/>
          <w:szCs w:val="24"/>
          <w:lang w:val="en-US" w:eastAsia="zh-CN"/>
        </w:rPr>
        <w:t>11.9</w:t>
      </w:r>
      <w:r>
        <w:rPr>
          <w:rFonts w:eastAsia="宋体" w:cs="Times New Roman"/>
          <w:b w:val="0"/>
          <w:bCs w:val="0"/>
          <w:szCs w:val="24"/>
        </w:rPr>
        <w:t xml:space="preserve">%). Subgroup analyses revealed statistically significant associations in the following: (1) FSH &gt; 40 U/L subgroup (OR = </w:t>
      </w:r>
      <w:r>
        <w:rPr>
          <w:rFonts w:hint="eastAsia" w:eastAsia="宋体" w:cs="Times New Roman"/>
          <w:b w:val="0"/>
          <w:bCs w:val="0"/>
          <w:szCs w:val="24"/>
          <w:lang w:val="en-US" w:eastAsia="zh-CN"/>
        </w:rPr>
        <w:t>2.74</w:t>
      </w:r>
      <w:r>
        <w:rPr>
          <w:rFonts w:eastAsia="宋体" w:cs="Times New Roman"/>
          <w:b w:val="0"/>
          <w:bCs w:val="0"/>
          <w:szCs w:val="24"/>
        </w:rPr>
        <w:t>, 95% CI</w:t>
      </w:r>
      <w:r>
        <w:rPr>
          <w:rFonts w:hint="eastAsia" w:eastAsia="宋体" w:cs="Times New Roman"/>
          <w:b w:val="0"/>
          <w:bCs w:val="0"/>
          <w:szCs w:val="24"/>
          <w:lang w:val="en-US" w:eastAsia="zh-CN"/>
        </w:rPr>
        <w:t>: 1.78</w:t>
      </w:r>
      <w:r>
        <w:rPr>
          <w:rFonts w:eastAsia="宋体" w:cs="Times New Roman"/>
          <w:b w:val="0"/>
          <w:bCs w:val="0"/>
          <w:szCs w:val="24"/>
        </w:rPr>
        <w:t>–</w:t>
      </w:r>
      <w:r>
        <w:rPr>
          <w:rFonts w:hint="eastAsia" w:eastAsia="宋体" w:cs="Times New Roman"/>
          <w:b w:val="0"/>
          <w:bCs w:val="0"/>
          <w:szCs w:val="24"/>
          <w:lang w:val="en-US" w:eastAsia="zh-CN"/>
        </w:rPr>
        <w:t>4.21</w:t>
      </w:r>
      <w:r>
        <w:rPr>
          <w:rFonts w:eastAsia="宋体" w:cs="Times New Roman"/>
          <w:b w:val="0"/>
          <w:bCs w:val="0"/>
          <w:szCs w:val="24"/>
        </w:rPr>
        <w:t xml:space="preserve">, </w:t>
      </w:r>
      <w:r>
        <w:rPr>
          <w:rFonts w:eastAsia="宋体" w:cs="Times New Roman"/>
          <w:b w:val="0"/>
          <w:bCs w:val="0"/>
          <w:color w:val="FF0000"/>
          <w:szCs w:val="24"/>
        </w:rPr>
        <w:t>I</w:t>
      </w:r>
      <w:r>
        <w:rPr>
          <w:rFonts w:hint="eastAsia" w:eastAsia="宋体" w:cs="Times New Roman"/>
          <w:b w:val="0"/>
          <w:bCs w:val="0"/>
          <w:color w:val="FF0000"/>
          <w:szCs w:val="24"/>
          <w:vertAlign w:val="superscript"/>
        </w:rPr>
        <w:t xml:space="preserve">2 </w:t>
      </w:r>
      <w:r>
        <w:rPr>
          <w:rFonts w:eastAsia="宋体" w:cs="Times New Roman"/>
          <w:b w:val="0"/>
          <w:bCs w:val="0"/>
          <w:szCs w:val="24"/>
        </w:rPr>
        <w:t xml:space="preserve">= </w:t>
      </w:r>
      <w:r>
        <w:rPr>
          <w:rFonts w:hint="eastAsia" w:eastAsia="宋体" w:cs="Times New Roman"/>
          <w:b w:val="0"/>
          <w:bCs w:val="0"/>
          <w:szCs w:val="24"/>
          <w:lang w:val="en-US" w:eastAsia="zh-CN"/>
        </w:rPr>
        <w:t>0</w:t>
      </w:r>
      <w:r>
        <w:rPr>
          <w:rFonts w:eastAsia="宋体" w:cs="Times New Roman"/>
          <w:b w:val="0"/>
          <w:bCs w:val="0"/>
          <w:szCs w:val="24"/>
        </w:rPr>
        <w:t>%); (2) age &lt; 35 subgroup (OR = 2.</w:t>
      </w:r>
      <w:r>
        <w:rPr>
          <w:rFonts w:hint="eastAsia" w:eastAsia="宋体" w:cs="Times New Roman"/>
          <w:b w:val="0"/>
          <w:bCs w:val="0"/>
          <w:szCs w:val="24"/>
          <w:lang w:val="en-US" w:eastAsia="zh-CN"/>
        </w:rPr>
        <w:t>8</w:t>
      </w:r>
      <w:r>
        <w:rPr>
          <w:rFonts w:eastAsia="宋体" w:cs="Times New Roman"/>
          <w:b w:val="0"/>
          <w:bCs w:val="0"/>
          <w:szCs w:val="24"/>
        </w:rPr>
        <w:t>3, 95% CI</w:t>
      </w:r>
      <w:r>
        <w:rPr>
          <w:rFonts w:hint="eastAsia" w:eastAsia="宋体" w:cs="Times New Roman"/>
          <w:b w:val="0"/>
          <w:bCs w:val="0"/>
          <w:szCs w:val="24"/>
          <w:lang w:val="en-US" w:eastAsia="zh-CN"/>
        </w:rPr>
        <w:t xml:space="preserve">: </w:t>
      </w:r>
      <w:r>
        <w:rPr>
          <w:rFonts w:eastAsia="宋体" w:cs="Times New Roman"/>
          <w:b w:val="0"/>
          <w:bCs w:val="0"/>
          <w:szCs w:val="24"/>
        </w:rPr>
        <w:t>1.</w:t>
      </w:r>
      <w:r>
        <w:rPr>
          <w:rFonts w:hint="eastAsia" w:eastAsia="宋体" w:cs="Times New Roman"/>
          <w:b w:val="0"/>
          <w:bCs w:val="0"/>
          <w:szCs w:val="24"/>
          <w:lang w:val="en-US" w:eastAsia="zh-CN"/>
        </w:rPr>
        <w:t>73</w:t>
      </w:r>
      <w:r>
        <w:rPr>
          <w:rFonts w:eastAsia="宋体" w:cs="Times New Roman"/>
          <w:b w:val="0"/>
          <w:bCs w:val="0"/>
          <w:szCs w:val="24"/>
        </w:rPr>
        <w:t>–4.6</w:t>
      </w:r>
      <w:r>
        <w:rPr>
          <w:rFonts w:hint="eastAsia" w:eastAsia="宋体" w:cs="Times New Roman"/>
          <w:b w:val="0"/>
          <w:bCs w:val="0"/>
          <w:szCs w:val="24"/>
          <w:lang w:val="en-US" w:eastAsia="zh-CN"/>
        </w:rPr>
        <w:t>3</w:t>
      </w:r>
      <w:r>
        <w:rPr>
          <w:rFonts w:eastAsia="宋体" w:cs="Times New Roman"/>
          <w:b w:val="0"/>
          <w:bCs w:val="0"/>
          <w:szCs w:val="24"/>
        </w:rPr>
        <w:t xml:space="preserve">, </w:t>
      </w:r>
      <w:r>
        <w:rPr>
          <w:rFonts w:eastAsia="宋体" w:cs="Times New Roman"/>
          <w:b w:val="0"/>
          <w:bCs w:val="0"/>
          <w:color w:val="FF0000"/>
          <w:szCs w:val="24"/>
        </w:rPr>
        <w:t>I</w:t>
      </w:r>
      <w:r>
        <w:rPr>
          <w:rFonts w:hint="eastAsia" w:eastAsia="宋体" w:cs="Times New Roman"/>
          <w:b w:val="0"/>
          <w:bCs w:val="0"/>
          <w:color w:val="FF0000"/>
          <w:szCs w:val="24"/>
          <w:vertAlign w:val="superscript"/>
        </w:rPr>
        <w:t>2</w:t>
      </w:r>
      <w:r>
        <w:rPr>
          <w:rFonts w:eastAsia="宋体" w:cs="Times New Roman"/>
          <w:b w:val="0"/>
          <w:bCs w:val="0"/>
          <w:szCs w:val="24"/>
        </w:rPr>
        <w:t xml:space="preserve"> = </w:t>
      </w:r>
      <w:r>
        <w:rPr>
          <w:rFonts w:hint="eastAsia" w:eastAsia="宋体" w:cs="Times New Roman"/>
          <w:b w:val="0"/>
          <w:bCs w:val="0"/>
          <w:szCs w:val="24"/>
          <w:lang w:val="en-US" w:eastAsia="zh-CN"/>
        </w:rPr>
        <w:t>3.8</w:t>
      </w:r>
      <w:r>
        <w:rPr>
          <w:rFonts w:eastAsia="宋体" w:cs="Times New Roman"/>
          <w:b w:val="0"/>
          <w:bCs w:val="0"/>
          <w:szCs w:val="24"/>
        </w:rPr>
        <w:t xml:space="preserve">%); (3) </w:t>
      </w:r>
      <w:r>
        <w:rPr>
          <w:rFonts w:eastAsia="宋体" w:cs="Times New Roman"/>
          <w:b w:val="0"/>
          <w:bCs w:val="0"/>
          <w:color w:val="FF0000"/>
          <w:szCs w:val="24"/>
        </w:rPr>
        <w:t>indirect immunofluorescence (IIF)</w:t>
      </w:r>
      <w:r>
        <w:rPr>
          <w:rFonts w:hint="eastAsia" w:eastAsia="宋体" w:cs="Times New Roman"/>
          <w:b w:val="0"/>
          <w:bCs w:val="0"/>
          <w:color w:val="FF0000"/>
          <w:szCs w:val="24"/>
        </w:rPr>
        <w:t xml:space="preserve"> </w:t>
      </w:r>
      <w:r>
        <w:rPr>
          <w:rFonts w:eastAsia="宋体" w:cs="Times New Roman"/>
          <w:b w:val="0"/>
          <w:bCs w:val="0"/>
          <w:szCs w:val="24"/>
        </w:rPr>
        <w:t xml:space="preserve">subgroup (OR = </w:t>
      </w:r>
      <w:r>
        <w:rPr>
          <w:rFonts w:hint="eastAsia" w:eastAsia="宋体" w:cs="Times New Roman"/>
          <w:b w:val="0"/>
          <w:bCs w:val="0"/>
          <w:szCs w:val="24"/>
          <w:lang w:val="en-US" w:eastAsia="zh-CN"/>
        </w:rPr>
        <w:t>3.22</w:t>
      </w:r>
      <w:r>
        <w:rPr>
          <w:rFonts w:eastAsia="宋体" w:cs="Times New Roman"/>
          <w:b w:val="0"/>
          <w:bCs w:val="0"/>
          <w:szCs w:val="24"/>
        </w:rPr>
        <w:t>, 95% CI</w:t>
      </w:r>
      <w:r>
        <w:rPr>
          <w:rFonts w:hint="eastAsia" w:eastAsia="宋体" w:cs="Times New Roman"/>
          <w:b w:val="0"/>
          <w:bCs w:val="0"/>
          <w:szCs w:val="24"/>
          <w:lang w:val="en-US" w:eastAsia="zh-CN"/>
        </w:rPr>
        <w:t>: 1.28</w:t>
      </w:r>
      <w:r>
        <w:rPr>
          <w:rFonts w:eastAsia="宋体" w:cs="Times New Roman"/>
          <w:b w:val="0"/>
          <w:bCs w:val="0"/>
          <w:szCs w:val="24"/>
        </w:rPr>
        <w:t>–</w:t>
      </w:r>
      <w:r>
        <w:rPr>
          <w:rFonts w:hint="eastAsia" w:eastAsia="宋体" w:cs="Times New Roman"/>
          <w:b w:val="0"/>
          <w:bCs w:val="0"/>
          <w:szCs w:val="24"/>
          <w:lang w:val="en-US" w:eastAsia="zh-CN"/>
        </w:rPr>
        <w:t>8.09</w:t>
      </w:r>
      <w:r>
        <w:rPr>
          <w:rFonts w:eastAsia="宋体" w:cs="Times New Roman"/>
          <w:b w:val="0"/>
          <w:bCs w:val="0"/>
          <w:szCs w:val="24"/>
        </w:rPr>
        <w:t xml:space="preserve">, </w:t>
      </w:r>
      <w:r>
        <w:rPr>
          <w:rFonts w:eastAsia="宋体" w:cs="Times New Roman"/>
          <w:b w:val="0"/>
          <w:bCs w:val="0"/>
          <w:color w:val="FF0000"/>
          <w:szCs w:val="24"/>
        </w:rPr>
        <w:t>I</w:t>
      </w:r>
      <w:r>
        <w:rPr>
          <w:rFonts w:hint="eastAsia" w:eastAsia="宋体" w:cs="Times New Roman"/>
          <w:b w:val="0"/>
          <w:bCs w:val="0"/>
          <w:color w:val="FF0000"/>
          <w:szCs w:val="24"/>
          <w:vertAlign w:val="superscript"/>
        </w:rPr>
        <w:t>2</w:t>
      </w:r>
      <w:r>
        <w:rPr>
          <w:rFonts w:eastAsia="宋体" w:cs="Times New Roman"/>
          <w:b w:val="0"/>
          <w:bCs w:val="0"/>
          <w:szCs w:val="24"/>
        </w:rPr>
        <w:t xml:space="preserve"> = 3</w:t>
      </w:r>
      <w:r>
        <w:rPr>
          <w:rFonts w:hint="eastAsia" w:eastAsia="宋体" w:cs="Times New Roman"/>
          <w:b w:val="0"/>
          <w:bCs w:val="0"/>
          <w:szCs w:val="24"/>
          <w:lang w:val="en-US" w:eastAsia="zh-CN"/>
        </w:rPr>
        <w:t>4.6</w:t>
      </w:r>
      <w:r>
        <w:rPr>
          <w:rFonts w:eastAsia="宋体" w:cs="Times New Roman"/>
          <w:b w:val="0"/>
          <w:bCs w:val="0"/>
          <w:szCs w:val="24"/>
        </w:rPr>
        <w:t>%) and</w:t>
      </w:r>
      <w:r>
        <w:rPr>
          <w:rFonts w:eastAsia="宋体" w:cs="Times New Roman"/>
          <w:b w:val="0"/>
          <w:bCs w:val="0"/>
          <w:color w:val="FF0000"/>
          <w:szCs w:val="24"/>
        </w:rPr>
        <w:t xml:space="preserve"> dot immunogold filtration assay (DIGFA)</w:t>
      </w:r>
      <w:r>
        <w:rPr>
          <w:rFonts w:eastAsia="宋体" w:cs="Times New Roman"/>
          <w:b w:val="0"/>
          <w:bCs w:val="0"/>
          <w:szCs w:val="24"/>
        </w:rPr>
        <w:t xml:space="preserve"> subgroup (OR = </w:t>
      </w:r>
      <w:r>
        <w:rPr>
          <w:rFonts w:hint="eastAsia" w:eastAsia="宋体" w:cs="Times New Roman"/>
          <w:b w:val="0"/>
          <w:bCs w:val="0"/>
          <w:szCs w:val="24"/>
          <w:lang w:val="en-US" w:eastAsia="zh-CN"/>
        </w:rPr>
        <w:t>3.84</w:t>
      </w:r>
      <w:r>
        <w:rPr>
          <w:rFonts w:eastAsia="宋体" w:cs="Times New Roman"/>
          <w:b w:val="0"/>
          <w:bCs w:val="0"/>
          <w:szCs w:val="24"/>
        </w:rPr>
        <w:t>, 95% CI</w:t>
      </w:r>
      <w:r>
        <w:rPr>
          <w:rFonts w:hint="eastAsia" w:eastAsia="宋体" w:cs="Times New Roman"/>
          <w:b w:val="0"/>
          <w:bCs w:val="0"/>
          <w:szCs w:val="24"/>
          <w:lang w:val="en-US" w:eastAsia="zh-CN"/>
        </w:rPr>
        <w:t xml:space="preserve">: </w:t>
      </w:r>
      <w:r>
        <w:rPr>
          <w:rFonts w:eastAsia="宋体" w:cs="Times New Roman"/>
          <w:b w:val="0"/>
          <w:bCs w:val="0"/>
          <w:szCs w:val="24"/>
        </w:rPr>
        <w:t xml:space="preserve">1.31–11.27, </w:t>
      </w:r>
      <w:r>
        <w:rPr>
          <w:rFonts w:eastAsia="宋体" w:cs="Times New Roman"/>
          <w:b w:val="0"/>
          <w:bCs w:val="0"/>
          <w:color w:val="FF0000"/>
          <w:szCs w:val="24"/>
        </w:rPr>
        <w:t>I</w:t>
      </w:r>
      <w:r>
        <w:rPr>
          <w:rFonts w:hint="eastAsia" w:eastAsia="宋体" w:cs="Times New Roman"/>
          <w:b w:val="0"/>
          <w:bCs w:val="0"/>
          <w:color w:val="FF0000"/>
          <w:szCs w:val="24"/>
          <w:vertAlign w:val="superscript"/>
        </w:rPr>
        <w:t xml:space="preserve">2 </w:t>
      </w:r>
      <w:r>
        <w:rPr>
          <w:rFonts w:eastAsia="宋体" w:cs="Times New Roman"/>
          <w:b w:val="0"/>
          <w:bCs w:val="0"/>
          <w:szCs w:val="24"/>
        </w:rPr>
        <w:t>= 0%); (4) non-ovarian infertility controls (OR = 4.42, 95% CI</w:t>
      </w:r>
      <w:r>
        <w:rPr>
          <w:rFonts w:hint="eastAsia" w:eastAsia="宋体" w:cs="Times New Roman"/>
          <w:b w:val="0"/>
          <w:bCs w:val="0"/>
          <w:szCs w:val="24"/>
          <w:lang w:val="en-US" w:eastAsia="zh-CN"/>
        </w:rPr>
        <w:t xml:space="preserve">: </w:t>
      </w:r>
      <w:r>
        <w:rPr>
          <w:rFonts w:eastAsia="宋体" w:cs="Times New Roman"/>
          <w:b w:val="0"/>
          <w:bCs w:val="0"/>
          <w:szCs w:val="24"/>
        </w:rPr>
        <w:t xml:space="preserve">1.25–15.60, </w:t>
      </w:r>
      <w:r>
        <w:rPr>
          <w:rFonts w:eastAsia="宋体" w:cs="Times New Roman"/>
          <w:b w:val="0"/>
          <w:bCs w:val="0"/>
          <w:color w:val="FF0000"/>
          <w:szCs w:val="24"/>
        </w:rPr>
        <w:t>I</w:t>
      </w:r>
      <w:r>
        <w:rPr>
          <w:rFonts w:hint="eastAsia" w:eastAsia="宋体" w:cs="Times New Roman"/>
          <w:b w:val="0"/>
          <w:bCs w:val="0"/>
          <w:color w:val="FF0000"/>
          <w:szCs w:val="24"/>
          <w:vertAlign w:val="superscript"/>
        </w:rPr>
        <w:t>2</w:t>
      </w:r>
      <w:r>
        <w:rPr>
          <w:rFonts w:eastAsia="宋体" w:cs="Times New Roman"/>
          <w:b w:val="0"/>
          <w:bCs w:val="0"/>
          <w:szCs w:val="24"/>
        </w:rPr>
        <w:t xml:space="preserve"> = 0%), healthy controls (OR = </w:t>
      </w:r>
      <w:r>
        <w:rPr>
          <w:rFonts w:hint="eastAsia" w:eastAsia="宋体" w:cs="Times New Roman"/>
          <w:b w:val="0"/>
          <w:bCs w:val="0"/>
          <w:szCs w:val="24"/>
          <w:lang w:val="en-US" w:eastAsia="zh-CN"/>
        </w:rPr>
        <w:t>2.13</w:t>
      </w:r>
      <w:r>
        <w:rPr>
          <w:rFonts w:eastAsia="宋体" w:cs="Times New Roman"/>
          <w:b w:val="0"/>
          <w:bCs w:val="0"/>
          <w:szCs w:val="24"/>
        </w:rPr>
        <w:t>, 95% CI</w:t>
      </w:r>
      <w:r>
        <w:rPr>
          <w:rFonts w:hint="eastAsia" w:eastAsia="宋体" w:cs="Times New Roman"/>
          <w:b w:val="0"/>
          <w:bCs w:val="0"/>
          <w:szCs w:val="24"/>
          <w:lang w:val="en-US" w:eastAsia="zh-CN"/>
        </w:rPr>
        <w:t>:</w:t>
      </w:r>
      <w:r>
        <w:rPr>
          <w:rFonts w:eastAsia="宋体" w:cs="Times New Roman"/>
          <w:b w:val="0"/>
          <w:bCs w:val="0"/>
          <w:szCs w:val="24"/>
        </w:rPr>
        <w:t>1.</w:t>
      </w:r>
      <w:r>
        <w:rPr>
          <w:rFonts w:hint="eastAsia" w:eastAsia="宋体" w:cs="Times New Roman"/>
          <w:b w:val="0"/>
          <w:bCs w:val="0"/>
          <w:szCs w:val="24"/>
          <w:lang w:val="en-US" w:eastAsia="zh-CN"/>
        </w:rPr>
        <w:t>23</w:t>
      </w:r>
      <w:r>
        <w:rPr>
          <w:rFonts w:eastAsia="宋体" w:cs="Times New Roman"/>
          <w:b w:val="0"/>
          <w:bCs w:val="0"/>
          <w:szCs w:val="24"/>
        </w:rPr>
        <w:t>–</w:t>
      </w:r>
      <w:r>
        <w:rPr>
          <w:rFonts w:hint="eastAsia" w:eastAsia="宋体" w:cs="Times New Roman"/>
          <w:b w:val="0"/>
          <w:bCs w:val="0"/>
          <w:szCs w:val="24"/>
          <w:lang w:val="en-US" w:eastAsia="zh-CN"/>
        </w:rPr>
        <w:t>3.68</w:t>
      </w:r>
      <w:r>
        <w:rPr>
          <w:rFonts w:eastAsia="宋体" w:cs="Times New Roman"/>
          <w:b w:val="0"/>
          <w:bCs w:val="0"/>
          <w:szCs w:val="24"/>
        </w:rPr>
        <w:t xml:space="preserve">, </w:t>
      </w:r>
      <w:r>
        <w:rPr>
          <w:rFonts w:eastAsia="宋体" w:cs="Times New Roman"/>
          <w:b w:val="0"/>
          <w:bCs w:val="0"/>
          <w:color w:val="FF0000"/>
          <w:szCs w:val="24"/>
        </w:rPr>
        <w:t>I</w:t>
      </w:r>
      <w:r>
        <w:rPr>
          <w:rFonts w:hint="eastAsia" w:eastAsia="宋体" w:cs="Times New Roman"/>
          <w:b w:val="0"/>
          <w:bCs w:val="0"/>
          <w:color w:val="FF0000"/>
          <w:szCs w:val="24"/>
          <w:vertAlign w:val="superscript"/>
        </w:rPr>
        <w:t>2</w:t>
      </w:r>
      <w:r>
        <w:rPr>
          <w:rFonts w:eastAsia="宋体" w:cs="Times New Roman"/>
          <w:b w:val="0"/>
          <w:bCs w:val="0"/>
          <w:szCs w:val="24"/>
        </w:rPr>
        <w:t xml:space="preserve"> =</w:t>
      </w:r>
      <w:r>
        <w:rPr>
          <w:rFonts w:hint="eastAsia" w:eastAsia="宋体" w:cs="Times New Roman"/>
          <w:b w:val="0"/>
          <w:bCs w:val="0"/>
          <w:szCs w:val="24"/>
          <w:lang w:val="en-US" w:eastAsia="zh-CN"/>
        </w:rPr>
        <w:t>0</w:t>
      </w:r>
      <w:r>
        <w:rPr>
          <w:rFonts w:eastAsia="宋体" w:cs="Times New Roman"/>
          <w:b w:val="0"/>
          <w:bCs w:val="0"/>
          <w:szCs w:val="24"/>
        </w:rPr>
        <w:t>%), and hypogonadotropic amenorrhea controls (OR = 6.62, 95% CI</w:t>
      </w:r>
      <w:r>
        <w:rPr>
          <w:rFonts w:hint="eastAsia" w:eastAsia="宋体" w:cs="Times New Roman"/>
          <w:b w:val="0"/>
          <w:bCs w:val="0"/>
          <w:szCs w:val="24"/>
          <w:lang w:val="en-US" w:eastAsia="zh-CN"/>
        </w:rPr>
        <w:t xml:space="preserve">: </w:t>
      </w:r>
      <w:r>
        <w:rPr>
          <w:rFonts w:eastAsia="宋体" w:cs="Times New Roman"/>
          <w:b w:val="0"/>
          <w:bCs w:val="0"/>
          <w:szCs w:val="24"/>
        </w:rPr>
        <w:t>2.25–19.52,</w:t>
      </w:r>
      <w:r>
        <w:rPr>
          <w:rFonts w:eastAsia="宋体" w:cs="Times New Roman"/>
          <w:b w:val="0"/>
          <w:bCs w:val="0"/>
          <w:color w:val="FF0000"/>
          <w:szCs w:val="24"/>
        </w:rPr>
        <w:t xml:space="preserve"> I</w:t>
      </w:r>
      <w:r>
        <w:rPr>
          <w:rFonts w:hint="eastAsia" w:eastAsia="宋体" w:cs="Times New Roman"/>
          <w:b w:val="0"/>
          <w:bCs w:val="0"/>
          <w:color w:val="FF0000"/>
          <w:szCs w:val="24"/>
          <w:vertAlign w:val="superscript"/>
        </w:rPr>
        <w:t>2</w:t>
      </w:r>
      <w:r>
        <w:rPr>
          <w:rFonts w:eastAsia="宋体" w:cs="Times New Roman"/>
          <w:b w:val="0"/>
          <w:bCs w:val="0"/>
          <w:szCs w:val="24"/>
        </w:rPr>
        <w:t xml:space="preserve"> = 0%) groups.</w:t>
      </w:r>
    </w:p>
    <w:p w14:paraId="4F9E1049">
      <w:pPr>
        <w:spacing w:line="360" w:lineRule="auto"/>
        <w:rPr>
          <w:rFonts w:eastAsia="宋体" w:cs="Times New Roman"/>
          <w:szCs w:val="24"/>
        </w:rPr>
      </w:pPr>
      <w:r>
        <w:rPr>
          <w:rFonts w:cs="Times New Roman"/>
          <w:b/>
          <w:bCs/>
          <w:szCs w:val="24"/>
        </w:rPr>
        <w:t>Conclusion</w:t>
      </w:r>
      <w:r>
        <w:rPr>
          <w:rFonts w:cs="Times New Roman"/>
          <w:szCs w:val="24"/>
        </w:rPr>
        <w:t>:</w:t>
      </w:r>
      <w:r>
        <w:rPr>
          <w:rFonts w:cs="Times New Roman"/>
          <w:i/>
          <w:iCs/>
          <w:color w:val="FF0000"/>
          <w:szCs w:val="24"/>
        </w:rPr>
        <w:t xml:space="preserve"> </w:t>
      </w:r>
      <w:r>
        <w:rPr>
          <w:rFonts w:eastAsia="宋体" w:cs="Times New Roman"/>
          <w:color w:val="FF0000"/>
          <w:szCs w:val="24"/>
        </w:rPr>
        <w:t>ANA positivity is significantly associated with an increased risk of POI, supporting its potential role as a serological marker for early screening. Routine ANA testing may be particularly valuable in women under 35 years of age or with FSH &gt; 40 IU/L. Future large-scale studies should focus on optimizing ANA detection methods (e.g., enzyme-linked immunosorbent assay [ELISA] vs. IIF), quantifying titers, and evaluating nuclear patterns to improve diagnostic accuracy and clinical applicability.</w:t>
      </w:r>
    </w:p>
    <w:p w14:paraId="02B4E195">
      <w:pPr>
        <w:spacing w:line="360" w:lineRule="auto"/>
        <w:rPr>
          <w:rFonts w:cs="Times New Roman"/>
          <w:szCs w:val="24"/>
        </w:rPr>
      </w:pPr>
      <w:r>
        <w:rPr>
          <w:rFonts w:cs="Times New Roman"/>
          <w:b/>
          <w:bCs/>
          <w:szCs w:val="24"/>
        </w:rPr>
        <w:t>Keywords</w:t>
      </w:r>
      <w:r>
        <w:rPr>
          <w:rFonts w:hint="eastAsia" w:cs="Times New Roman"/>
          <w:b/>
          <w:bCs/>
          <w:szCs w:val="24"/>
        </w:rPr>
        <w:t xml:space="preserve">: </w:t>
      </w:r>
      <w:r>
        <w:rPr>
          <w:rFonts w:eastAsia="宋体" w:cs="Times New Roman"/>
          <w:szCs w:val="24"/>
        </w:rPr>
        <w:t xml:space="preserve">Case-control studies, Meta-analysis, </w:t>
      </w:r>
      <w:r>
        <w:rPr>
          <w:rStyle w:val="18"/>
          <w:rFonts w:eastAsia="宋体" w:cs="Times New Roman"/>
          <w:sz w:val="24"/>
          <w:szCs w:val="24"/>
        </w:rPr>
        <w:t>Premature ovarian insufficiency</w:t>
      </w:r>
      <w:r>
        <w:rPr>
          <w:rFonts w:eastAsia="宋体" w:cs="Times New Roman"/>
          <w:szCs w:val="24"/>
        </w:rPr>
        <w:t>, Anti-nuclear antibodies</w:t>
      </w:r>
      <w:r>
        <w:rPr>
          <w:rFonts w:hint="eastAsia" w:eastAsia="宋体" w:cs="Times New Roman"/>
          <w:szCs w:val="24"/>
        </w:rPr>
        <w:t>.</w:t>
      </w:r>
    </w:p>
    <w:p w14:paraId="703EB59E">
      <w:pPr>
        <w:spacing w:line="360" w:lineRule="auto"/>
        <w:rPr>
          <w:rFonts w:cs="Times New Roman"/>
          <w:szCs w:val="24"/>
        </w:rPr>
      </w:pPr>
    </w:p>
    <w:p w14:paraId="30CA59D9">
      <w:pPr>
        <w:spacing w:line="360" w:lineRule="auto"/>
        <w:rPr>
          <w:rFonts w:cs="Times New Roman"/>
          <w:b/>
          <w:bCs/>
          <w:szCs w:val="24"/>
        </w:rPr>
      </w:pPr>
    </w:p>
    <w:p w14:paraId="5DE5B684">
      <w:pPr>
        <w:spacing w:line="360" w:lineRule="auto"/>
        <w:rPr>
          <w:rFonts w:cs="Times New Roman"/>
          <w:b/>
          <w:bCs/>
          <w:szCs w:val="24"/>
        </w:rPr>
      </w:pPr>
      <w:r>
        <w:rPr>
          <w:rFonts w:cs="Times New Roman"/>
          <w:b/>
          <w:bCs/>
          <w:szCs w:val="24"/>
        </w:rPr>
        <w:t>INTRODUCTION</w:t>
      </w:r>
    </w:p>
    <w:p w14:paraId="5097DA3E">
      <w:pPr>
        <w:widowControl/>
        <w:spacing w:line="360" w:lineRule="auto"/>
        <w:jc w:val="left"/>
        <w:rPr>
          <w:rFonts w:eastAsia="宋体" w:cs="Times New Roman"/>
          <w:szCs w:val="24"/>
        </w:rPr>
      </w:pPr>
      <w:r>
        <w:rPr>
          <w:rFonts w:eastAsia="宋体" w:cs="Times New Roman"/>
          <w:szCs w:val="24"/>
        </w:rPr>
        <w:t>The definition of premature ovarian failure(POF) was first formally proposed in 1967, which refers to the cessation of menstruation occurring after puberty and before the age of 40, accompanied by symptoms such as hot flashes, infertility, and atrophy of the reproductive organs.</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&lt;EndNote&gt;&lt;Cite&gt;&lt;Author&gt;M de Moraes-Ruehsen&lt;/Author&gt;&lt;Year&gt;1967&lt;/Year&gt;&lt;RecNum&gt;73&lt;/RecNum&gt;&lt;DisplayText&gt;&lt;style face="superscript"&gt;1&lt;/style&gt;&lt;/DisplayText&gt;&lt;record&gt;&lt;rec-number&gt;73&lt;/rec-number&gt;&lt;foreign-keys&gt;&lt;key app="EN" db-id="0a0rwdw0csffz2eztr1vr020etf50fxwfav5" timestamp="1739803235" guid="d91dbdf2-7003-4706-b000-988bfd9bc2c6"&gt;73&lt;/key&gt;&lt;/foreign-keys&gt;&lt;ref-type name="Journal Article"&gt;17&lt;/ref-type&gt;&lt;contributors&gt;&lt;authors&gt;&lt;author&gt;M de Moraes-Ruehsen, G S Jones&lt;/author&gt;&lt;/authors&gt;&lt;/contributors&gt;&lt;titles&gt;&lt;title&gt;Premature ovarian failure&lt;/title&gt;&lt;secondary-title&gt;Fertil Steril&lt;/secondary-title&gt;&lt;/titles&gt;&lt;periodical&gt;&lt;full-title&gt;Fertil Steril&lt;/full-title&gt;&lt;/periodical&gt;&lt;pages&gt;440-61&lt;/pages&gt;&lt;volume&gt;18&lt;/volume&gt;&lt;number&gt;4&lt;/number&gt;&lt;edition&gt;1967/07/01&lt;/edition&gt;&lt;keywords&gt;&lt;keyword&gt;Adolescent&lt;/keyword&gt;&lt;keyword&gt;Adult&lt;/keyword&gt;&lt;keyword&gt;Amenorrhea/*etiology&lt;/keyword&gt;&lt;keyword&gt;Chorionic Gonadotropin&lt;/keyword&gt;&lt;keyword&gt;Chromosome Aberrations&lt;/keyword&gt;&lt;keyword&gt;Chromosome Disorders&lt;/keyword&gt;&lt;keyword&gt;Diagnosis, Differential&lt;/keyword&gt;&lt;keyword&gt;Female&lt;/keyword&gt;&lt;keyword&gt;Follicle Stimulating Hormone&lt;/keyword&gt;&lt;keyword&gt;Gonadotropins/urine&lt;/keyword&gt;&lt;keyword&gt;Humans&lt;/keyword&gt;&lt;keyword&gt;Infertility, Female&lt;/keyword&gt;&lt;keyword&gt;*Menopause&lt;/keyword&gt;&lt;keyword&gt;Ovarian Diseases/*complications/pathology&lt;/keyword&gt;&lt;keyword&gt;Psychosomatic Medicine&lt;/keyword&gt;&lt;/keywords&gt;&lt;dates&gt;&lt;year&gt;1967&lt;/year&gt;&lt;pub-dates&gt;&lt;date&gt;Jul-Aug&lt;/date&gt;&lt;/pub-dates&gt;&lt;/dates&gt;&lt;isbn&gt;0015-0282 (Print)&amp;#xD;0015-0282 (Linking)&lt;/isbn&gt;&lt;accession-num&gt;6028784&lt;/accession-num&gt;&lt;urls&gt;&lt;related-urls&gt;&lt;url&gt;https://www.ncbi.nlm.nih.gov/pubmed/6028784&lt;/url&gt;&lt;/related-urls&gt;&lt;/urls&gt;&lt;electronic-resource-num&gt;10.1016/s0015-0282(16)36362-2&lt;/electronic-resource-num&gt;&lt;/record&gt;&lt;/Cite&gt;&lt;/EndNote&gt;</w:instrText>
      </w:r>
      <w:r>
        <w:rPr>
          <w:rFonts w:eastAsia="宋体" w:cs="Times New Roman"/>
          <w:szCs w:val="24"/>
        </w:rPr>
        <w:fldChar w:fldCharType="separate"/>
      </w:r>
      <w:r>
        <w:rPr>
          <w:rFonts w:eastAsia="宋体" w:cs="Times New Roman"/>
          <w:szCs w:val="24"/>
          <w:vertAlign w:val="superscript"/>
        </w:rPr>
        <w:t>1</w:t>
      </w:r>
      <w:r>
        <w:rPr>
          <w:rFonts w:eastAsia="宋体" w:cs="Times New Roman"/>
          <w:szCs w:val="24"/>
        </w:rPr>
        <w:fldChar w:fldCharType="end"/>
      </w:r>
      <w:r>
        <w:rPr>
          <w:rStyle w:val="18"/>
          <w:rFonts w:hint="eastAsia" w:cs="Times New Roman"/>
          <w:sz w:val="24"/>
          <w:szCs w:val="24"/>
        </w:rPr>
        <w:t xml:space="preserve"> </w:t>
      </w:r>
      <w:r>
        <w:rPr>
          <w:rStyle w:val="18"/>
          <w:rFonts w:cs="Times New Roman"/>
          <w:sz w:val="24"/>
          <w:szCs w:val="24"/>
        </w:rPr>
        <w:t>Subsequently, supplemented by numerous relevant studies, the European Society of Human Reproduction and Embryology (ESHRE) advocated in 2016 to replace the concept of premature ovarian failure with premature ovarian insufficiency (POI)</w:t>
      </w:r>
      <w:r>
        <w:rPr>
          <w:rFonts w:eastAsia="宋体" w:cs="Times New Roman"/>
          <w:szCs w:val="24"/>
        </w:rPr>
        <w:t>.</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&lt;EndNote&gt;&lt;Cite&gt;&lt;Author&gt;The ESHRE Guideline Group on POI&lt;/Author&gt;&lt;Year&gt;2016&lt;/Year&gt;&lt;RecNum&gt;29&lt;/RecNum&gt;&lt;DisplayText&gt;&lt;style face="superscript"&gt;2&lt;/style&gt;&lt;/DisplayText&gt;&lt;record&gt;&lt;rec-number&gt;29&lt;/rec-number&gt;&lt;foreign-keys&gt;&lt;key app="EN" db-id="0a0rwdw0csffz2eztr1vr020etf50fxwfav5" timestamp="1739802995" guid="2b2bee72-d3ec-4556-a209-cb6776aa0caa"&gt;29&lt;/key&gt;&lt;/foreign-keys&gt;&lt;ref-type name="Journal Article"&gt;17&lt;/ref-type&gt;&lt;contributors&gt;&lt;authors&gt;&lt;author&gt;The ESHRE Guideline Group on POI, L.Webber, M. Davies, R. Anderson, J. Bartlett, D. Braat, B. Cartwright, R. Cifkova, S. et al.&lt;/author&gt;&lt;/authors&gt;&lt;/contributors&gt;&lt;titles&gt;&lt;title&gt;ESHRE Guideline: management of women with premature ovarian insufficiency&lt;/title&gt;&lt;secondary-title&gt;Human Reproduction&lt;/secondary-title&gt;&lt;/titles&gt;&lt;periodical&gt;&lt;full-title&gt;Human Reproduction&lt;/full-title&gt;&lt;/periodical&gt;&lt;pages&gt;926-937&lt;/pages&gt;&lt;volume&gt;31&lt;/volume&gt;&lt;number&gt;5&lt;/number&gt;&lt;dates&gt;&lt;year&gt;2016&lt;/year&gt;&lt;/dates&gt;&lt;isbn&gt;0268-1161&lt;/isbn&gt;&lt;urls&gt;&lt;related-urls&gt;&lt;url&gt;https://academic.oup.com/humrep/article/31/5/926/1749616?login=false&lt;/url&gt;&lt;/related-urls&gt;&lt;/urls&gt;&lt;electronic-resource-num&gt;10.1093/humrep/dew027&lt;/electronic-resource-num&gt;&lt;/record&gt;&lt;/Cite&gt;&lt;/EndNote&gt;</w:instrText>
      </w:r>
      <w:r>
        <w:rPr>
          <w:rFonts w:eastAsia="宋体" w:cs="Times New Roman"/>
          <w:szCs w:val="24"/>
        </w:rPr>
        <w:fldChar w:fldCharType="separate"/>
      </w:r>
      <w:r>
        <w:rPr>
          <w:rFonts w:eastAsia="宋体" w:cs="Times New Roman"/>
          <w:szCs w:val="24"/>
          <w:vertAlign w:val="superscript"/>
        </w:rPr>
        <w:t>2</w:t>
      </w:r>
      <w:r>
        <w:rPr>
          <w:rFonts w:eastAsia="宋体" w:cs="Times New Roman"/>
          <w:szCs w:val="24"/>
        </w:rPr>
        <w:fldChar w:fldCharType="end"/>
      </w:r>
      <w:r>
        <w:rPr>
          <w:rFonts w:eastAsia="宋体" w:cs="Times New Roman"/>
          <w:szCs w:val="24"/>
        </w:rPr>
        <w:t>The global incidence of POI is approximately 3.5%, and it is showing a trend towards affecting younger individuals.</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&lt;EndNote&gt;&lt;Cite&gt;&lt;Author&gt;Li M&lt;/Author&gt;&lt;Year&gt;2023&lt;/Year&gt;&lt;RecNum&gt;1&lt;/RecNum&gt;&lt;DisplayText&gt;&lt;style face="superscript"&gt;3&lt;/style&gt;&lt;/DisplayText&gt;&lt;record&gt;&lt;rec-number&gt;1&lt;/rec-number&gt;&lt;foreign-keys&gt;&lt;key app="EN" db-id="0a0rwdw0csffz2eztr1vr020etf50fxwfav5" timestamp="1739802974" guid="c422d035-6bbd-4fd6-9670-017c006be9d5"&gt;1&lt;/key&gt;&lt;/foreign-keys&gt;&lt;ref-type name="Journal Article"&gt;17&lt;/ref-type&gt;&lt;contributors&gt;&lt;authors&gt;&lt;author&gt;Li M, Zhu Y, Wei J, Chen L, Chen S, Lai D&lt;/author&gt;&lt;/authors&gt;&lt;/contributors&gt;&lt;titles&gt;&lt;title&gt;The global prevalence of premature ovarian insufficiency: a systematic review and meta-analysis&lt;/title&gt;&lt;secondary-title&gt;Climacteric : the journal of the International Menopause Society&lt;/secondary-title&gt;&lt;/titles&gt;&lt;periodical&gt;&lt;full-title&gt;Climacteric : the journal of the International Menopause Society&lt;/full-title&gt;&lt;/periodical&gt;&lt;pages&gt;95-102&lt;/pages&gt;&lt;volume&gt;26&lt;/volume&gt;&lt;number&gt;2&lt;/number&gt;&lt;dates&gt;&lt;year&gt;2023&lt;/year&gt;&lt;/dates&gt;&lt;isbn&gt;1473-0804&lt;/isbn&gt;&lt;urls&gt;&lt;related-urls&gt;&lt;url&gt;https://pubmed.ncbi.nlm.nih.gov/36519275/&lt;/url&gt;&lt;/related-urls&gt;&lt;/urls&gt;&lt;electronic-resource-num&gt;10.1080/13697137.2022.2153033&lt;/electronic-resource-num&gt;&lt;/record&gt;&lt;/Cite&gt;&lt;/EndNote&gt;</w:instrText>
      </w:r>
      <w:r>
        <w:rPr>
          <w:rFonts w:eastAsia="宋体" w:cs="Times New Roman"/>
          <w:szCs w:val="24"/>
        </w:rPr>
        <w:fldChar w:fldCharType="separate"/>
      </w:r>
      <w:r>
        <w:rPr>
          <w:rFonts w:eastAsia="宋体" w:cs="Times New Roman"/>
          <w:szCs w:val="24"/>
          <w:vertAlign w:val="superscript"/>
        </w:rPr>
        <w:t>3</w:t>
      </w:r>
      <w:r>
        <w:rPr>
          <w:rFonts w:eastAsia="宋体" w:cs="Times New Roman"/>
          <w:szCs w:val="24"/>
        </w:rPr>
        <w:fldChar w:fldCharType="end"/>
      </w:r>
      <w:r>
        <w:rPr>
          <w:rFonts w:hint="eastAsia" w:eastAsia="宋体" w:cs="Times New Roman"/>
          <w:szCs w:val="24"/>
        </w:rPr>
        <w:t xml:space="preserve"> </w:t>
      </w:r>
      <w:r>
        <w:rPr>
          <w:rFonts w:eastAsia="宋体" w:cs="Times New Roman"/>
          <w:szCs w:val="24"/>
        </w:rPr>
        <w:t>POI is one of the significant causes of female infertility. In addition to menstrual irregularities, hot flashes, vaginal dryness, and insomnia resulting from decreased ovarian function and inadequate hormone secretion, POI also presents potential risks such as sudden cardiovascular events, cognitive impairment, and decreased bone density. These risks constantly impact the quality of life for women.</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&lt;EndNote&gt;&lt;Cite&gt;&lt;Author&gt;Sophia Tsiligiannis&lt;/Author&gt;&lt;Year&gt;2019&lt;/Year&gt;&lt;RecNum&gt;76&lt;/RecNum&gt;&lt;DisplayText&gt;&lt;style face="superscript"&gt;4&lt;/style&gt;&lt;/DisplayText&gt;&lt;record&gt;&lt;rec-number&gt;76&lt;/rec-number&gt;&lt;foreign-keys&gt;&lt;key app="EN" db-id="0a0rwdw0csffz2eztr1vr020etf50fxwfav5" timestamp="1739803247" guid="d317aa68-c359-47c2-90be-05f07ac7d32a"&gt;76&lt;/key&gt;&lt;/foreign-keys&gt;&lt;ref-type name="Journal Article"&gt;17&lt;/ref-type&gt;&lt;contributors&gt;&lt;authors&gt;&lt;author&gt;Sophia Tsiligiannis, Nick Panay , John C Stevenson&lt;/author&gt;&lt;/authors&gt;&lt;/contributors&gt;&lt;titles&gt;&lt;title&gt;Premature Ovarian Insufficiency and Long-Term Health Consequencs&lt;/title&gt;&lt;secondary-title&gt;Current vascular pharmacology&lt;/secondary-title&gt;&lt;/titles&gt;&lt;periodical&gt;&lt;full-title&gt;Current vascular pharmacology&lt;/full-title&gt;&lt;/periodical&gt;&lt;pages&gt;604-9&lt;/pages&gt;&lt;volume&gt;17&lt;/volume&gt;&lt;number&gt;6&lt;/number&gt;&lt;dates&gt;&lt;year&gt;2019&lt;/year&gt;&lt;/dates&gt;&lt;isbn&gt;1875-6212&lt;/isbn&gt;&lt;urls&gt;&lt;related-urls&gt;&lt;url&gt;https://pubmed.ilibs.cn/30819073/&lt;/url&gt;&lt;/related-urls&gt;&lt;/urls&gt;&lt;electronic-resource-num&gt;10.2174/1570161117666190122101611&lt;/electronic-resource-num&gt;&lt;/record&gt;&lt;/Cite&gt;&lt;/EndNote&gt;</w:instrText>
      </w:r>
      <w:r>
        <w:rPr>
          <w:rFonts w:eastAsia="宋体" w:cs="Times New Roman"/>
          <w:szCs w:val="24"/>
        </w:rPr>
        <w:fldChar w:fldCharType="separate"/>
      </w:r>
      <w:r>
        <w:rPr>
          <w:rFonts w:eastAsia="宋体" w:cs="Times New Roman"/>
          <w:szCs w:val="24"/>
          <w:vertAlign w:val="superscript"/>
        </w:rPr>
        <w:t>4</w:t>
      </w:r>
      <w:r>
        <w:rPr>
          <w:rFonts w:eastAsia="宋体" w:cs="Times New Roman"/>
          <w:szCs w:val="24"/>
        </w:rPr>
        <w:fldChar w:fldCharType="end"/>
      </w:r>
    </w:p>
    <w:p w14:paraId="6C9C52C3">
      <w:pPr>
        <w:widowControl/>
        <w:spacing w:line="360" w:lineRule="auto"/>
        <w:jc w:val="left"/>
        <w:rPr>
          <w:rFonts w:eastAsia="宋体" w:cs="Times New Roman"/>
          <w:szCs w:val="24"/>
        </w:rPr>
      </w:pPr>
      <w:r>
        <w:rPr>
          <w:rFonts w:eastAsia="宋体" w:cs="Times New Roman"/>
          <w:szCs w:val="24"/>
        </w:rPr>
        <w:t xml:space="preserve">The pathogenesis of POI is currently unclear, </w:t>
      </w:r>
      <w:r>
        <w:rPr>
          <w:rFonts w:eastAsia="宋体" w:cs="Times New Roman"/>
          <w:color w:val="FF0000"/>
          <w:szCs w:val="24"/>
        </w:rPr>
        <w:t xml:space="preserve">but accumulating evidence suggests that autoimmune‑mediated inflammation plays a pivotal role; </w:t>
      </w:r>
      <w:r>
        <w:rPr>
          <w:rFonts w:eastAsia="宋体" w:cs="Times New Roman"/>
          <w:szCs w:val="24"/>
        </w:rPr>
        <w:t>approximately 30% of cases are associated with autoimmune disorders.</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&lt;EndNote&gt;&lt;Cite&gt;&lt;Author&gt;Jankowska&lt;/Author&gt;&lt;Year&gt;2017&lt;/Year&gt;&lt;RecNum&gt;30&lt;/RecNum&gt;&lt;DisplayText&gt;&lt;style face="superscript"&gt;5&lt;/style&gt;&lt;/DisplayText&gt;&lt;record&gt;&lt;rec-number&gt;30&lt;/rec-number&gt;&lt;foreign-keys&gt;&lt;key app="EN" db-id="0a0rwdw0csffz2eztr1vr020etf50fxwfav5" timestamp="1739803004" guid="3108c209-dd9f-4043-9c04-23cbe19ded1b"&gt;30&lt;/key&gt;&lt;/foreign-keys&gt;&lt;ref-type name="Journal Article"&gt;17&lt;/ref-type&gt;&lt;contributors&gt;&lt;authors&gt;&lt;author&gt;Katarzyna Jankowska&lt;/author&gt;&lt;/authors&gt;&lt;/contributors&gt;&lt;titles&gt;&lt;title&gt;Premature ovarian failure&lt;/title&gt;&lt;secondary-title&gt;Przeglad menopauzaly  Menopause review&lt;/secondary-title&gt;&lt;/titles&gt;&lt;periodical&gt;&lt;full-title&gt;Przeglad menopauzaly  Menopause review&lt;/full-title&gt;&lt;/periodical&gt;&lt;pages&gt;51-6&lt;/pages&gt;&lt;volume&gt;16&lt;/volume&gt;&lt;number&gt;2&lt;/number&gt;&lt;dates&gt;&lt;year&gt;2017&lt;/year&gt;&lt;/dates&gt;&lt;isbn&gt;1643-8876&lt;/isbn&gt;&lt;urls&gt;&lt;related-urls&gt;&lt;url&gt;https://pubmed.ilibs.cn/28721130/&lt;/url&gt;&lt;/related-urls&gt;&lt;/urls&gt;&lt;electronic-resource-num&gt;10.5114/pm.2017.68592&lt;/electronic-resource-num&gt;&lt;/record&gt;&lt;/Cite&gt;&lt;/EndNote&gt;</w:instrText>
      </w:r>
      <w:r>
        <w:rPr>
          <w:rFonts w:eastAsia="宋体" w:cs="Times New Roman"/>
          <w:szCs w:val="24"/>
        </w:rPr>
        <w:fldChar w:fldCharType="separate"/>
      </w:r>
      <w:r>
        <w:rPr>
          <w:rFonts w:eastAsia="宋体" w:cs="Times New Roman"/>
          <w:szCs w:val="24"/>
          <w:vertAlign w:val="superscript"/>
        </w:rPr>
        <w:t>5</w:t>
      </w:r>
      <w:r>
        <w:rPr>
          <w:rFonts w:eastAsia="宋体" w:cs="Times New Roman"/>
          <w:szCs w:val="24"/>
        </w:rPr>
        <w:fldChar w:fldCharType="end"/>
      </w:r>
      <w:r>
        <w:rPr>
          <w:rFonts w:eastAsia="宋体" w:cs="Times New Roman"/>
          <w:szCs w:val="24"/>
        </w:rPr>
        <w:t xml:space="preserve"> </w:t>
      </w:r>
      <w:r>
        <w:rPr>
          <w:rFonts w:hint="eastAsia" w:eastAsia="宋体" w:cs="Times New Roman"/>
          <w:szCs w:val="24"/>
        </w:rPr>
        <w:t>A</w:t>
      </w:r>
      <w:r>
        <w:rPr>
          <w:rFonts w:eastAsia="宋体" w:cs="Times New Roman"/>
          <w:szCs w:val="24"/>
        </w:rPr>
        <w:t>ntiovarian</w:t>
      </w:r>
      <w:r>
        <w:rPr>
          <w:rFonts w:hint="eastAsia" w:eastAsia="宋体" w:cs="Times New Roman"/>
          <w:szCs w:val="24"/>
        </w:rPr>
        <w:t xml:space="preserve"> </w:t>
      </w:r>
      <w:r>
        <w:rPr>
          <w:rFonts w:eastAsia="宋体" w:cs="Times New Roman"/>
          <w:szCs w:val="24"/>
        </w:rPr>
        <w:t>antibodies can be detected in 24% to 73% of patients with POI.</w:t>
      </w:r>
      <w:r>
        <w:rPr>
          <w:rFonts w:hint="eastAsia" w:eastAsia="宋体" w:cs="Times New Roman"/>
          <w:szCs w:val="24"/>
        </w:rPr>
        <w:t xml:space="preserve"> </w:t>
      </w:r>
      <w:r>
        <w:rPr>
          <w:rFonts w:eastAsia="宋体" w:cs="Times New Roman"/>
          <w:szCs w:val="24"/>
        </w:rPr>
        <w:t>Other antibodies with high detection rates in POI include anti-steroidogenic cell antibodies, anti-zona pellucida antibodies, anti-cardiolipin antibodies, anti-nuclear antibodies, and anti-adrenal cortex antibodies. However, further research is needed to determine their sensitivity and specificity.</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&lt;EndNote&gt;&lt;Cite&gt;&lt;Author&gt;Can Z&lt;/Author&gt;&lt;Year&gt;2023&lt;/Year&gt;&lt;RecNum&gt;75&lt;/RecNum&gt;&lt;DisplayText&gt;&lt;style face="superscript"&gt;6&lt;/style&gt;&lt;/DisplayText&gt;&lt;record&gt;&lt;rec-number&gt;75&lt;/rec-number&gt;&lt;foreign-keys&gt;&lt;key app="EN" db-id="0a0rwdw0csffz2eztr1vr020etf50fxwfav5" timestamp="1739803235" guid="6dac67fa-7a26-41cf-8389-52028b2992f3"&gt;75&lt;/key&gt;&lt;/foreign-keys&gt;&lt;ref-type name="Journal Article"&gt;17&lt;/ref-type&gt;&lt;contributors&gt;&lt;authors&gt;&lt;author&gt;Can Z, Wanting X, Nana H,  Qian Z&lt;/author&gt;&lt;/authors&gt;&lt;/contributors&gt;&lt;titles&gt;&lt;title&gt;Correlation between Premature Ovarian Insufficiency and Immunity and Its Clinical Research Progress&lt;/title&gt;&lt;secondary-title&gt;Chinese Archives Of Traditional Chinese Medicine&lt;/secondary-title&gt;&lt;/titles&gt;&lt;periodical&gt;&lt;full-title&gt;Chinese Archives Of Traditional Chinese Medicine&lt;/full-title&gt;&lt;/periodical&gt;&lt;pages&gt;111-4&lt;/pages&gt;&lt;volume&gt;41&lt;/volume&gt;&lt;number&gt;5&lt;/number&gt;&lt;dates&gt;&lt;year&gt;2023&lt;/year&gt;&lt;/dates&gt;&lt;urls&gt;&lt;/urls&gt;&lt;electronic-resource-num&gt;10.13193/j.issn.1673-7717.2023.05.026&lt;/electronic-resource-num&gt;&lt;/record&gt;&lt;/Cite&gt;&lt;/EndNote&gt;</w:instrText>
      </w:r>
      <w:r>
        <w:rPr>
          <w:rFonts w:eastAsia="宋体" w:cs="Times New Roman"/>
          <w:szCs w:val="24"/>
        </w:rPr>
        <w:fldChar w:fldCharType="separate"/>
      </w:r>
      <w:r>
        <w:rPr>
          <w:rFonts w:eastAsia="宋体" w:cs="Times New Roman"/>
          <w:szCs w:val="24"/>
          <w:vertAlign w:val="superscript"/>
        </w:rPr>
        <w:t>6</w:t>
      </w:r>
      <w:r>
        <w:rPr>
          <w:rFonts w:eastAsia="宋体" w:cs="Times New Roman"/>
          <w:szCs w:val="24"/>
        </w:rPr>
        <w:fldChar w:fldCharType="end"/>
      </w:r>
      <w:r>
        <w:rPr>
          <w:rFonts w:hint="eastAsia" w:eastAsia="宋体" w:cs="Times New Roman"/>
          <w:szCs w:val="24"/>
        </w:rPr>
        <w:t xml:space="preserve"> </w:t>
      </w:r>
      <w:r>
        <w:rPr>
          <w:rFonts w:eastAsia="宋体" w:cs="Times New Roman"/>
          <w:szCs w:val="24"/>
        </w:rPr>
        <w:t>ANAs refer to a group of autoantibodies that target various components of the cell nucleus.</w:t>
      </w:r>
      <w:r>
        <w:rPr>
          <w:rFonts w:hint="eastAsia" w:eastAsia="宋体" w:cs="Times New Roman"/>
          <w:szCs w:val="24"/>
        </w:rPr>
        <w:t xml:space="preserve"> </w:t>
      </w:r>
      <w:r>
        <w:rPr>
          <w:rFonts w:eastAsia="宋体" w:cs="Times New Roman"/>
          <w:szCs w:val="24"/>
        </w:rPr>
        <w:t>Persistent positive or high titers of ANA often indicate certain autoimmune diseases</w:t>
      </w:r>
      <w:r>
        <w:rPr>
          <w:rStyle w:val="15"/>
          <w:rFonts w:eastAsia="宋体" w:cs="Times New Roman"/>
          <w:szCs w:val="24"/>
          <w:vertAlign w:val="baseline"/>
        </w:rPr>
        <w:t>.</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&lt;EndNote&gt;&lt;Cite&gt;&lt;Author&gt;WuShu&lt;/Author&gt;&lt;Year&gt;1994&lt;/Year&gt;&lt;RecNum&gt;39&lt;/RecNum&gt;&lt;DisplayText&gt;&lt;style face="superscript"&gt;7&lt;/style&gt;&lt;/DisplayText&gt;&lt;record&gt;&lt;rec-number&gt;39&lt;/rec-number&gt;&lt;foreign-keys&gt;&lt;key app="EN" db-id="0a0rwdw0csffz2eztr1vr020etf50fxwfav5" timestamp="1739803117" guid="53c09d33-5be8-4d2b-8f3c-d6fe179dcce1"&gt;39&lt;/key&gt;&lt;/foreign-keys&gt;&lt;ref-type name="Journal Article"&gt;17&lt;/ref-type&gt;&lt;contributors&gt;&lt;authors&gt;&lt;author&gt;Z WuShu&lt;/author&gt;&lt;/authors&gt;&lt;/contributors&gt;&lt;titles&gt;&lt;title&gt;Modern Clinical Immunology&lt;/title&gt;&lt;secondary-title&gt;People&amp;apos;s Medical Officer Press&lt;/secondary-title&gt;&lt;/titles&gt;&lt;periodical&gt;&lt;full-title&gt;People&amp;apos;s Medical Officer Press&lt;/full-title&gt;&lt;/periodical&gt;&lt;dates&gt;&lt;year&gt;1994&lt;/year&gt;&lt;/dates&gt;&lt;urls&gt;&lt;/urls&gt;&lt;/record&gt;&lt;/Cite&gt;&lt;/EndNote&gt;</w:instrText>
      </w:r>
      <w:r>
        <w:rPr>
          <w:rFonts w:eastAsia="宋体" w:cs="Times New Roman"/>
          <w:szCs w:val="24"/>
        </w:rPr>
        <w:fldChar w:fldCharType="separate"/>
      </w:r>
      <w:r>
        <w:rPr>
          <w:rFonts w:eastAsia="宋体" w:cs="Times New Roman"/>
          <w:szCs w:val="24"/>
          <w:vertAlign w:val="superscript"/>
        </w:rPr>
        <w:t>7</w:t>
      </w:r>
      <w:r>
        <w:rPr>
          <w:rFonts w:eastAsia="宋体" w:cs="Times New Roman"/>
          <w:szCs w:val="24"/>
        </w:rPr>
        <w:fldChar w:fldCharType="end"/>
      </w:r>
      <w:r>
        <w:rPr>
          <w:rStyle w:val="15"/>
          <w:rFonts w:eastAsia="宋体" w:cs="Times New Roman"/>
          <w:szCs w:val="24"/>
          <w:vertAlign w:val="baseline"/>
        </w:rPr>
        <w:t xml:space="preserve"> </w:t>
      </w:r>
      <w:r>
        <w:rPr>
          <w:rFonts w:eastAsia="宋体" w:cs="Times New Roman"/>
          <w:szCs w:val="24"/>
        </w:rPr>
        <w:t xml:space="preserve">Therefore, ANA is often used to detect the status of autoimmune responses. </w:t>
      </w:r>
      <w:r>
        <w:rPr>
          <w:rFonts w:eastAsia="宋体" w:cs="Times New Roman"/>
          <w:color w:val="FF0000"/>
          <w:szCs w:val="24"/>
        </w:rPr>
        <w:t>Recent experimental data indicate that ANA‑associated immune complexes can activate complement and cytokine cascades (e.g., IL‑6, TNF‑α), potentially accelerating follicular depletion and functional decline.</w:t>
      </w:r>
      <w:r>
        <w:t xml:space="preserve"> </w:t>
      </w:r>
      <w:r>
        <w:rPr>
          <w:rFonts w:eastAsia="宋体" w:cs="Times New Roman"/>
          <w:color w:val="FF0000"/>
          <w:szCs w:val="24"/>
        </w:rPr>
        <w:fldChar w:fldCharType="begin">
          <w:fldData xml:space="preserve">PEVuZE5vdGU+PENpdGU+PEF1dGhvcj5ZYWRhdjwvQXV0aG9yPjxZZWFyPjIwMjM8L1llYXI+PFJl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</w:fldData>
        </w:fldChar>
      </w:r>
      <w:r>
        <w:rPr>
          <w:rFonts w:eastAsia="宋体" w:cs="Times New Roman"/>
          <w:color w:val="FF0000"/>
          <w:szCs w:val="24"/>
        </w:rPr>
        <w:instrText xml:space="preserve"> ADDIN EN.CITE </w:instrText>
      </w:r>
      <w:r>
        <w:rPr>
          <w:rFonts w:eastAsia="宋体" w:cs="Times New Roman"/>
          <w:color w:val="FF0000"/>
          <w:szCs w:val="24"/>
        </w:rPr>
        <w:fldChar w:fldCharType="begin">
          <w:fldData xml:space="preserve">PEVuZE5vdGU+PENpdGU+PEF1dGhvcj5ZYWRhdjwvQXV0aG9yPjxZZWFyPjIwMjM8L1llYXI+PFJl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</w:fldData>
        </w:fldChar>
      </w:r>
      <w:r>
        <w:rPr>
          <w:rFonts w:eastAsia="宋体" w:cs="Times New Roman"/>
          <w:color w:val="FF0000"/>
          <w:szCs w:val="24"/>
        </w:rPr>
        <w:instrText xml:space="preserve"> ADDIN EN.CITE.DATA </w:instrText>
      </w:r>
      <w:r>
        <w:rPr>
          <w:rFonts w:eastAsia="宋体" w:cs="Times New Roman"/>
          <w:color w:val="FF0000"/>
          <w:szCs w:val="24"/>
        </w:rPr>
        <w:fldChar w:fldCharType="end"/>
      </w:r>
      <w:r>
        <w:rPr>
          <w:rFonts w:eastAsia="宋体" w:cs="Times New Roman"/>
          <w:color w:val="FF0000"/>
          <w:szCs w:val="24"/>
        </w:rPr>
        <w:fldChar w:fldCharType="separate"/>
      </w:r>
      <w:r>
        <w:rPr>
          <w:rFonts w:eastAsia="宋体" w:cs="Times New Roman"/>
          <w:color w:val="FF0000"/>
          <w:szCs w:val="24"/>
          <w:vertAlign w:val="superscript"/>
        </w:rPr>
        <w:t>8</w:t>
      </w:r>
      <w:r>
        <w:rPr>
          <w:rFonts w:eastAsia="宋体" w:cs="Times New Roman"/>
          <w:color w:val="FF0000"/>
          <w:szCs w:val="24"/>
        </w:rPr>
        <w:fldChar w:fldCharType="end"/>
      </w:r>
      <w:r>
        <w:rPr>
          <w:rFonts w:hint="eastAsia" w:eastAsia="宋体" w:cs="Times New Roman"/>
          <w:color w:val="FF0000"/>
          <w:szCs w:val="24"/>
        </w:rPr>
        <w:t xml:space="preserve"> </w:t>
      </w:r>
      <w:r>
        <w:rPr>
          <w:rFonts w:eastAsia="宋体" w:cs="Times New Roman"/>
          <w:color w:val="C00000"/>
          <w:szCs w:val="24"/>
        </w:rPr>
        <w:t>In early studies, numerous cross-sectional studies targeting POI have indicated that patients with premature ovarian failure more commonly test positive for ANA compared to the general adult population.</w:t>
      </w:r>
      <w:r>
        <w:rPr>
          <w:rFonts w:hint="eastAsia"/>
          <w:color w:val="C00000"/>
        </w:rPr>
        <w:t xml:space="preserve"> </w:t>
      </w:r>
      <w:r>
        <w:rPr>
          <w:rFonts w:eastAsia="宋体" w:cs="Times New Roman"/>
          <w:color w:val="C00000"/>
          <w:szCs w:val="24"/>
        </w:rPr>
        <w:fldChar w:fldCharType="begin">
          <w:fldData xml:space="preserve">PEVuZE5vdGU+PENpdGU+PEF1dGhvcj5NIEggTWlnbm90PC9BdXRob3I+PFllYXI+MTk4OTwvWWVh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</w:fldData>
        </w:fldChar>
      </w:r>
      <w:r>
        <w:rPr>
          <w:rFonts w:eastAsia="宋体" w:cs="Times New Roman"/>
          <w:color w:val="C00000"/>
          <w:szCs w:val="24"/>
        </w:rPr>
        <w:instrText xml:space="preserve"> ADDIN EN.CITE </w:instrText>
      </w:r>
      <w:r>
        <w:rPr>
          <w:rFonts w:eastAsia="宋体" w:cs="Times New Roman"/>
          <w:color w:val="C00000"/>
          <w:szCs w:val="24"/>
        </w:rPr>
        <w:fldChar w:fldCharType="begin">
          <w:fldData xml:space="preserve">PEVuZE5vdGU+PENpdGU+PEF1dGhvcj5NIEggTWlnbm90PC9BdXRob3I+PFllYXI+MTk4OTwvWWVh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</w:fldData>
        </w:fldChar>
      </w:r>
      <w:r>
        <w:rPr>
          <w:rFonts w:eastAsia="宋体" w:cs="Times New Roman"/>
          <w:color w:val="C00000"/>
          <w:szCs w:val="24"/>
        </w:rPr>
        <w:instrText xml:space="preserve"> ADDIN EN.CITE.DATA </w:instrText>
      </w:r>
      <w:r>
        <w:rPr>
          <w:rFonts w:eastAsia="宋体" w:cs="Times New Roman"/>
          <w:color w:val="C00000"/>
          <w:szCs w:val="24"/>
        </w:rPr>
        <w:fldChar w:fldCharType="end"/>
      </w:r>
      <w:r>
        <w:rPr>
          <w:rFonts w:eastAsia="宋体" w:cs="Times New Roman"/>
          <w:color w:val="C00000"/>
          <w:szCs w:val="24"/>
        </w:rPr>
        <w:fldChar w:fldCharType="separate"/>
      </w:r>
      <w:r>
        <w:rPr>
          <w:rFonts w:eastAsia="宋体" w:cs="Times New Roman"/>
          <w:color w:val="C00000"/>
          <w:szCs w:val="24"/>
          <w:vertAlign w:val="superscript"/>
        </w:rPr>
        <w:t>9,10</w:t>
      </w:r>
      <w:r>
        <w:rPr>
          <w:rFonts w:eastAsia="宋体" w:cs="Times New Roman"/>
          <w:color w:val="C00000"/>
          <w:szCs w:val="24"/>
        </w:rPr>
        <w:fldChar w:fldCharType="end"/>
      </w:r>
      <w:r>
        <w:rPr>
          <w:rFonts w:eastAsia="宋体" w:cs="Times New Roman"/>
          <w:color w:val="C00000"/>
          <w:szCs w:val="24"/>
        </w:rPr>
        <w:t xml:space="preserve"> Some researchers have found that the rate of positive ANA is reported to be between 42% and 77% among women with POI who have normal chromosomes</w:t>
      </w:r>
      <w:r>
        <w:rPr>
          <w:rStyle w:val="15"/>
          <w:rFonts w:eastAsia="宋体" w:cs="Times New Roman"/>
          <w:color w:val="C00000"/>
          <w:szCs w:val="24"/>
          <w:vertAlign w:val="baseline"/>
        </w:rPr>
        <w:t>.</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&lt;EndNote&gt;&lt;Cite&gt;&lt;Author&gt;Ellen Heitzer&lt;/Author&gt;&lt;Year&gt;2013&lt;/Year&gt;&lt;RecNum&gt;78&lt;/RecNum&gt;&lt;DisplayText&gt;&lt;style face="superscript"&gt;11&lt;/style&gt;&lt;/DisplayText&gt;&lt;record&gt;&lt;rec-number&gt;78&lt;/rec-number&gt;&lt;foreign-keys&gt;&lt;key app="EN" db-id="0a0rwdw0csffz2eztr1vr020etf50fxwfav5" timestamp="1739803247" guid="37d97b2e-52ba-436f-9201-5103065c1da0"&gt;78&lt;/key&gt;&lt;/foreign-keys&gt;&lt;ref-type name="Journal Article"&gt;17&lt;/ref-type&gt;&lt;contributors&gt;&lt;authors&gt;&lt;author&gt;Ellen Heitzer, Peter Ulz, Jelena Belic, Stefan Gutschi, Franz Quehenberger, Katja Fischereder, et al&lt;/author&gt;&lt;/authors&gt;&lt;/contributors&gt;&lt;titles&gt;&lt;title&gt;Tumor-associated copy number changes in the circulation of patients with prostate cancer identified through whole-genome sequencing&lt;/title&gt;&lt;secondary-title&gt;Genome medicine&lt;/secondary-title&gt;&lt;/titles&gt;&lt;periodical&gt;&lt;full-title&gt;Genome medicine&lt;/full-title&gt;&lt;/periodical&gt;&lt;pages&gt;30&lt;/pages&gt;&lt;volume&gt;5&lt;/volume&gt;&lt;number&gt;4&lt;/number&gt;&lt;dates&gt;&lt;year&gt;2013&lt;/year&gt;&lt;/dates&gt;&lt;isbn&gt;1756-994X&lt;/isbn&gt;&lt;urls&gt;&lt;related-urls&gt;&lt;url&gt;https://pubmed.ncbi.nlm.nih.gov/23561577/&lt;/url&gt;&lt;/related-urls&gt;&lt;/urls&gt;&lt;electronic-resource-num&gt;10.1186/gm434&lt;/electronic-resource-num&gt;&lt;/record&gt;&lt;/Cite&gt;&lt;/EndNote&gt;</w:instrText>
      </w:r>
      <w:r>
        <w:rPr>
          <w:rFonts w:eastAsia="宋体" w:cs="Times New Roman"/>
          <w:szCs w:val="24"/>
        </w:rPr>
        <w:fldChar w:fldCharType="separate"/>
      </w:r>
      <w:r>
        <w:rPr>
          <w:rFonts w:eastAsia="宋体" w:cs="Times New Roman"/>
          <w:szCs w:val="24"/>
          <w:vertAlign w:val="superscript"/>
        </w:rPr>
        <w:t>11</w:t>
      </w:r>
      <w:r>
        <w:rPr>
          <w:rFonts w:eastAsia="宋体" w:cs="Times New Roman"/>
          <w:szCs w:val="24"/>
        </w:rPr>
        <w:fldChar w:fldCharType="end"/>
      </w:r>
      <w:r>
        <w:rPr>
          <w:rStyle w:val="15"/>
          <w:rFonts w:eastAsia="宋体" w:cs="Times New Roman"/>
          <w:szCs w:val="24"/>
          <w:vertAlign w:val="baseline"/>
        </w:rPr>
        <w:t xml:space="preserve"> </w:t>
      </w:r>
      <w:r>
        <w:rPr>
          <w:rFonts w:eastAsia="宋体" w:cs="Times New Roman"/>
          <w:szCs w:val="24"/>
        </w:rPr>
        <w:t>A similar result was also found in a study where, following a micro-laparoscopy examination, the rate of positive ANA showed an increasing trend as the ovarian morphology approached normal</w:t>
      </w:r>
      <w:r>
        <w:rPr>
          <w:rStyle w:val="15"/>
          <w:rFonts w:eastAsia="宋体" w:cs="Times New Roman"/>
          <w:szCs w:val="24"/>
          <w:vertAlign w:val="baseline"/>
        </w:rPr>
        <w:t>.</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&lt;EndNote&gt;&lt;Cite&gt;&lt;Author&gt;Noriko Abe&lt;/Author&gt;&lt;Year&gt;2006&lt;/Year&gt;&lt;RecNum&gt;31&lt;/RecNum&gt;&lt;DisplayText&gt;&lt;style face="superscript"&gt;12&lt;/style&gt;&lt;/DisplayText&gt;&lt;record&gt;&lt;rec-number&gt;31&lt;/rec-number&gt;&lt;foreign-keys&gt;&lt;key app="EN" db-id="0a0rwdw0csffz2eztr1vr020etf50fxwfav5" timestamp="1739803008" guid="8f7fd657-0cc3-4fbb-8cd6-eb9c3adbb708"&gt;31&lt;/key&gt;&lt;/foreign-keys&gt;&lt;ref-type name="Journal Article"&gt;17&lt;/ref-type&gt;&lt;contributors&gt;&lt;authors&gt;&lt;author&gt;Noriko Abe, Hiroyuki Takeuchi, Iwaho Kikuchi, Katsuyuki Kinoshita&lt;/author&gt;&lt;/authors&gt;&lt;/contributors&gt;&lt;titles&gt;&lt;title&gt;Effectiveness of microlaparoscopy in the diagnosis of premature ovarian failure&lt;/title&gt;&lt;secondary-title&gt;The journal of obstetrics and gynaecology research&lt;/secondary-title&gt;&lt;/titles&gt;&lt;periodical&gt;&lt;full-title&gt;The journal of obstetrics and gynaecology research&lt;/full-title&gt;&lt;/periodical&gt;&lt;pages&gt;224-9&lt;/pages&gt;&lt;volume&gt;32&lt;/volume&gt;&lt;number&gt;2&lt;/number&gt;&lt;dates&gt;&lt;year&gt;2006&lt;/year&gt;&lt;/dates&gt;&lt;isbn&gt;1341-8076&lt;/isbn&gt;&lt;urls&gt;&lt;related-urls&gt;&lt;url&gt;https://pubmed.ncbi.nlm.nih.gov/16594929/&lt;/url&gt;&lt;/related-urls&gt;&lt;/urls&gt;&lt;electronic-resource-num&gt;10.1111/j.1447-0756.2006.00375.x&lt;/electronic-resource-num&gt;&lt;/record&gt;&lt;/Cite&gt;&lt;/EndNote&gt;</w:instrText>
      </w:r>
      <w:r>
        <w:rPr>
          <w:rFonts w:eastAsia="宋体" w:cs="Times New Roman"/>
          <w:szCs w:val="24"/>
        </w:rPr>
        <w:fldChar w:fldCharType="separate"/>
      </w:r>
      <w:r>
        <w:rPr>
          <w:rFonts w:eastAsia="宋体" w:cs="Times New Roman"/>
          <w:szCs w:val="24"/>
          <w:vertAlign w:val="superscript"/>
        </w:rPr>
        <w:t>12</w:t>
      </w:r>
      <w:r>
        <w:rPr>
          <w:rFonts w:eastAsia="宋体" w:cs="Times New Roman"/>
          <w:szCs w:val="24"/>
        </w:rPr>
        <w:fldChar w:fldCharType="end"/>
      </w:r>
      <w:r>
        <w:rPr>
          <w:rStyle w:val="15"/>
          <w:rFonts w:eastAsia="宋体" w:cs="Times New Roman"/>
          <w:szCs w:val="24"/>
          <w:vertAlign w:val="baseline"/>
        </w:rPr>
        <w:t xml:space="preserve"> </w:t>
      </w:r>
      <w:r>
        <w:rPr>
          <w:rFonts w:eastAsia="宋体" w:cs="Times New Roman"/>
          <w:szCs w:val="24"/>
        </w:rPr>
        <w:t>Multiple studies have indicated that there is a certain association between ANA and non-genetic factors in the development of POI.</w:t>
      </w:r>
      <w:r>
        <w:rPr>
          <w:rFonts w:hint="eastAsia"/>
        </w:rPr>
        <w:t xml:space="preserve"> </w:t>
      </w:r>
      <w:r>
        <w:rPr>
          <w:rFonts w:eastAsia="宋体" w:cs="Times New Roman"/>
          <w:szCs w:val="24"/>
        </w:rPr>
        <w:fldChar w:fldCharType="begin">
          <w:fldData xml:space="preserve">PEVuZE5vdGU+PENpdGU+PEF1dGhvcj5CZW5pdGEgR3Jvc3NtYW5uPC9BdXRob3I+PFllYXI+MjAy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</w:fldData>
        </w:fldChar>
      </w:r>
      <w:r>
        <w:rPr>
          <w:rFonts w:eastAsia="宋体" w:cs="Times New Roman"/>
          <w:szCs w:val="24"/>
        </w:rPr>
        <w:instrText xml:space="preserve"> ADDIN EN.CITE </w:instrText>
      </w:r>
      <w:r>
        <w:rPr>
          <w:rFonts w:eastAsia="宋体" w:cs="Times New Roman"/>
          <w:szCs w:val="24"/>
        </w:rPr>
        <w:fldChar w:fldCharType="begin">
          <w:fldData xml:space="preserve">PEVuZE5vdGU+PENpdGU+PEF1dGhvcj5CZW5pdGEgR3Jvc3NtYW5uPC9BdXRob3I+PFllYXI+MjAy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</w:fldData>
        </w:fldChar>
      </w:r>
      <w:r>
        <w:rPr>
          <w:rFonts w:eastAsia="宋体" w:cs="Times New Roman"/>
          <w:szCs w:val="24"/>
        </w:rPr>
        <w:instrText xml:space="preserve"> ADDIN EN.CITE.DATA </w:instrText>
      </w:r>
      <w:r>
        <w:rPr>
          <w:rFonts w:eastAsia="宋体" w:cs="Times New Roman"/>
          <w:szCs w:val="24"/>
        </w:rPr>
        <w:fldChar w:fldCharType="end"/>
      </w:r>
      <w:r>
        <w:rPr>
          <w:rFonts w:eastAsia="宋体" w:cs="Times New Roman"/>
          <w:szCs w:val="24"/>
        </w:rPr>
        <w:fldChar w:fldCharType="separate"/>
      </w:r>
      <w:r>
        <w:rPr>
          <w:rFonts w:eastAsia="宋体" w:cs="Times New Roman"/>
          <w:szCs w:val="24"/>
          <w:vertAlign w:val="superscript"/>
        </w:rPr>
        <w:t>13-15</w:t>
      </w:r>
      <w:r>
        <w:rPr>
          <w:rFonts w:eastAsia="宋体" w:cs="Times New Roman"/>
          <w:szCs w:val="24"/>
        </w:rPr>
        <w:fldChar w:fldCharType="end"/>
      </w:r>
      <w:r>
        <w:rPr>
          <w:rFonts w:eastAsia="宋体" w:cs="Times New Roman"/>
          <w:szCs w:val="24"/>
        </w:rPr>
        <w:t xml:space="preserve"> However, there are also several clinical research findings that indicate no significant difference in the rate of positive ANA between patients with POI and healthy control groups.</w:t>
      </w:r>
      <w:r>
        <w:rPr>
          <w:rFonts w:hint="eastAsia"/>
        </w:rPr>
        <w:t xml:space="preserve"> </w:t>
      </w:r>
      <w:r>
        <w:rPr>
          <w:rFonts w:eastAsia="宋体" w:cs="Times New Roman"/>
          <w:szCs w:val="24"/>
        </w:rPr>
        <w:fldChar w:fldCharType="begin">
          <w:fldData xml:space="preserve">PEVuZE5vdGU+PENpdGU+PEF1dGhvcj5SIEtpcnNvcDwvQXV0aG9yPjxZZWFyPjE5OTE8L1llYXI+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</w:fldData>
        </w:fldChar>
      </w:r>
      <w:r>
        <w:rPr>
          <w:rFonts w:eastAsia="宋体" w:cs="Times New Roman"/>
          <w:szCs w:val="24"/>
        </w:rPr>
        <w:instrText xml:space="preserve"> ADDIN EN.CITE </w:instrText>
      </w:r>
      <w:r>
        <w:rPr>
          <w:rFonts w:eastAsia="宋体" w:cs="Times New Roman"/>
          <w:szCs w:val="24"/>
        </w:rPr>
        <w:fldChar w:fldCharType="begin">
          <w:fldData xml:space="preserve">PEVuZE5vdGU+PENpdGU+PEF1dGhvcj5SIEtpcnNvcDwvQXV0aG9yPjxZZWFyPjE5OTE8L1llYXI+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</w:fldData>
        </w:fldChar>
      </w:r>
      <w:r>
        <w:rPr>
          <w:rFonts w:eastAsia="宋体" w:cs="Times New Roman"/>
          <w:szCs w:val="24"/>
        </w:rPr>
        <w:instrText xml:space="preserve"> ADDIN EN.CITE.DATA </w:instrText>
      </w:r>
      <w:r>
        <w:rPr>
          <w:rFonts w:eastAsia="宋体" w:cs="Times New Roman"/>
          <w:szCs w:val="24"/>
        </w:rPr>
        <w:fldChar w:fldCharType="end"/>
      </w:r>
      <w:r>
        <w:rPr>
          <w:rFonts w:eastAsia="宋体" w:cs="Times New Roman"/>
          <w:szCs w:val="24"/>
        </w:rPr>
        <w:fldChar w:fldCharType="separate"/>
      </w:r>
      <w:r>
        <w:rPr>
          <w:rFonts w:eastAsia="宋体" w:cs="Times New Roman"/>
          <w:szCs w:val="24"/>
          <w:vertAlign w:val="superscript"/>
        </w:rPr>
        <w:t>16-18</w:t>
      </w:r>
      <w:r>
        <w:rPr>
          <w:rFonts w:eastAsia="宋体" w:cs="Times New Roman"/>
          <w:szCs w:val="24"/>
        </w:rPr>
        <w:fldChar w:fldCharType="end"/>
      </w:r>
      <w:r>
        <w:rPr>
          <w:rFonts w:eastAsia="宋体" w:cs="Times New Roman"/>
          <w:szCs w:val="24"/>
        </w:rPr>
        <w:t xml:space="preserve"> This discrepancy may be due to variations in the methods of ANA detection, thresholds, and criteria for determining positivity across different studies, as well as differences in the selection of populations for testing and control groups.</w:t>
      </w:r>
    </w:p>
    <w:p w14:paraId="1B862A4B">
      <w:pPr>
        <w:spacing w:line="360" w:lineRule="auto"/>
        <w:rPr>
          <w:rFonts w:eastAsia="宋体" w:cs="Times New Roman"/>
          <w:b/>
          <w:bCs/>
          <w:szCs w:val="24"/>
        </w:rPr>
      </w:pPr>
      <w:r>
        <w:rPr>
          <w:rFonts w:eastAsia="宋体" w:cs="Times New Roman"/>
          <w:szCs w:val="24"/>
        </w:rPr>
        <w:t>Given the discrepancies in these research findings, we conducted a meta-analysis to evaluate the association between the rate of positive ANA and the development of POI.</w:t>
      </w:r>
      <w:r>
        <w:rPr>
          <w:rFonts w:hint="eastAsia" w:eastAsia="宋体" w:cs="Times New Roman"/>
          <w:szCs w:val="24"/>
        </w:rPr>
        <w:t xml:space="preserve"> </w:t>
      </w:r>
      <w:r>
        <w:rPr>
          <w:rFonts w:eastAsia="宋体" w:cs="Times New Roman"/>
          <w:szCs w:val="24"/>
        </w:rPr>
        <w:t xml:space="preserve">This study aims to </w:t>
      </w:r>
      <w:r>
        <w:rPr>
          <w:rFonts w:hint="eastAsia" w:eastAsia="宋体" w:cs="Times New Roman"/>
          <w:szCs w:val="24"/>
        </w:rPr>
        <w:t>(</w:t>
      </w:r>
      <w:r>
        <w:rPr>
          <w:rFonts w:eastAsia="宋体" w:cs="Times New Roman"/>
          <w:szCs w:val="24"/>
        </w:rPr>
        <w:t>1</w:t>
      </w:r>
      <w:r>
        <w:rPr>
          <w:rFonts w:hint="eastAsia" w:eastAsia="宋体" w:cs="Times New Roman"/>
          <w:szCs w:val="24"/>
        </w:rPr>
        <w:t xml:space="preserve">) </w:t>
      </w:r>
      <w:r>
        <w:rPr>
          <w:rFonts w:eastAsia="宋体" w:cs="Times New Roman"/>
          <w:szCs w:val="24"/>
        </w:rPr>
        <w:t xml:space="preserve">compare the rate of positive ANA between patients with POI and the control group, </w:t>
      </w:r>
      <w:r>
        <w:rPr>
          <w:rFonts w:hint="eastAsia" w:eastAsia="宋体" w:cs="Times New Roman"/>
          <w:szCs w:val="24"/>
        </w:rPr>
        <w:t>(</w:t>
      </w:r>
      <w:r>
        <w:rPr>
          <w:rFonts w:eastAsia="宋体" w:cs="Times New Roman"/>
          <w:szCs w:val="24"/>
        </w:rPr>
        <w:t>2</w:t>
      </w:r>
      <w:r>
        <w:rPr>
          <w:rFonts w:hint="eastAsia" w:eastAsia="宋体" w:cs="Times New Roman"/>
          <w:szCs w:val="24"/>
        </w:rPr>
        <w:t xml:space="preserve">) </w:t>
      </w:r>
      <w:r>
        <w:rPr>
          <w:rFonts w:eastAsia="宋体" w:cs="Times New Roman"/>
          <w:szCs w:val="24"/>
        </w:rPr>
        <w:t xml:space="preserve">explore the consistency of the domain results among all of the potential factors. </w:t>
      </w:r>
      <w:r>
        <w:rPr>
          <w:rFonts w:eastAsia="宋体" w:cs="Times New Roman"/>
          <w:color w:val="FF0000"/>
          <w:szCs w:val="24"/>
        </w:rPr>
        <w:t>By clarifying whether ANA‑reflected inflammation is linked to POI,</w:t>
      </w:r>
      <w:r>
        <w:rPr>
          <w:rFonts w:hint="eastAsia" w:eastAsia="宋体" w:cs="Times New Roman"/>
          <w:color w:val="FF0000"/>
          <w:szCs w:val="24"/>
        </w:rPr>
        <w:t xml:space="preserve"> </w:t>
      </w:r>
      <w:r>
        <w:rPr>
          <w:rFonts w:eastAsia="宋体" w:cs="Times New Roman"/>
          <w:szCs w:val="24"/>
        </w:rPr>
        <w:t>this study aims to provide recommendations for research standards regarding ANA detection methods, study populations, and control groups in further clinical research on patients with POI.</w:t>
      </w:r>
    </w:p>
    <w:p w14:paraId="5CA66C46">
      <w:pPr>
        <w:spacing w:line="360" w:lineRule="auto"/>
        <w:rPr>
          <w:rFonts w:eastAsia="宋体" w:cs="Times New Roman"/>
          <w:b/>
          <w:bCs/>
          <w:szCs w:val="24"/>
        </w:rPr>
      </w:pPr>
    </w:p>
    <w:p w14:paraId="0511496E">
      <w:pPr>
        <w:spacing w:line="360" w:lineRule="auto"/>
        <w:rPr>
          <w:rFonts w:cs="Times New Roman"/>
          <w:b/>
          <w:bCs/>
          <w:szCs w:val="24"/>
        </w:rPr>
      </w:pPr>
      <w:r>
        <w:rPr>
          <w:rFonts w:cs="Times New Roman"/>
          <w:b/>
          <w:bCs/>
          <w:szCs w:val="24"/>
        </w:rPr>
        <w:t>METHODS</w:t>
      </w:r>
    </w:p>
    <w:p w14:paraId="033AADB2">
      <w:pPr>
        <w:spacing w:line="360" w:lineRule="auto"/>
        <w:rPr>
          <w:rFonts w:eastAsia="宋体" w:cs="Times New Roman"/>
          <w:szCs w:val="24"/>
        </w:rPr>
      </w:pPr>
      <w:r>
        <w:rPr>
          <w:rFonts w:eastAsia="宋体" w:cs="Times New Roman"/>
          <w:szCs w:val="24"/>
        </w:rPr>
        <w:t>This meta-analysis followed the Preferred Reporting Items for Systematic Reviews and Meta-analyses (PRISMA) reporting guideline</w:t>
      </w:r>
      <w:r>
        <w:rPr>
          <w:rFonts w:hint="eastAsia" w:eastAsia="宋体" w:cs="Times New Roman"/>
          <w:color w:val="FF0000"/>
          <w:szCs w:val="24"/>
        </w:rPr>
        <w:t xml:space="preserve"> (Supplementary file 1)</w:t>
      </w:r>
      <w:r>
        <w:rPr>
          <w:rFonts w:eastAsia="宋体" w:cs="Times New Roman"/>
          <w:szCs w:val="24"/>
        </w:rPr>
        <w:t>. This study has been prospectively registered at PROSPERO</w:t>
      </w:r>
      <w:r>
        <w:rPr>
          <w:rFonts w:hint="eastAsia" w:eastAsia="宋体" w:cs="Times New Roman"/>
          <w:szCs w:val="24"/>
        </w:rPr>
        <w:t xml:space="preserve"> </w:t>
      </w:r>
      <w:r>
        <w:rPr>
          <w:rFonts w:eastAsia="宋体" w:cs="Times New Roman"/>
          <w:szCs w:val="24"/>
        </w:rPr>
        <w:t>(CRD42023401002)。</w:t>
      </w:r>
    </w:p>
    <w:p w14:paraId="0FC1F31F">
      <w:pPr>
        <w:spacing w:line="360" w:lineRule="auto"/>
        <w:rPr>
          <w:rFonts w:eastAsia="宋体" w:cs="Times New Roman"/>
          <w:b/>
          <w:bCs/>
          <w:i/>
          <w:iCs/>
          <w:szCs w:val="24"/>
        </w:rPr>
      </w:pPr>
      <w:r>
        <w:rPr>
          <w:rFonts w:hint="eastAsia" w:eastAsia="宋体" w:cs="Times New Roman"/>
          <w:b/>
          <w:bCs/>
          <w:i/>
          <w:iCs/>
          <w:szCs w:val="24"/>
        </w:rPr>
        <w:t>Search Strategy</w:t>
      </w:r>
    </w:p>
    <w:p w14:paraId="7D2649FF">
      <w:pPr>
        <w:spacing w:line="360" w:lineRule="auto"/>
        <w:rPr>
          <w:rFonts w:eastAsia="宋体" w:cs="Times New Roman"/>
          <w:szCs w:val="24"/>
        </w:rPr>
      </w:pPr>
      <w:r>
        <w:rPr>
          <w:rFonts w:eastAsia="宋体" w:cs="Times New Roman"/>
          <w:szCs w:val="24"/>
        </w:rPr>
        <w:t xml:space="preserve">We used the combination of Medical Subject Headings (MeSH) and free-text terms (and their variants): The keywords “antibodies, antinuclear”, “antinuclear, antinuclear antibodies”, “antibody antinuclear”, “primary ovarian insufficiency”, “premature ovarian failure”, “ovarian aging” were used to search PubMed, EMBASE, Cochrane library, CNKI, VIP Periodical, WanFang Data up to </w:t>
      </w:r>
      <w:r>
        <w:rPr>
          <w:rFonts w:hint="eastAsia" w:eastAsia="宋体" w:cs="Times New Roman"/>
          <w:szCs w:val="24"/>
        </w:rPr>
        <w:t>August</w:t>
      </w:r>
      <w:r>
        <w:rPr>
          <w:rFonts w:eastAsia="宋体" w:cs="Times New Roman"/>
          <w:szCs w:val="24"/>
        </w:rPr>
        <w:t xml:space="preserve"> 2024 to identify eligible studies. </w:t>
      </w:r>
      <w:r>
        <w:rPr>
          <w:rFonts w:eastAsia="宋体" w:cs="Times New Roman"/>
          <w:color w:val="000000" w:themeColor="text1"/>
          <w:szCs w:val="24"/>
          <w:highlight w:val="none"/>
          <w14:textFill>
            <w14:solidFill>
              <w14:schemeClr w14:val="tx1"/>
            </w14:solidFill>
          </w14:textFill>
        </w:rPr>
        <w:t>No language restrictions were applied; English</w:t>
      </w:r>
      <w:r>
        <w:rPr>
          <w:rFonts w:eastAsia="宋体" w:cs="Times New Roman"/>
          <w:color w:val="000000" w:themeColor="text1"/>
          <w:szCs w:val="24"/>
          <w:highlight w:val="none"/>
          <w14:textFill>
            <w14:solidFill>
              <w14:schemeClr w14:val="tx1"/>
            </w14:solidFill>
          </w14:textFill>
        </w:rPr>
        <w:noBreakHyphen/>
      </w:r>
      <w:r>
        <w:rPr>
          <w:rFonts w:eastAsia="宋体" w:cs="Times New Roman"/>
          <w:color w:val="000000" w:themeColor="text1"/>
          <w:szCs w:val="24"/>
          <w:highlight w:val="none"/>
          <w14:textFill>
            <w14:solidFill>
              <w14:schemeClr w14:val="tx1"/>
            </w14:solidFill>
          </w14:textFill>
        </w:rPr>
        <w:t xml:space="preserve"> and Chinese</w:t>
      </w:r>
      <w:r>
        <w:rPr>
          <w:rFonts w:eastAsia="宋体" w:cs="Times New Roman"/>
          <w:color w:val="000000" w:themeColor="text1"/>
          <w:szCs w:val="24"/>
          <w:highlight w:val="none"/>
          <w14:textFill>
            <w14:solidFill>
              <w14:schemeClr w14:val="tx1"/>
            </w14:solidFill>
          </w14:textFill>
        </w:rPr>
        <w:noBreakHyphen/>
      </w:r>
      <w:r>
        <w:rPr>
          <w:rFonts w:eastAsia="宋体" w:cs="Times New Roman"/>
          <w:color w:val="000000" w:themeColor="text1"/>
          <w:szCs w:val="24"/>
          <w:highlight w:val="none"/>
          <w14:textFill>
            <w14:solidFill>
              <w14:schemeClr w14:val="tx1"/>
            </w14:solidFill>
          </w14:textFill>
        </w:rPr>
        <w:t xml:space="preserve">language records were screened, and articles in other languages were translated when necessary. </w:t>
      </w:r>
      <w:r>
        <w:rPr>
          <w:rFonts w:eastAsia="宋体" w:cs="Times New Roman"/>
          <w:szCs w:val="24"/>
        </w:rPr>
        <w:t>Moreover, the reference lists from relevant studies were manually searched for potentially eligible articles. The complete search strategies for each database are available in the eTable1 in Supplement.</w:t>
      </w:r>
    </w:p>
    <w:p w14:paraId="729B5EF7">
      <w:pPr>
        <w:spacing w:line="360" w:lineRule="auto"/>
        <w:rPr>
          <w:rFonts w:eastAsia="宋体" w:cs="Times New Roman"/>
          <w:b/>
          <w:bCs/>
          <w:i/>
          <w:iCs/>
          <w:szCs w:val="24"/>
        </w:rPr>
      </w:pPr>
      <w:r>
        <w:rPr>
          <w:rFonts w:eastAsia="宋体" w:cs="Times New Roman"/>
          <w:b/>
          <w:bCs/>
          <w:i/>
          <w:iCs/>
          <w:szCs w:val="24"/>
        </w:rPr>
        <w:t>Study selection</w:t>
      </w:r>
    </w:p>
    <w:p w14:paraId="40F1AEA7">
      <w:pPr>
        <w:spacing w:line="360" w:lineRule="auto"/>
        <w:rPr>
          <w:rFonts w:eastAsia="宋体" w:cs="Times New Roman"/>
          <w:color w:val="000000" w:themeColor="text1"/>
          <w:szCs w:val="24"/>
          <w:highlight w:val="none"/>
          <w14:textFill>
            <w14:solidFill>
              <w14:schemeClr w14:val="tx1"/>
            </w14:solidFill>
          </w14:textFill>
        </w:rPr>
      </w:pPr>
      <w:r>
        <w:rPr>
          <w:rFonts w:hint="eastAsia" w:eastAsia="宋体" w:cs="Times New Roman"/>
          <w:szCs w:val="24"/>
        </w:rPr>
        <w:t>Inclusion and Excluded Criteria:</w:t>
      </w:r>
      <w:r>
        <w:rPr>
          <w:rFonts w:hint="eastAsia" w:eastAsia="宋体" w:cs="Times New Roman"/>
          <w:szCs w:val="24"/>
          <w:lang w:val="en-US" w:eastAsia="zh-CN"/>
        </w:rPr>
        <w:t xml:space="preserve"> </w:t>
      </w:r>
      <w:r>
        <w:rPr>
          <w:rFonts w:hint="eastAsia" w:eastAsia="宋体" w:cs="Times New Roman"/>
          <w:szCs w:val="24"/>
        </w:rPr>
        <w:t>Studies were eligible for inclusion if they (1) Case-control studies were included; (2) Serum ANA levels were compared between POI patients and controls, and The data of serum ANA levels were available(mean/standard deviation or median/range or median/interquartile interval was provided); (3) POI patients①age &lt;40 years, ③amenorrhea for &gt; 6 months, ③FSH &gt; 20 IU/L (two times apart more than one month); (4)Control were selected by the groups:①Age-matched women with hypogonadotropic amenorrhea;②healthy women with natural menopause;③Age-matched healthy females);④Non-ovarian factor infertility. Studies were excluded if they (1) Literatures of non-human studies; (2) Review articles and conference abstracts; (3) Studies without available abstracts or full articles were excluded. If conference abstracts and published full-length articles were carried out on the same population, the latter were included.</w:t>
      </w:r>
      <w:r>
        <w:rPr>
          <w:rFonts w:hint="eastAsia" w:eastAsia="宋体" w:cs="Times New Roman"/>
          <w:color w:val="FF0000"/>
          <w:szCs w:val="24"/>
        </w:rPr>
        <w:t xml:space="preserve"> </w:t>
      </w:r>
      <w:r>
        <w:rPr>
          <w:rFonts w:eastAsia="宋体" w:cs="Times New Roman"/>
          <w:color w:val="000000" w:themeColor="text1"/>
          <w:szCs w:val="24"/>
          <w:highlight w:val="none"/>
          <w14:textFill>
            <w14:solidFill>
              <w14:schemeClr w14:val="tx1"/>
            </w14:solidFill>
          </w14:textFill>
        </w:rPr>
        <w:t>Studies published in languages other than English or Chinese were translated for eligibility assessment, but none met all inclusion criteria.</w:t>
      </w:r>
    </w:p>
    <w:p w14:paraId="3732BF95">
      <w:pPr>
        <w:spacing w:line="360" w:lineRule="auto"/>
        <w:rPr>
          <w:rFonts w:eastAsia="宋体" w:cs="Times New Roman"/>
          <w:b/>
          <w:bCs/>
          <w:i/>
          <w:iCs/>
          <w:szCs w:val="24"/>
        </w:rPr>
      </w:pPr>
      <w:r>
        <w:rPr>
          <w:rFonts w:hint="eastAsia" w:eastAsia="宋体" w:cs="Times New Roman"/>
          <w:b/>
          <w:bCs/>
          <w:i/>
          <w:iCs/>
          <w:szCs w:val="24"/>
        </w:rPr>
        <w:t>Data Extraction</w:t>
      </w:r>
    </w:p>
    <w:p w14:paraId="12C6268B">
      <w:pPr>
        <w:spacing w:line="360" w:lineRule="auto"/>
        <w:rPr>
          <w:rFonts w:eastAsia="宋体" w:cs="Times New Roman"/>
          <w:szCs w:val="24"/>
        </w:rPr>
      </w:pPr>
      <w:r>
        <w:rPr>
          <w:rFonts w:hint="eastAsia" w:eastAsia="宋体" w:cs="Times New Roman"/>
          <w:szCs w:val="24"/>
        </w:rPr>
        <w:t>Duplicate studies were removed using EndNote X9 software, and 2 reviewers (T.J.Z.P. and Z.X.H.) separately selected search results based on titles and abstracts. Assessment of full-text articles to determine eligibility of the remaining studies was conducted by the same 2 reviewers. Data will be extract by using a pre-designed and standard data extraction form including the following information: name of first author, year of publication, Research Publication Area, research type, the definition of Premature Ovarian Insufficiency (POI), controls population type, Average age, ANA detect methods and positive cutoff and number of events in each group.</w:t>
      </w:r>
    </w:p>
    <w:p w14:paraId="56C16F39">
      <w:pPr>
        <w:spacing w:line="360" w:lineRule="auto"/>
        <w:rPr>
          <w:rFonts w:eastAsia="宋体" w:cs="Times New Roman"/>
          <w:szCs w:val="24"/>
        </w:rPr>
      </w:pPr>
      <w:r>
        <w:rPr>
          <w:rFonts w:hint="eastAsia" w:eastAsia="宋体" w:cs="Times New Roman"/>
          <w:szCs w:val="24"/>
        </w:rPr>
        <w:t xml:space="preserve">Any disagreement between reviewers will be resolved either by discussion or with the assistance by the third reviewer (Z.Q.L.). If some key information is missing or additional data from the studies are unclear, we will contact the author team of their studies. A detailed description of reasons for exclusion is available in eTable 2 in the Supplement, and the study selection process is shown in Figure 1. </w:t>
      </w:r>
      <w:r>
        <w:rPr>
          <w:rFonts w:eastAsia="宋体" w:cs="Times New Roman"/>
          <w:color w:val="FF0000"/>
          <w:szCs w:val="24"/>
        </w:rPr>
        <w:t>We also recorded control group type (e.g., healthy, non-ovarian infertility, hypogonadotropic amenorrhea) and stratified them in subgroup analyses to assess potential confounding effects arising from differences in underlying immune or hormonal status.</w:t>
      </w:r>
    </w:p>
    <w:p w14:paraId="622BC906">
      <w:pPr>
        <w:spacing w:line="360" w:lineRule="auto"/>
        <w:rPr>
          <w:rFonts w:eastAsia="宋体" w:cs="Times New Roman"/>
          <w:b/>
          <w:bCs/>
          <w:i/>
          <w:iCs/>
          <w:szCs w:val="24"/>
        </w:rPr>
      </w:pPr>
      <w:r>
        <w:rPr>
          <w:rFonts w:hint="eastAsia" w:eastAsia="宋体" w:cs="Times New Roman"/>
          <w:b/>
          <w:bCs/>
          <w:i/>
          <w:iCs/>
          <w:szCs w:val="24"/>
        </w:rPr>
        <w:t>Quality Assessment</w:t>
      </w:r>
    </w:p>
    <w:p w14:paraId="0B147E95">
      <w:pPr>
        <w:spacing w:line="360" w:lineRule="auto"/>
        <w:rPr>
          <w:rFonts w:eastAsia="宋体" w:cs="Times New Roman"/>
          <w:szCs w:val="24"/>
        </w:rPr>
      </w:pPr>
      <w:r>
        <w:rPr>
          <w:rFonts w:eastAsia="宋体" w:cs="Times New Roman"/>
          <w:szCs w:val="24"/>
        </w:rPr>
        <w:t>The Newcastle–Ottawa Scale (NOS) was used to evaluate the quality of the included studies. Two reviewers were involved in the quality assessment process (T.J.Z.P. and Z.X.H.), and disagreements were resolved through discussion or with the assistance of a third reviewer (Z.Q.L.).</w:t>
      </w:r>
      <w:r>
        <w:rPr>
          <w:rFonts w:hint="eastAsia" w:eastAsia="宋体" w:cs="Times New Roman"/>
          <w:szCs w:val="24"/>
        </w:rPr>
        <w:t xml:space="preserve"> </w:t>
      </w:r>
      <w:r>
        <w:rPr>
          <w:rFonts w:eastAsia="宋体" w:cs="Times New Roman"/>
          <w:color w:val="FF0000"/>
          <w:szCs w:val="24"/>
        </w:rPr>
        <w:t>The NOS assesses studies based on three domains: selection, comparability, and exposure/outcome, with a maximum score of 9. In this review, studies were categorized as high quality (7–9 points), moderate quality (4–6 points), or low quality (0–3 points), in accordance with established guidelines.</w:t>
      </w:r>
    </w:p>
    <w:p w14:paraId="4DFA4CDD">
      <w:pPr>
        <w:spacing w:line="360" w:lineRule="auto"/>
        <w:rPr>
          <w:rFonts w:eastAsia="宋体" w:cs="Times New Roman"/>
          <w:szCs w:val="24"/>
        </w:rPr>
      </w:pPr>
      <w:r>
        <w:rPr>
          <w:rFonts w:hint="eastAsia" w:eastAsia="宋体" w:cs="Times New Roman"/>
          <w:b/>
          <w:bCs/>
          <w:i/>
          <w:iCs/>
          <w:szCs w:val="24"/>
        </w:rPr>
        <w:t>Meta-Analysis</w:t>
      </w:r>
    </w:p>
    <w:p w14:paraId="7B69C947">
      <w:pPr>
        <w:spacing w:line="360" w:lineRule="auto"/>
        <w:rPr>
          <w:rFonts w:eastAsia="宋体" w:cs="Times New Roman"/>
          <w:color w:val="FF0000"/>
          <w:szCs w:val="24"/>
        </w:rPr>
      </w:pPr>
      <w:r>
        <w:rPr>
          <w:rFonts w:eastAsia="宋体" w:cs="Times New Roman"/>
          <w:szCs w:val="24"/>
        </w:rPr>
        <w:t xml:space="preserve">Meta-analysis was performed using Stata14 software. The effect size of continuous data was described by mean deviation (MD) and its 95% CI, and the effect size of count data was described by odds ratio (OR) and 95% CI. The </w:t>
      </w:r>
      <w:r>
        <w:rPr>
          <w:rFonts w:eastAsia="宋体" w:cs="Times New Roman"/>
          <w:color w:val="FF0000"/>
          <w:szCs w:val="24"/>
        </w:rPr>
        <w:t>I</w:t>
      </w:r>
      <w:r>
        <w:rPr>
          <w:rFonts w:hint="eastAsia" w:eastAsia="宋体" w:cs="Times New Roman"/>
          <w:color w:val="FF0000"/>
          <w:szCs w:val="24"/>
          <w:vertAlign w:val="superscript"/>
        </w:rPr>
        <w:t>2</w:t>
      </w:r>
      <w:r>
        <w:rPr>
          <w:rFonts w:eastAsia="宋体" w:cs="Times New Roman"/>
          <w:szCs w:val="24"/>
        </w:rPr>
        <w:t xml:space="preserve"> statistic was used to assess statistical heterogeneity. </w:t>
      </w:r>
      <w:r>
        <w:rPr>
          <w:rFonts w:eastAsia="宋体" w:cs="Times New Roman"/>
          <w:color w:val="FF0000"/>
          <w:szCs w:val="24"/>
        </w:rPr>
        <w:t>Given the expected clinical heterogeneity across studies—such as differences in ANA detection methods, diagnostic criteria, and patient characteristics—we employed a random-effects model throughout all analyses, regardless of the I</w:t>
      </w:r>
      <w:r>
        <w:rPr>
          <w:rFonts w:hint="eastAsia" w:eastAsia="宋体" w:cs="Times New Roman"/>
          <w:color w:val="FF0000"/>
          <w:szCs w:val="24"/>
          <w:vertAlign w:val="superscript"/>
        </w:rPr>
        <w:t>2</w:t>
      </w:r>
      <w:r>
        <w:rPr>
          <w:rFonts w:eastAsia="宋体" w:cs="Times New Roman"/>
          <w:color w:val="FF0000"/>
          <w:szCs w:val="24"/>
        </w:rPr>
        <w:t xml:space="preserve"> value. </w:t>
      </w:r>
      <w:r>
        <w:rPr>
          <w:rFonts w:eastAsia="宋体" w:cs="Times New Roman"/>
          <w:szCs w:val="24"/>
        </w:rPr>
        <w:t>A two-tailed P-value &lt; 0.05 was considered statistically significant. Funnel plots and Begg's linear regression test were also used to assess potential publication bias.</w:t>
      </w:r>
    </w:p>
    <w:p w14:paraId="72CF05CB">
      <w:pPr>
        <w:spacing w:line="360" w:lineRule="auto"/>
        <w:rPr>
          <w:rFonts w:eastAsia="宋体" w:cs="Times New Roman"/>
          <w:szCs w:val="24"/>
        </w:rPr>
      </w:pPr>
    </w:p>
    <w:p w14:paraId="0B1E3157">
      <w:pPr>
        <w:spacing w:line="360" w:lineRule="auto"/>
        <w:rPr>
          <w:rFonts w:cs="Times New Roman"/>
          <w:b/>
          <w:bCs/>
          <w:szCs w:val="24"/>
        </w:rPr>
      </w:pPr>
      <w:r>
        <w:rPr>
          <w:rFonts w:cs="Times New Roman"/>
          <w:b/>
          <w:bCs/>
          <w:szCs w:val="24"/>
        </w:rPr>
        <w:t>RESULTS</w:t>
      </w:r>
    </w:p>
    <w:p w14:paraId="20577BFF">
      <w:pPr>
        <w:widowControl/>
        <w:spacing w:line="360" w:lineRule="auto"/>
        <w:jc w:val="left"/>
        <w:rPr>
          <w:rFonts w:cs="Times New Roman"/>
          <w:b/>
          <w:bCs/>
          <w:i/>
          <w:iCs/>
          <w:szCs w:val="24"/>
        </w:rPr>
      </w:pPr>
      <w:r>
        <w:rPr>
          <w:rFonts w:cs="Times New Roman"/>
          <w:b/>
          <w:bCs/>
          <w:i/>
          <w:iCs/>
          <w:szCs w:val="24"/>
        </w:rPr>
        <w:t>Summary of the literature review</w:t>
      </w:r>
    </w:p>
    <w:p w14:paraId="573CB19D">
      <w:pPr>
        <w:widowControl/>
        <w:spacing w:line="360" w:lineRule="auto"/>
        <w:jc w:val="left"/>
        <w:rPr>
          <w:rFonts w:eastAsia="宋体" w:cs="Times New Roman"/>
          <w:szCs w:val="24"/>
        </w:rPr>
      </w:pPr>
      <w:r>
        <w:rPr>
          <w:rFonts w:eastAsia="宋体" w:cs="Times New Roman"/>
          <w:szCs w:val="24"/>
        </w:rPr>
        <w:t xml:space="preserve">The literature selection process is shown in Figure 1. A total of 339 relevant articles were retrieved from the selected databases. </w:t>
      </w:r>
      <w:r>
        <w:rPr>
          <w:rFonts w:eastAsia="宋体" w:cs="Times New Roman"/>
          <w:color w:val="FF0000"/>
          <w:szCs w:val="24"/>
        </w:rPr>
        <w:t xml:space="preserve">Ninety-two </w:t>
      </w:r>
      <w:r>
        <w:rPr>
          <w:rFonts w:eastAsia="宋体" w:cs="Times New Roman"/>
          <w:szCs w:val="24"/>
        </w:rPr>
        <w:t>of them were removed because of duplication. After browsing titles and abstracts, we excluded 226 articles with inconsistent types</w:t>
      </w:r>
      <w:r>
        <w:rPr>
          <w:rFonts w:eastAsia="宋体" w:cs="Times New Roman"/>
          <w:color w:val="FF0000"/>
          <w:szCs w:val="24"/>
        </w:rPr>
        <w:t xml:space="preserve"> or that lacked accessible full texts</w:t>
      </w:r>
      <w:r>
        <w:rPr>
          <w:rFonts w:eastAsia="宋体" w:cs="Times New Roman"/>
          <w:szCs w:val="24"/>
        </w:rPr>
        <w:t xml:space="preserve">. After further review of the full text, we excluded irrelevant studies and </w:t>
      </w:r>
      <w:r>
        <w:rPr>
          <w:rFonts w:eastAsia="宋体" w:cs="Times New Roman"/>
          <w:color w:val="FF0000"/>
          <w:szCs w:val="24"/>
        </w:rPr>
        <w:t>ultimately included 13 articles</w:t>
      </w:r>
      <w:r>
        <w:rPr>
          <w:rFonts w:eastAsia="宋体" w:cs="Times New Roman"/>
          <w:szCs w:val="24"/>
        </w:rPr>
        <w:t xml:space="preserve"> with a total of </w:t>
      </w:r>
      <w:r>
        <w:rPr>
          <w:rFonts w:eastAsia="宋体" w:cs="Times New Roman"/>
          <w:color w:val="FF0000"/>
          <w:szCs w:val="24"/>
        </w:rPr>
        <w:t xml:space="preserve">1593 </w:t>
      </w:r>
      <w:r>
        <w:rPr>
          <w:rFonts w:eastAsia="宋体" w:cs="Times New Roman"/>
          <w:szCs w:val="24"/>
        </w:rPr>
        <w:t>participants (</w:t>
      </w:r>
      <w:r>
        <w:rPr>
          <w:rFonts w:eastAsia="宋体" w:cs="Times New Roman"/>
          <w:color w:val="FF0000"/>
          <w:szCs w:val="24"/>
        </w:rPr>
        <w:t xml:space="preserve">918 </w:t>
      </w:r>
      <w:r>
        <w:rPr>
          <w:rFonts w:eastAsia="宋体" w:cs="Times New Roman"/>
          <w:szCs w:val="24"/>
        </w:rPr>
        <w:t xml:space="preserve">POI cases and </w:t>
      </w:r>
      <w:r>
        <w:rPr>
          <w:rFonts w:eastAsia="宋体" w:cs="Times New Roman"/>
          <w:color w:val="FF0000"/>
          <w:szCs w:val="24"/>
        </w:rPr>
        <w:t xml:space="preserve">675 </w:t>
      </w:r>
      <w:r>
        <w:rPr>
          <w:rFonts w:eastAsia="宋体" w:cs="Times New Roman"/>
          <w:szCs w:val="24"/>
        </w:rPr>
        <w:t>controls).</w:t>
      </w:r>
      <w:r>
        <w:rPr>
          <w:rFonts w:eastAsia="宋体" w:cs="Times New Roman"/>
        </w:rPr>
        <w:fldChar w:fldCharType="begin">
          <w:fldData xml:space="preserve">PEVuZE5vdGU+PENpdGU+PEF1dGhvcj5SIEtpcnNvcDwvQXV0aG9yPjxZZWFyPjE5OTE8L1llYXI+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==
</w:fldData>
        </w:fldChar>
      </w:r>
      <w:r>
        <w:rPr>
          <w:rFonts w:eastAsia="宋体" w:cs="Times New Roman"/>
        </w:rPr>
        <w:instrText xml:space="preserve"> ADDIN EN.CITE </w:instrText>
      </w:r>
      <w:r>
        <w:rPr>
          <w:rFonts w:eastAsia="宋体" w:cs="Times New Roman"/>
        </w:rPr>
        <w:fldChar w:fldCharType="begin">
          <w:fldData xml:space="preserve">PEVuZE5vdGU+PENpdGU+PEF1dGhvcj5SIEtpcnNvcDwvQXV0aG9yPjxZZWFyPjE5OTE8L1llYXI+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==
</w:fldData>
        </w:fldChar>
      </w:r>
      <w:r>
        <w:rPr>
          <w:rFonts w:eastAsia="宋体" w:cs="Times New Roman"/>
        </w:rPr>
        <w:instrText xml:space="preserve"> ADDIN EN.CITE.DATA </w:instrText>
      </w:r>
      <w:r>
        <w:rPr>
          <w:rFonts w:eastAsia="宋体" w:cs="Times New Roman"/>
        </w:rPr>
        <w:fldChar w:fldCharType="end"/>
      </w:r>
      <w:r>
        <w:rPr>
          <w:rFonts w:eastAsia="宋体" w:cs="Times New Roman"/>
        </w:rPr>
        <w:fldChar w:fldCharType="separate"/>
      </w:r>
      <w:r>
        <w:rPr>
          <w:rFonts w:eastAsia="宋体" w:cs="Times New Roman"/>
          <w:vertAlign w:val="superscript"/>
        </w:rPr>
        <w:t>16-28</w:t>
      </w:r>
      <w:r>
        <w:rPr>
          <w:rFonts w:eastAsia="宋体" w:cs="Times New Roman"/>
        </w:rPr>
        <w:fldChar w:fldCharType="end"/>
      </w:r>
      <w:r>
        <w:rPr>
          <w:rFonts w:eastAsia="宋体" w:cs="Times New Roman"/>
          <w:szCs w:val="24"/>
        </w:rPr>
        <w:t xml:space="preserve"> </w:t>
      </w:r>
    </w:p>
    <w:p w14:paraId="4E76B4EB">
      <w:pPr>
        <w:spacing w:line="360" w:lineRule="auto"/>
        <w:rPr>
          <w:rFonts w:cs="Times New Roman"/>
          <w:b/>
          <w:bCs/>
          <w:i/>
          <w:iCs/>
          <w:szCs w:val="24"/>
        </w:rPr>
      </w:pPr>
      <w:r>
        <w:rPr>
          <w:rFonts w:cs="Times New Roman"/>
          <w:b/>
          <w:bCs/>
          <w:i/>
          <w:iCs/>
          <w:szCs w:val="24"/>
        </w:rPr>
        <w:t>Study Characteristics</w:t>
      </w:r>
    </w:p>
    <w:p w14:paraId="603C9922">
      <w:pPr>
        <w:widowControl/>
        <w:spacing w:line="360" w:lineRule="auto"/>
        <w:jc w:val="left"/>
        <w:textAlignment w:val="center"/>
        <w:rPr>
          <w:rFonts w:eastAsia="宋体" w:cs="Times New Roman"/>
          <w:szCs w:val="24"/>
        </w:rPr>
      </w:pPr>
      <w:r>
        <w:rPr>
          <w:rFonts w:eastAsia="宋体" w:cs="Times New Roman"/>
          <w:szCs w:val="24"/>
        </w:rPr>
        <w:t xml:space="preserve">All of the articles were case-control studies published from 1991 to 2021. The basic </w:t>
      </w:r>
      <w:r>
        <w:rPr>
          <w:rFonts w:eastAsia="宋体" w:cs="Times New Roman"/>
          <w:color w:val="FF0000"/>
          <w:szCs w:val="24"/>
        </w:rPr>
        <w:t xml:space="preserve">characteristic </w:t>
      </w:r>
      <w:r>
        <w:rPr>
          <w:rFonts w:eastAsia="宋体" w:cs="Times New Roman"/>
          <w:szCs w:val="24"/>
        </w:rPr>
        <w:t xml:space="preserve">information of the included </w:t>
      </w:r>
      <w:r>
        <w:rPr>
          <w:rFonts w:eastAsia="宋体" w:cs="Times New Roman"/>
          <w:color w:val="FF0000"/>
          <w:szCs w:val="24"/>
        </w:rPr>
        <w:t xml:space="preserve">studies </w:t>
      </w:r>
      <w:r>
        <w:rPr>
          <w:rFonts w:eastAsia="宋体" w:cs="Times New Roman"/>
          <w:szCs w:val="24"/>
        </w:rPr>
        <w:t xml:space="preserve">is shown in Table 1. Among the 13 included studies, 1 study defined the diagnosis of POI as less than 35 years of age with a serum FSH ≥ 20 IU/L, 1 study defined the diagnosis of POI as serum FSH &gt; 27 IU/L, and the remaining </w:t>
      </w:r>
      <w:r>
        <w:rPr>
          <w:rFonts w:eastAsia="宋体" w:cs="Times New Roman"/>
          <w:color w:val="FF0000"/>
          <w:szCs w:val="24"/>
        </w:rPr>
        <w:t xml:space="preserve">11 </w:t>
      </w:r>
      <w:r>
        <w:rPr>
          <w:rFonts w:eastAsia="宋体" w:cs="Times New Roman"/>
          <w:szCs w:val="24"/>
        </w:rPr>
        <w:t xml:space="preserve">studies defined the diagnostic criteria as less than 40 years of age, the presence of symptoms such as amenorrhea, and a serum FSH &gt; 40 IU/L. Data from </w:t>
      </w:r>
      <w:r>
        <w:rPr>
          <w:rFonts w:eastAsia="宋体" w:cs="Times New Roman"/>
          <w:color w:val="FF0000"/>
          <w:szCs w:val="24"/>
        </w:rPr>
        <w:t xml:space="preserve">7 </w:t>
      </w:r>
      <w:r>
        <w:rPr>
          <w:rFonts w:eastAsia="宋体" w:cs="Times New Roman"/>
          <w:szCs w:val="24"/>
        </w:rPr>
        <w:t xml:space="preserve">studies used indirect immunofluorescence (IIF) with HEp-2 cells as substrates for ANA detection, 3 studies used ELISA for ANA detection, </w:t>
      </w:r>
      <w:r>
        <w:rPr>
          <w:rFonts w:eastAsia="宋体" w:cs="Times New Roman"/>
          <w:color w:val="FF0000"/>
          <w:szCs w:val="24"/>
        </w:rPr>
        <w:t>2 studies used</w:t>
      </w:r>
      <w:r>
        <w:rPr>
          <w:rFonts w:eastAsia="宋体" w:cs="Times New Roman"/>
          <w:szCs w:val="24"/>
        </w:rPr>
        <w:t xml:space="preserve"> dot Immunogold Filtration Assay (DIGFA) for ANA, and 1 study used protein microarray for ANA detection. The quality of all included studies was high, as shown in Table 2. Registration for this article has been completed in PROSPERO (CRD42023401002).</w:t>
      </w:r>
    </w:p>
    <w:p w14:paraId="275C5379">
      <w:pPr>
        <w:rPr>
          <w:rFonts w:cs="Times New Roman"/>
          <w:b/>
          <w:bCs/>
          <w:i/>
          <w:iCs/>
          <w:szCs w:val="24"/>
        </w:rPr>
      </w:pPr>
      <w:r>
        <w:rPr>
          <w:rFonts w:cs="Times New Roman"/>
          <w:b/>
          <w:bCs/>
          <w:i/>
          <w:iCs/>
          <w:szCs w:val="24"/>
        </w:rPr>
        <w:t>The relationship between ANA positivity rate and POI</w:t>
      </w:r>
    </w:p>
    <w:p w14:paraId="47709395">
      <w:pPr>
        <w:spacing w:line="360" w:lineRule="auto"/>
        <w:rPr>
          <w:rFonts w:eastAsia="宋体" w:cs="Times New Roman"/>
          <w:color w:val="FF0000"/>
          <w:szCs w:val="24"/>
        </w:rPr>
      </w:pPr>
      <w:r>
        <w:rPr>
          <w:rFonts w:eastAsia="宋体" w:cs="Times New Roman"/>
          <w:szCs w:val="24"/>
        </w:rPr>
        <w:t xml:space="preserve">According to the analysis of all </w:t>
      </w:r>
      <w:r>
        <w:rPr>
          <w:rFonts w:hint="eastAsia" w:eastAsia="宋体" w:cs="Times New Roman"/>
          <w:szCs w:val="24"/>
        </w:rPr>
        <w:t>13</w:t>
      </w:r>
      <w:r>
        <w:rPr>
          <w:rFonts w:eastAsia="宋体" w:cs="Times New Roman"/>
          <w:szCs w:val="24"/>
        </w:rPr>
        <w:t xml:space="preserve"> studies, ANA positive was positively correlated with POI, and the results were statistically significant</w:t>
      </w:r>
      <w:r>
        <w:rPr>
          <w:rFonts w:eastAsia="宋体" w:cs="Times New Roman"/>
          <w:b w:val="0"/>
          <w:bCs w:val="0"/>
          <w:color w:val="FF0000"/>
          <w:szCs w:val="24"/>
        </w:rPr>
        <w:t xml:space="preserve"> (OR 2.</w:t>
      </w:r>
      <w:r>
        <w:rPr>
          <w:rFonts w:hint="eastAsia" w:eastAsia="宋体" w:cs="Times New Roman"/>
          <w:b w:val="0"/>
          <w:bCs w:val="0"/>
          <w:color w:val="FF0000"/>
          <w:szCs w:val="24"/>
        </w:rPr>
        <w:t>5</w:t>
      </w:r>
      <w:r>
        <w:rPr>
          <w:rFonts w:eastAsia="宋体" w:cs="Times New Roman"/>
          <w:b w:val="0"/>
          <w:bCs w:val="0"/>
          <w:color w:val="FF0000"/>
          <w:szCs w:val="24"/>
        </w:rPr>
        <w:t>7, 95%CI: 1.</w:t>
      </w:r>
      <w:r>
        <w:rPr>
          <w:rFonts w:hint="eastAsia" w:eastAsia="宋体" w:cs="Times New Roman"/>
          <w:b w:val="0"/>
          <w:bCs w:val="0"/>
          <w:color w:val="FF0000"/>
          <w:szCs w:val="24"/>
        </w:rPr>
        <w:t>62</w:t>
      </w:r>
      <w:r>
        <w:rPr>
          <w:rFonts w:eastAsia="宋体" w:cs="Times New Roman"/>
          <w:b w:val="0"/>
          <w:bCs w:val="0"/>
          <w:color w:val="FF0000"/>
          <w:szCs w:val="24"/>
        </w:rPr>
        <w:t>–</w:t>
      </w:r>
      <w:r>
        <w:rPr>
          <w:rFonts w:hint="eastAsia" w:eastAsia="宋体" w:cs="Times New Roman"/>
          <w:b w:val="0"/>
          <w:bCs w:val="0"/>
          <w:color w:val="FF0000"/>
          <w:szCs w:val="24"/>
        </w:rPr>
        <w:t xml:space="preserve">4.08, Z=4.001, </w:t>
      </w:r>
      <w:r>
        <w:rPr>
          <w:rFonts w:eastAsia="宋体" w:cs="Times New Roman"/>
          <w:b w:val="0"/>
          <w:bCs w:val="0"/>
          <w:color w:val="FF0000"/>
          <w:szCs w:val="24"/>
        </w:rPr>
        <w:t xml:space="preserve">P &lt; 0.001, Figure 2). The heterogeneity analysis showed an </w:t>
      </w:r>
      <w:r>
        <w:rPr>
          <w:rFonts w:eastAsia="宋体" w:cs="Times New Roman"/>
          <w:b w:val="0"/>
          <w:bCs w:val="0"/>
          <w:color w:val="FF0000"/>
          <w:szCs w:val="24"/>
          <w:highlight w:val="none"/>
        </w:rPr>
        <w:t>I</w:t>
      </w:r>
      <w:r>
        <w:rPr>
          <w:rFonts w:hint="eastAsia" w:eastAsia="宋体" w:cs="Times New Roman"/>
          <w:b w:val="0"/>
          <w:bCs w:val="0"/>
          <w:color w:val="FF0000"/>
          <w:szCs w:val="24"/>
          <w:highlight w:val="none"/>
          <w:vertAlign w:val="superscript"/>
        </w:rPr>
        <w:t>2</w:t>
      </w:r>
      <w:r>
        <w:rPr>
          <w:rFonts w:eastAsia="宋体" w:cs="Times New Roman"/>
          <w:b w:val="0"/>
          <w:bCs w:val="0"/>
          <w:color w:val="FF0000"/>
          <w:szCs w:val="24"/>
          <w:highlight w:val="none"/>
        </w:rPr>
        <w:t xml:space="preserve"> value of </w:t>
      </w:r>
      <w:r>
        <w:rPr>
          <w:rFonts w:hint="eastAsia" w:eastAsia="宋体" w:cs="Times New Roman"/>
          <w:b w:val="0"/>
          <w:bCs w:val="0"/>
          <w:color w:val="FF0000"/>
          <w:szCs w:val="24"/>
          <w:highlight w:val="none"/>
          <w:lang w:val="en-US" w:eastAsia="zh-CN"/>
        </w:rPr>
        <w:t>11</w:t>
      </w:r>
      <w:r>
        <w:rPr>
          <w:rFonts w:eastAsia="宋体" w:cs="Times New Roman"/>
          <w:b w:val="0"/>
          <w:bCs w:val="0"/>
          <w:color w:val="FF0000"/>
          <w:szCs w:val="24"/>
          <w:highlight w:val="none"/>
        </w:rPr>
        <w:t>.9% with a p-value of 0.</w:t>
      </w:r>
      <w:r>
        <w:rPr>
          <w:rFonts w:hint="eastAsia" w:eastAsia="宋体" w:cs="Times New Roman"/>
          <w:b w:val="0"/>
          <w:bCs w:val="0"/>
          <w:color w:val="FF0000"/>
          <w:szCs w:val="24"/>
          <w:highlight w:val="none"/>
          <w:lang w:val="en-US" w:eastAsia="zh-CN"/>
        </w:rPr>
        <w:t>326</w:t>
      </w:r>
      <w:r>
        <w:rPr>
          <w:rFonts w:eastAsia="宋体" w:cs="Times New Roman"/>
          <w:b w:val="0"/>
          <w:bCs w:val="0"/>
          <w:color w:val="FF0000"/>
          <w:szCs w:val="24"/>
          <w:highlight w:val="none"/>
        </w:rPr>
        <w:t>,</w:t>
      </w:r>
      <w:r>
        <w:rPr>
          <w:rFonts w:eastAsia="宋体" w:cs="Times New Roman"/>
          <w:color w:val="FFFF00"/>
          <w:szCs w:val="24"/>
        </w:rPr>
        <w:t xml:space="preserve"> </w:t>
      </w:r>
      <w:r>
        <w:rPr>
          <w:rFonts w:eastAsia="宋体" w:cs="Times New Roman"/>
          <w:color w:val="FF0000"/>
          <w:szCs w:val="24"/>
        </w:rPr>
        <w:t>indicating low to moderate heterogeneity among the included studies. This level of heterogeneity suggests that the observed effect is relatively consistent across studies.</w:t>
      </w:r>
    </w:p>
    <w:p w14:paraId="246CE52F">
      <w:pPr>
        <w:spacing w:line="360" w:lineRule="auto"/>
        <w:rPr>
          <w:rFonts w:eastAsia="宋体" w:cs="Times New Roman"/>
          <w:color w:val="FF0000"/>
          <w:szCs w:val="24"/>
        </w:rPr>
      </w:pPr>
      <w:r>
        <w:rPr>
          <w:rFonts w:eastAsia="宋体" w:cs="Times New Roman"/>
          <w:color w:val="FF0000"/>
          <w:szCs w:val="24"/>
        </w:rPr>
        <w:t>Potential sources of heterogeneity may include differences in diagnostic criteria for POI, variations in ANA detection methods (e.g., indirect immunofluorescence, ELISA, DIGFA), population demographics such as age or menopausal status, and differing thresholds for defining ANA positivity. Although these methodological and clinical differences exist, the magnitude of I</w:t>
      </w:r>
      <w:r>
        <w:rPr>
          <w:rFonts w:hint="eastAsia" w:eastAsia="宋体" w:cs="Times New Roman"/>
          <w:color w:val="FF0000"/>
          <w:szCs w:val="24"/>
          <w:vertAlign w:val="superscript"/>
        </w:rPr>
        <w:t>2</w:t>
      </w:r>
      <w:r>
        <w:rPr>
          <w:rFonts w:eastAsia="宋体" w:cs="Times New Roman"/>
          <w:color w:val="FF0000"/>
          <w:szCs w:val="24"/>
        </w:rPr>
        <w:t xml:space="preserve"> remains below 50%, which supports the robustness of the pooled estimate. To further explore and minimize heterogeneity, subgroup analyses were conducted based on clinically relevant characteristics (see below), many of which showed reduced or no heterogeneity within groups.</w:t>
      </w:r>
    </w:p>
    <w:p w14:paraId="08D3923D">
      <w:pPr>
        <w:spacing w:line="360" w:lineRule="auto"/>
        <w:rPr>
          <w:rFonts w:eastAsia="宋体" w:cs="Times New Roman"/>
          <w:color w:val="FF0000"/>
          <w:szCs w:val="24"/>
        </w:rPr>
      </w:pPr>
      <w:r>
        <w:rPr>
          <w:rFonts w:eastAsia="宋体" w:cs="Times New Roman"/>
          <w:color w:val="FF0000"/>
          <w:szCs w:val="24"/>
        </w:rPr>
        <w:t xml:space="preserve">To account for both statistical and clinical heterogeneity across the included studies, we adopted a random-effects model for all analyses, including the primary outcome and all subgroup comparisons. For transparency, we also report the fixed-effects model results in Table 3, which yielded a slightly lower effect size </w:t>
      </w:r>
      <w:r>
        <w:rPr>
          <w:rFonts w:eastAsia="宋体" w:cs="Times New Roman"/>
          <w:b w:val="0"/>
          <w:bCs w:val="0"/>
          <w:color w:val="FF0000"/>
          <w:szCs w:val="24"/>
        </w:rPr>
        <w:t>(OR 2.</w:t>
      </w:r>
      <w:r>
        <w:rPr>
          <w:rFonts w:hint="eastAsia" w:eastAsia="宋体" w:cs="Times New Roman"/>
          <w:b w:val="0"/>
          <w:bCs w:val="0"/>
          <w:color w:val="FF0000"/>
          <w:szCs w:val="24"/>
        </w:rPr>
        <w:t>79</w:t>
      </w:r>
      <w:r>
        <w:rPr>
          <w:rFonts w:eastAsia="宋体" w:cs="Times New Roman"/>
          <w:b w:val="0"/>
          <w:bCs w:val="0"/>
          <w:color w:val="FF0000"/>
          <w:szCs w:val="24"/>
        </w:rPr>
        <w:t xml:space="preserve">, 95% CI: </w:t>
      </w:r>
      <w:r>
        <w:rPr>
          <w:rFonts w:hint="eastAsia" w:eastAsia="宋体" w:cs="Times New Roman"/>
          <w:b w:val="0"/>
          <w:bCs w:val="0"/>
          <w:color w:val="FF0000"/>
          <w:szCs w:val="24"/>
        </w:rPr>
        <w:t>1.88</w:t>
      </w:r>
      <w:r>
        <w:rPr>
          <w:rFonts w:eastAsia="宋体" w:cs="Times New Roman"/>
          <w:b w:val="0"/>
          <w:bCs w:val="0"/>
          <w:color w:val="FF0000"/>
          <w:szCs w:val="24"/>
        </w:rPr>
        <w:t>–</w:t>
      </w:r>
      <w:r>
        <w:rPr>
          <w:rFonts w:hint="eastAsia" w:eastAsia="宋体" w:cs="Times New Roman"/>
          <w:b w:val="0"/>
          <w:bCs w:val="0"/>
          <w:color w:val="FF0000"/>
          <w:szCs w:val="24"/>
        </w:rPr>
        <w:t>4.14</w:t>
      </w:r>
      <w:r>
        <w:rPr>
          <w:rFonts w:eastAsia="宋体" w:cs="Times New Roman"/>
          <w:b w:val="0"/>
          <w:bCs w:val="0"/>
          <w:color w:val="FF0000"/>
          <w:szCs w:val="24"/>
        </w:rPr>
        <w:t>) compared to the random-effects model (OR 2.</w:t>
      </w:r>
      <w:r>
        <w:rPr>
          <w:rFonts w:hint="eastAsia" w:eastAsia="宋体" w:cs="Times New Roman"/>
          <w:b w:val="0"/>
          <w:bCs w:val="0"/>
          <w:color w:val="FF0000"/>
          <w:szCs w:val="24"/>
        </w:rPr>
        <w:t>5</w:t>
      </w:r>
      <w:r>
        <w:rPr>
          <w:rFonts w:eastAsia="宋体" w:cs="Times New Roman"/>
          <w:b w:val="0"/>
          <w:bCs w:val="0"/>
          <w:color w:val="FF0000"/>
          <w:szCs w:val="24"/>
        </w:rPr>
        <w:t>7, 95%CI: 1.</w:t>
      </w:r>
      <w:r>
        <w:rPr>
          <w:rFonts w:hint="eastAsia" w:eastAsia="宋体" w:cs="Times New Roman"/>
          <w:b w:val="0"/>
          <w:bCs w:val="0"/>
          <w:color w:val="FF0000"/>
          <w:szCs w:val="24"/>
        </w:rPr>
        <w:t>62</w:t>
      </w:r>
      <w:r>
        <w:rPr>
          <w:rFonts w:eastAsia="宋体" w:cs="Times New Roman"/>
          <w:b w:val="0"/>
          <w:bCs w:val="0"/>
          <w:color w:val="FF0000"/>
          <w:szCs w:val="24"/>
        </w:rPr>
        <w:t>–</w:t>
      </w:r>
      <w:r>
        <w:rPr>
          <w:rFonts w:hint="eastAsia" w:eastAsia="宋体" w:cs="Times New Roman"/>
          <w:b w:val="0"/>
          <w:bCs w:val="0"/>
          <w:color w:val="FF0000"/>
          <w:szCs w:val="24"/>
        </w:rPr>
        <w:t>4.08</w:t>
      </w:r>
      <w:r>
        <w:rPr>
          <w:rFonts w:eastAsia="宋体" w:cs="Times New Roman"/>
          <w:b w:val="0"/>
          <w:bCs w:val="0"/>
          <w:color w:val="FF0000"/>
          <w:szCs w:val="24"/>
        </w:rPr>
        <w:t xml:space="preserve">), </w:t>
      </w:r>
      <w:r>
        <w:rPr>
          <w:rFonts w:eastAsia="宋体" w:cs="Times New Roman"/>
          <w:color w:val="FF0000"/>
          <w:szCs w:val="24"/>
        </w:rPr>
        <w:t>consistent with the modest heterogeneity observed.</w:t>
      </w:r>
    </w:p>
    <w:p w14:paraId="69F2975F">
      <w:pPr>
        <w:spacing w:line="360" w:lineRule="auto"/>
        <w:jc w:val="left"/>
        <w:rPr>
          <w:rFonts w:eastAsia="宋体" w:cs="Times New Roman"/>
          <w:b/>
          <w:bCs/>
          <w:i/>
          <w:iCs/>
          <w:szCs w:val="24"/>
        </w:rPr>
      </w:pPr>
      <w:r>
        <w:rPr>
          <w:rFonts w:eastAsia="宋体" w:cs="Times New Roman"/>
          <w:b/>
          <w:bCs/>
          <w:i/>
          <w:iCs/>
          <w:szCs w:val="24"/>
        </w:rPr>
        <w:t>Subgroup analysis</w:t>
      </w:r>
    </w:p>
    <w:p w14:paraId="2628A60A">
      <w:pPr>
        <w:spacing w:line="360" w:lineRule="auto"/>
        <w:rPr>
          <w:rFonts w:eastAsia="宋体" w:cs="Times New Roman"/>
          <w:color w:val="FF0000"/>
          <w:szCs w:val="24"/>
        </w:rPr>
      </w:pPr>
      <w:r>
        <w:rPr>
          <w:rFonts w:eastAsia="宋体" w:cs="Times New Roman"/>
          <w:color w:val="FF0000"/>
          <w:szCs w:val="24"/>
        </w:rPr>
        <w:t xml:space="preserve">To further explore the consistency of results across potentially influential factors, we performed subgroup analyses. Compared to the overall pooled estimate, the association was stronger in the subgroup of women with follicle-stimulating hormone (FSH) levels greater than 40 IU/L </w:t>
      </w:r>
      <w:r>
        <w:rPr>
          <w:rFonts w:eastAsia="宋体" w:cs="Times New Roman"/>
          <w:b w:val="0"/>
          <w:bCs w:val="0"/>
          <w:color w:val="FF0000"/>
          <w:szCs w:val="24"/>
        </w:rPr>
        <w:t>(OR = 2.74, 95% CI: 1.78–4.21, I² = 0%), indicating that ANA positivity may be more pronounced in individuals with more advanced ovarian dysfunction (Figure 3a).</w:t>
      </w:r>
      <w:r>
        <w:rPr>
          <w:rFonts w:eastAsia="宋体" w:cs="Times New Roman"/>
          <w:b/>
          <w:bCs/>
          <w:color w:val="FF0000"/>
          <w:szCs w:val="24"/>
        </w:rPr>
        <w:t xml:space="preserve"> </w:t>
      </w:r>
      <w:r>
        <w:rPr>
          <w:rFonts w:eastAsia="宋体" w:cs="Times New Roman"/>
          <w:color w:val="FF0000"/>
          <w:szCs w:val="24"/>
        </w:rPr>
        <w:t>This finding supports the hypothesis of a stronger autoimmune contribution in later stages of POI.</w:t>
      </w:r>
    </w:p>
    <w:p w14:paraId="0076A514">
      <w:pPr>
        <w:spacing w:line="360" w:lineRule="auto"/>
        <w:rPr>
          <w:rFonts w:eastAsia="宋体" w:cs="Times New Roman"/>
          <w:b/>
          <w:bCs/>
          <w:color w:val="FF0000"/>
          <w:szCs w:val="24"/>
          <w:highlight w:val="none"/>
        </w:rPr>
      </w:pPr>
      <w:r>
        <w:rPr>
          <w:rFonts w:eastAsia="宋体" w:cs="Times New Roman"/>
          <w:color w:val="FF0000"/>
          <w:szCs w:val="24"/>
          <w:highlight w:val="none"/>
        </w:rPr>
        <w:t xml:space="preserve">Among participants aged below 35 years, the pooled odds ratio was 2.83 </w:t>
      </w:r>
      <w:r>
        <w:rPr>
          <w:rFonts w:eastAsia="宋体" w:cs="Times New Roman"/>
          <w:b w:val="0"/>
          <w:bCs w:val="0"/>
          <w:color w:val="FF0000"/>
          <w:szCs w:val="24"/>
          <w:highlight w:val="none"/>
        </w:rPr>
        <w:t>(95% CI: 1.73–4.63, I</w:t>
      </w:r>
      <w:r>
        <w:rPr>
          <w:rFonts w:hint="eastAsia" w:eastAsia="宋体" w:cs="Times New Roman"/>
          <w:b w:val="0"/>
          <w:bCs w:val="0"/>
          <w:color w:val="FF0000"/>
          <w:szCs w:val="24"/>
          <w:highlight w:val="none"/>
          <w:vertAlign w:val="superscript"/>
        </w:rPr>
        <w:t>2</w:t>
      </w:r>
      <w:r>
        <w:rPr>
          <w:rFonts w:eastAsia="宋体" w:cs="Times New Roman"/>
          <w:b w:val="0"/>
          <w:bCs w:val="0"/>
          <w:color w:val="FF0000"/>
          <w:szCs w:val="24"/>
          <w:highlight w:val="none"/>
        </w:rPr>
        <w:t xml:space="preserve"> = 3.8%), which also exceeded the overall estimate (Figure 3b). </w:t>
      </w:r>
      <w:r>
        <w:rPr>
          <w:rFonts w:eastAsia="宋体" w:cs="Times New Roman"/>
          <w:color w:val="FF0000"/>
          <w:szCs w:val="24"/>
          <w:highlight w:val="none"/>
        </w:rPr>
        <w:t>This suggests that ANA positivity could serve as a more sensitive serological marker in early-onset POI,</w:t>
      </w:r>
      <w:r>
        <w:rPr>
          <w:rFonts w:eastAsia="宋体" w:cs="Times New Roman"/>
          <w:b w:val="0"/>
          <w:bCs w:val="0"/>
          <w:color w:val="FF0000"/>
          <w:szCs w:val="24"/>
          <w:highlight w:val="none"/>
        </w:rPr>
        <w:t xml:space="preserve"> potentially reflecting a stronger autoimmune component in younger women.</w:t>
      </w:r>
    </w:p>
    <w:p w14:paraId="62A7A2C4">
      <w:pPr>
        <w:spacing w:line="360" w:lineRule="auto"/>
        <w:rPr>
          <w:rFonts w:eastAsia="宋体" w:cs="Times New Roman"/>
          <w:color w:val="FF0000"/>
          <w:szCs w:val="24"/>
        </w:rPr>
      </w:pPr>
      <w:r>
        <w:rPr>
          <w:rFonts w:eastAsia="宋体" w:cs="Times New Roman"/>
          <w:color w:val="FF0000"/>
          <w:szCs w:val="24"/>
        </w:rPr>
        <w:t>With respect to ANA detection methods, studies utilizing indirect immunofluorescence (IIF) and dot immunogold filtration assay (DIGFA) reported the highest pooled odds ratios—</w:t>
      </w:r>
      <w:r>
        <w:rPr>
          <w:rFonts w:eastAsia="宋体" w:cs="Times New Roman"/>
          <w:b w:val="0"/>
          <w:bCs w:val="0"/>
          <w:color w:val="FF0000"/>
          <w:szCs w:val="24"/>
        </w:rPr>
        <w:t>3.22 (95% CI: 1.28–8.09, I² = 34.6%) and 3.84 (95% CI: 1.31–11.27, I</w:t>
      </w:r>
      <w:r>
        <w:rPr>
          <w:rFonts w:hint="eastAsia" w:eastAsia="宋体" w:cs="Times New Roman"/>
          <w:b w:val="0"/>
          <w:bCs w:val="0"/>
          <w:color w:val="FF0000"/>
          <w:szCs w:val="24"/>
          <w:vertAlign w:val="superscript"/>
        </w:rPr>
        <w:t>2</w:t>
      </w:r>
      <w:r>
        <w:rPr>
          <w:rFonts w:eastAsia="宋体" w:cs="Times New Roman"/>
          <w:b w:val="0"/>
          <w:bCs w:val="0"/>
          <w:color w:val="FF0000"/>
          <w:szCs w:val="24"/>
        </w:rPr>
        <w:t xml:space="preserve"> = 0%), respectively (Figure 3c).</w:t>
      </w:r>
      <w:r>
        <w:rPr>
          <w:rFonts w:eastAsia="宋体" w:cs="Times New Roman"/>
          <w:color w:val="FF0000"/>
          <w:szCs w:val="24"/>
        </w:rPr>
        <w:t xml:space="preserve"> These elevated estimates may reflect the higher analytical sensitivity of IIF and DIGFA in detecting autoantibodies. However, the moderate heterogeneity observed in the IIF subgroup suggests potential methodological inconsistencies across studies employing this technique.</w:t>
      </w:r>
    </w:p>
    <w:p w14:paraId="541C2360">
      <w:pPr>
        <w:spacing w:line="360" w:lineRule="auto"/>
        <w:rPr>
          <w:rFonts w:eastAsia="宋体" w:cs="Times New Roman"/>
          <w:color w:val="FF0000"/>
          <w:szCs w:val="24"/>
          <w:highlight w:val="none"/>
        </w:rPr>
      </w:pPr>
      <w:r>
        <w:rPr>
          <w:rFonts w:eastAsia="宋体" w:cs="Times New Roman"/>
          <w:color w:val="FF0000"/>
          <w:szCs w:val="24"/>
          <w:highlight w:val="none"/>
        </w:rPr>
        <w:t>Marked differences were also observed across types of control groups. The strongest association was found in studies using low gonadotropic amenorrhea controls (OR = 6.62, 95% CI: 2.25–19.52, I</w:t>
      </w:r>
      <w:r>
        <w:rPr>
          <w:rFonts w:hint="eastAsia" w:eastAsia="宋体" w:cs="Times New Roman"/>
          <w:color w:val="FF0000"/>
          <w:szCs w:val="24"/>
          <w:highlight w:val="none"/>
          <w:vertAlign w:val="superscript"/>
        </w:rPr>
        <w:t xml:space="preserve">2 </w:t>
      </w:r>
      <w:r>
        <w:rPr>
          <w:rFonts w:eastAsia="宋体" w:cs="Times New Roman"/>
          <w:color w:val="FF0000"/>
          <w:szCs w:val="24"/>
          <w:highlight w:val="none"/>
        </w:rPr>
        <w:t>= 0%), followed by those using non-ovarian infertility controls (OR = 4.42, 95% CI: 1.25–15.60, I² = 0%) and healthy controls (OR = 2.13, 95% CI: 1.23–3.68, I</w:t>
      </w:r>
      <w:r>
        <w:rPr>
          <w:rFonts w:hint="eastAsia" w:eastAsia="宋体" w:cs="Times New Roman"/>
          <w:color w:val="FF0000"/>
          <w:szCs w:val="24"/>
          <w:highlight w:val="none"/>
          <w:vertAlign w:val="superscript"/>
        </w:rPr>
        <w:t xml:space="preserve">2 </w:t>
      </w:r>
      <w:r>
        <w:rPr>
          <w:rFonts w:eastAsia="宋体" w:cs="Times New Roman"/>
          <w:color w:val="FF0000"/>
          <w:szCs w:val="24"/>
          <w:highlight w:val="none"/>
        </w:rPr>
        <w:t>= 0%) (Figure 3d). These findings suggest a gradient in ANA signal specificity, likely reflecting the different immune and hormonal profiles of control populations. The clearest signal was observed when comparisons were made against non-autoimmune and hormone-deficient groups.</w:t>
      </w:r>
    </w:p>
    <w:p w14:paraId="56860DF0">
      <w:pPr>
        <w:spacing w:line="360" w:lineRule="auto"/>
        <w:rPr>
          <w:rFonts w:eastAsia="宋体" w:cs="Times New Roman"/>
          <w:color w:val="FF0000"/>
          <w:szCs w:val="24"/>
        </w:rPr>
      </w:pPr>
      <w:r>
        <w:rPr>
          <w:rFonts w:eastAsia="宋体" w:cs="Times New Roman"/>
          <w:color w:val="FF0000"/>
          <w:szCs w:val="24"/>
        </w:rPr>
        <w:t>Collectively, these subgroup findings reinforce the robustness of the overall association and underscore specific clinical contexts—such as younger age, elevated FSH levels, and the use of more sensitive detection methods—where ANA positivity may be particularly informative in identifying women at elevated risk of POI.</w:t>
      </w:r>
    </w:p>
    <w:p w14:paraId="49160F8D">
      <w:pPr>
        <w:rPr>
          <w:rFonts w:cs="Times New Roman"/>
          <w:b/>
          <w:bCs/>
          <w:i/>
          <w:iCs/>
        </w:rPr>
      </w:pPr>
      <w:r>
        <w:rPr>
          <w:rFonts w:cs="Times New Roman"/>
          <w:b/>
          <w:bCs/>
          <w:i/>
          <w:iCs/>
        </w:rPr>
        <w:t>Study Quality</w:t>
      </w:r>
    </w:p>
    <w:p w14:paraId="6E5F7F4B">
      <w:pPr>
        <w:widowControl/>
        <w:spacing w:line="360" w:lineRule="auto"/>
        <w:jc w:val="left"/>
        <w:rPr>
          <w:rFonts w:eastAsia="宋体" w:cs="Times New Roman"/>
          <w:szCs w:val="24"/>
        </w:rPr>
      </w:pPr>
      <w:r>
        <w:rPr>
          <w:rFonts w:eastAsia="宋体" w:cs="Times New Roman"/>
          <w:szCs w:val="24"/>
        </w:rPr>
        <w:t>The quality assessment of the included observational studies was conducted using the Newcastle-Ottawa Scale (NOS) scoring system. The median NOS score among the 15 included studies was 8 (range: 7-9), indicating high-quality literature (</w:t>
      </w:r>
      <w:r>
        <w:rPr>
          <w:rFonts w:hint="eastAsia" w:eastAsia="宋体" w:cs="Times New Roman"/>
          <w:szCs w:val="24"/>
        </w:rPr>
        <w:t xml:space="preserve">shown in </w:t>
      </w:r>
      <w:r>
        <w:rPr>
          <w:rFonts w:eastAsia="宋体" w:cs="Times New Roman"/>
          <w:szCs w:val="24"/>
        </w:rPr>
        <w:t>Table 2).</w:t>
      </w:r>
    </w:p>
    <w:p w14:paraId="22E95F04">
      <w:pPr>
        <w:spacing w:line="360" w:lineRule="auto"/>
        <w:jc w:val="left"/>
        <w:rPr>
          <w:rFonts w:eastAsia="宋体" w:cs="Times New Roman"/>
          <w:szCs w:val="24"/>
        </w:rPr>
      </w:pPr>
      <w:r>
        <w:rPr>
          <w:rFonts w:cs="Times New Roman"/>
          <w:b/>
          <w:bCs/>
          <w:i/>
          <w:iCs/>
          <w:color w:val="FF0000"/>
        </w:rPr>
        <w:t>Publication Bias</w:t>
      </w:r>
      <w:r>
        <w:rPr>
          <w:rFonts w:eastAsia="宋体" w:cs="Times New Roman"/>
          <w:szCs w:val="24"/>
        </w:rPr>
        <w:br w:type="textWrapping"/>
      </w:r>
      <w:r>
        <w:rPr>
          <w:rFonts w:eastAsia="宋体" w:cs="Times New Roman"/>
          <w:color w:val="FF0000"/>
          <w:szCs w:val="24"/>
        </w:rPr>
        <w:t xml:space="preserve">To assess the risk of publication bias, we constructed a funnel plot (Figure </w:t>
      </w:r>
      <w:r>
        <w:rPr>
          <w:rFonts w:hint="eastAsia" w:eastAsia="宋体" w:cs="Times New Roman"/>
          <w:color w:val="FF0000"/>
          <w:szCs w:val="24"/>
        </w:rPr>
        <w:t>4</w:t>
      </w:r>
      <w:r>
        <w:rPr>
          <w:rFonts w:eastAsia="宋体" w:cs="Times New Roman"/>
          <w:color w:val="FF0000"/>
          <w:szCs w:val="24"/>
        </w:rPr>
        <w:t>) based on the included studies. The plot appeared symmetrical upon visual inspection, suggesting no significant publication bias. Furthermore, Egger’s regression test was performed and yielded a</w:t>
      </w:r>
      <w:r>
        <w:rPr>
          <w:rFonts w:eastAsia="宋体" w:cs="Times New Roman"/>
          <w:b/>
          <w:bCs/>
          <w:color w:val="FF0000"/>
          <w:szCs w:val="24"/>
        </w:rPr>
        <w:t xml:space="preserve"> </w:t>
      </w:r>
      <w:r>
        <w:rPr>
          <w:rFonts w:eastAsia="宋体" w:cs="Times New Roman"/>
          <w:b w:val="0"/>
          <w:bCs w:val="0"/>
          <w:color w:val="FF0000"/>
          <w:szCs w:val="24"/>
          <w:highlight w:val="none"/>
        </w:rPr>
        <w:t>p-value of 0.289</w:t>
      </w:r>
      <w:r>
        <w:rPr>
          <w:rFonts w:eastAsia="宋体" w:cs="Times New Roman"/>
          <w:b/>
          <w:bCs/>
          <w:color w:val="FF0000"/>
          <w:szCs w:val="24"/>
        </w:rPr>
        <w:t xml:space="preserve">, </w:t>
      </w:r>
      <w:r>
        <w:rPr>
          <w:rFonts w:eastAsia="宋体" w:cs="Times New Roman"/>
          <w:color w:val="FF0000"/>
          <w:szCs w:val="24"/>
        </w:rPr>
        <w:t>which further supports the absence of publication bias in this meta-analysis. To further validate this, we performed a trim-and-fill analysis, which did not impute any potentially missing studies, and the adjusted pooled OR was consistent with the original result. This indicates that our findings are robust and unlikely to be significantly influenced by small-study effects.</w:t>
      </w:r>
    </w:p>
    <w:p w14:paraId="4FE36B5D">
      <w:pPr>
        <w:spacing w:line="360" w:lineRule="auto"/>
        <w:rPr>
          <w:rFonts w:eastAsia="宋体" w:cs="Times New Roman"/>
          <w:b/>
          <w:bCs/>
          <w:i/>
          <w:iCs/>
          <w:color w:val="FF0000"/>
          <w:szCs w:val="24"/>
        </w:rPr>
      </w:pPr>
    </w:p>
    <w:p w14:paraId="7436EA49">
      <w:pPr>
        <w:spacing w:line="360" w:lineRule="auto"/>
        <w:rPr>
          <w:rFonts w:cs="Times New Roman"/>
          <w:b/>
          <w:bCs/>
          <w:szCs w:val="24"/>
        </w:rPr>
      </w:pPr>
      <w:r>
        <w:rPr>
          <w:rFonts w:cs="Times New Roman"/>
          <w:b/>
          <w:bCs/>
          <w:szCs w:val="24"/>
        </w:rPr>
        <w:t xml:space="preserve">DISCUSSION </w:t>
      </w:r>
    </w:p>
    <w:p w14:paraId="600718C7">
      <w:pPr>
        <w:spacing w:line="360" w:lineRule="auto"/>
        <w:rPr>
          <w:rFonts w:eastAsia="宋体" w:cs="Times New Roman"/>
          <w:szCs w:val="24"/>
        </w:rPr>
      </w:pPr>
      <w:r>
        <w:rPr>
          <w:rFonts w:eastAsia="宋体" w:cs="Times New Roman"/>
          <w:szCs w:val="24"/>
        </w:rPr>
        <w:t>Premature ovarian failure was first reported by Arias et al.</w:t>
      </w:r>
      <w:r>
        <w:rPr>
          <w:rFonts w:hint="eastAsia" w:eastAsia="宋体" w:cs="Times New Roman"/>
          <w:szCs w:val="24"/>
        </w:rPr>
        <w:t xml:space="preserve"> </w:t>
      </w:r>
      <w:r>
        <w:rPr>
          <w:rFonts w:eastAsia="宋体" w:cs="Times New Roman"/>
          <w:szCs w:val="24"/>
        </w:rPr>
        <w:fldChar w:fldCharType="begin"/>
      </w:r>
      <w:r>
        <w:rPr>
          <w:rFonts w:eastAsia="宋体" w:cs="Times New Roman"/>
          <w:szCs w:val="24"/>
        </w:rPr>
        <w:instrText xml:space="preserve"> ADDIN EN.CITE &lt;EndNote&gt;&lt;Cite&gt;&lt;Author&gt;Arias&lt;/Author&gt;&lt;Year&gt;1950&lt;/Year&gt;&lt;RecNum&gt;51&lt;/RecNum&gt;&lt;DisplayText&gt;&lt;style face="superscript"&gt;29&lt;/style&gt;&lt;/DisplayText&gt;&lt;record&gt;&lt;rec-number&gt;51&lt;/rec-number&gt;&lt;foreign-keys&gt;&lt;key app="EN" db-id="0a0rwdw0csffz2eztr1vr020etf50fxwfav5" timestamp="1739803230" guid="f9de03fa-7292-4412-9423-2502d6d780d2"&gt;51&lt;/key&gt;&lt;/foreign-keys&gt;&lt;ref-type name="Journal Article"&gt;17&lt;/ref-type&gt;&lt;contributors&gt;&lt;authors&gt;&lt;author&gt;Arias, A. R&lt;/author&gt;&lt;/authors&gt;&lt;/contributors&gt;&lt;titles&gt;&lt;title&gt;La menopausia precozysu tratamento hormonal&lt;/title&gt;&lt;secondary-title&gt;Rev med chile&lt;/secondary-title&gt;&lt;/titles&gt;&lt;periodical&gt;&lt;full-title&gt;Rev med chile&lt;/full-title&gt;&lt;/periodical&gt;&lt;pages&gt;373&lt;/pages&gt;&lt;volume&gt;78&lt;/volume&gt;&lt;dates&gt;&lt;year&gt;1950&lt;/year&gt;&lt;/dates&gt;&lt;urls&gt;&lt;/urls&gt;&lt;/record&gt;&lt;/Cite&gt;&lt;/EndNote&gt;</w:instrText>
      </w:r>
      <w:r>
        <w:rPr>
          <w:rFonts w:eastAsia="宋体" w:cs="Times New Roman"/>
          <w:szCs w:val="24"/>
        </w:rPr>
        <w:fldChar w:fldCharType="separate"/>
      </w:r>
      <w:r>
        <w:rPr>
          <w:rFonts w:eastAsia="宋体" w:cs="Times New Roman"/>
          <w:szCs w:val="24"/>
          <w:vertAlign w:val="superscript"/>
        </w:rPr>
        <w:t>29</w:t>
      </w:r>
      <w:r>
        <w:rPr>
          <w:rFonts w:eastAsia="宋体" w:cs="Times New Roman"/>
          <w:szCs w:val="24"/>
        </w:rPr>
        <w:fldChar w:fldCharType="end"/>
      </w:r>
      <w:r>
        <w:rPr>
          <w:rFonts w:eastAsia="宋体" w:cs="Times New Roman"/>
          <w:szCs w:val="24"/>
        </w:rPr>
        <w:t xml:space="preserve"> in 1950, It occurs in approximately 1% to 2% of women in the general population</w:t>
      </w:r>
      <w:r>
        <w:rPr>
          <w:rFonts w:hint="eastAsia" w:eastAsia="宋体" w:cs="Times New Roman"/>
          <w:szCs w:val="24"/>
        </w:rPr>
        <w:t xml:space="preserve">. </w:t>
      </w:r>
      <w:r>
        <w:rPr>
          <w:rFonts w:eastAsia="宋体" w:cs="Times New Roman"/>
          <w:szCs w:val="24"/>
        </w:rPr>
        <w:fldChar w:fldCharType="begin"/>
      </w:r>
      <w:r>
        <w:rPr>
          <w:rFonts w:eastAsia="宋体" w:cs="Times New Roman"/>
          <w:szCs w:val="24"/>
        </w:rPr>
        <w:instrText xml:space="preserve"> ADDIN EN.CITE &lt;EndNote&gt;&lt;Cite&gt;&lt;Author&gt;Vegetti W&lt;/Author&gt;&lt;Year&gt;2000&lt;/Year&gt;&lt;RecNum&gt;10&lt;/RecNum&gt;&lt;DisplayText&gt;&lt;style face="superscript"&gt;30&lt;/style&gt;&lt;/DisplayText&gt;&lt;record&gt;&lt;rec-number&gt;10&lt;/rec-number&gt;&lt;foreign-keys&gt;&lt;key app="EN" db-id="0a0rwdw0csffz2eztr1vr020etf50fxwfav5" timestamp="1739802983" guid="c24592c1-36a7-43b5-a116-1bf223fa20a1"&gt;10&lt;/key&gt;&lt;/foreign-keys&gt;&lt;ref-type name="Journal Article"&gt;17&lt;/ref-type&gt;&lt;contributors&gt;&lt;authors&gt;&lt;author&gt;Vegetti W, Marozzi A, Manfredini E, et al&lt;/author&gt;&lt;/authors&gt;&lt;/contributors&gt;&lt;titles&gt;&lt;title&gt;Premature ovarian failure&lt;/title&gt;&lt;secondary-title&gt;Molecular and cellular endocrinology&lt;/secondary-title&gt;&lt;/titles&gt;&lt;periodical&gt;&lt;full-title&gt;Molecular and cellular endocrinology&lt;/full-title&gt;&lt;/periodical&gt;&lt;pages&gt;53-7&lt;/pages&gt;&lt;volume&gt;161&lt;/volume&gt;&lt;number&gt;1&lt;/number&gt;&lt;dates&gt;&lt;year&gt;2000&lt;/year&gt;&lt;/dates&gt;&lt;isbn&gt;0303-7207&lt;/isbn&gt;&lt;urls&gt;&lt;related-urls&gt;&lt;url&gt;https://pubmed.ncbi.nlm.nih.gov/10773392/&lt;/url&gt;&lt;/related-urls&gt;&lt;/urls&gt;&lt;electronic-resource-num&gt;10.1016/s0303-7207(99)00224-5&lt;/electronic-resource-num&gt;&lt;/record&gt;&lt;/Cite&gt;&lt;/EndNote&gt;</w:instrText>
      </w:r>
      <w:r>
        <w:rPr>
          <w:rFonts w:eastAsia="宋体" w:cs="Times New Roman"/>
          <w:szCs w:val="24"/>
        </w:rPr>
        <w:fldChar w:fldCharType="separate"/>
      </w:r>
      <w:r>
        <w:rPr>
          <w:rFonts w:eastAsia="宋体" w:cs="Times New Roman"/>
          <w:szCs w:val="24"/>
          <w:vertAlign w:val="superscript"/>
        </w:rPr>
        <w:t>30</w:t>
      </w:r>
      <w:r>
        <w:rPr>
          <w:rFonts w:eastAsia="宋体" w:cs="Times New Roman"/>
          <w:szCs w:val="24"/>
        </w:rPr>
        <w:fldChar w:fldCharType="end"/>
      </w:r>
      <w:r>
        <w:rPr>
          <w:rFonts w:eastAsia="宋体" w:cs="Times New Roman"/>
          <w:szCs w:val="24"/>
        </w:rPr>
        <w:t>Autoimmune premature ovarian failure (APOF), as a subtype within the spectrum of POF, is often associated with autoimmune diseases and shows positive results for various autoantibodies, such as anti-ovarian antibodies(AOAb), anti-zona pellucida antibodies(AZP), ANA, and more.</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&lt;EndNote&gt;&lt;Cite&gt;&lt;Author&gt;C A Silva&lt;/Author&gt;&lt;Year&gt;2014&lt;/Year&gt;&lt;RecNum&gt;56&lt;/RecNum&gt;&lt;DisplayText&gt;&lt;style face="superscript"&gt;31&lt;/style&gt;&lt;/DisplayText&gt;&lt;record&gt;&lt;rec-number&gt;56&lt;/rec-number&gt;&lt;foreign-keys&gt;&lt;key app="EN" db-id="0a0rwdw0csffz2eztr1vr020etf50fxwfav5" timestamp="1739803235" guid="8d4ffdc0-3d81-48b7-a950-811d18a6d75b"&gt;56&lt;/key&gt;&lt;/foreign-keys&gt;&lt;ref-type name="Journal Article"&gt;17&lt;/ref-type&gt;&lt;contributors&gt;&lt;authors&gt;&lt;author&gt;C A Silva, L Y S Yamakami, N E Aikawa, D B Araujo, J F Carvalho, E Bonfá&lt;/author&gt;&lt;/authors&gt;&lt;/contributors&gt;&lt;titles&gt;&lt;title&gt;Autoimmune primary ovarian insufficiency&lt;/title&gt;&lt;secondary-title&gt;Autoimmunity reviews&lt;/secondary-title&gt;&lt;/titles&gt;&lt;periodical&gt;&lt;full-title&gt;Autoimmunity reviews&lt;/full-title&gt;&lt;/periodical&gt;&lt;pages&gt;427-30&lt;/pages&gt;&lt;volume&gt;13&lt;/volume&gt;&lt;number&gt;4-5&lt;/number&gt;&lt;dates&gt;&lt;year&gt;2014&lt;/year&gt;&lt;/dates&gt;&lt;isbn&gt;1873-0183&lt;/isbn&gt;&lt;urls&gt;&lt;related-urls&gt;&lt;url&gt;https://pubmed.ncbi.nlm.nih.gov/24418305/&lt;/url&gt;&lt;/related-urls&gt;&lt;/urls&gt;&lt;electronic-resource-num&gt;10.1016/j.autrev.2014.01.003&lt;/electronic-resource-num&gt;&lt;/record&gt;&lt;/Cite&gt;&lt;/EndNote&gt;</w:instrText>
      </w:r>
      <w:r>
        <w:rPr>
          <w:rFonts w:eastAsia="宋体" w:cs="Times New Roman"/>
          <w:szCs w:val="24"/>
        </w:rPr>
        <w:fldChar w:fldCharType="separate"/>
      </w:r>
      <w:r>
        <w:rPr>
          <w:rFonts w:eastAsia="宋体" w:cs="Times New Roman"/>
          <w:szCs w:val="24"/>
          <w:vertAlign w:val="superscript"/>
        </w:rPr>
        <w:t>31</w:t>
      </w:r>
      <w:r>
        <w:rPr>
          <w:rFonts w:eastAsia="宋体" w:cs="Times New Roman"/>
          <w:szCs w:val="24"/>
        </w:rPr>
        <w:fldChar w:fldCharType="end"/>
      </w:r>
    </w:p>
    <w:p w14:paraId="0B4E761E">
      <w:pPr>
        <w:spacing w:line="360" w:lineRule="auto"/>
        <w:rPr>
          <w:rFonts w:eastAsia="宋体" w:cs="Times New Roman"/>
          <w:szCs w:val="24"/>
        </w:rPr>
      </w:pPr>
      <w:r>
        <w:rPr>
          <w:rFonts w:eastAsia="宋体" w:cs="Times New Roman"/>
          <w:szCs w:val="24"/>
        </w:rPr>
        <w:t>The cause of POI induced by ANA may be attributed to the direct or indirect involvement of the immune system in the development of ovarian follicles. The immune system's inability to recognize normal ovarian tissue and its attack on target cells lead to impaired ovarian function, resulting in POI.</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&lt;EndNote&gt;&lt;Cite&gt;&lt;Author&gt;Komorowska&lt;/Author&gt;&lt;Year&gt;2016&lt;/Year&gt;&lt;RecNum&gt;55&lt;/RecNum&gt;&lt;DisplayText&gt;&lt;style face="superscript"&gt;32&lt;/style&gt;&lt;/DisplayText&gt;&lt;record&gt;&lt;rec-number&gt;55&lt;/rec-number&gt;&lt;foreign-keys&gt;&lt;key app="EN" db-id="0a0rwdw0csffz2eztr1vr020etf50fxwfav5" timestamp="1739803230" guid="70660b59-677c-4c48-97bf-4afa37eae164"&gt;55&lt;/key&gt;&lt;/foreign-keys&gt;&lt;ref-type name="Journal Article"&gt;17&lt;/ref-type&gt;&lt;contributors&gt;&lt;authors&gt;&lt;author&gt;Beata Komorowska&lt;/author&gt;&lt;/authors&gt;&lt;/contributors&gt;&lt;titles&gt;&lt;title&gt;Autoimmune premature ovarian failure&lt;/title&gt;&lt;secondary-title&gt;Przeglad menopauzaly Menopause review&lt;/secondary-title&gt;&lt;/titles&gt;&lt;periodical&gt;&lt;full-title&gt;Przeglad menopauzaly Menopause review&lt;/full-title&gt;&lt;/periodical&gt;&lt;pages&gt;210-4&lt;/pages&gt;&lt;volume&gt;15&lt;/volume&gt;&lt;number&gt;4&lt;/number&gt;&lt;dates&gt;&lt;year&gt;2016&lt;/year&gt;&lt;/dates&gt;&lt;isbn&gt;1643-8876&lt;/isbn&gt;&lt;urls&gt;&lt;related-urls&gt;&lt;url&gt;https://pubmed.ncbi.nlm.nih.gov/28250725/&lt;/url&gt;&lt;/related-urls&gt;&lt;/urls&gt;&lt;electronic-resource-num&gt;10.5114/pm.2016.65666&lt;/electronic-resource-num&gt;&lt;/record&gt;&lt;/Cite&gt;&lt;/EndNote&gt;</w:instrText>
      </w:r>
      <w:r>
        <w:rPr>
          <w:rFonts w:eastAsia="宋体" w:cs="Times New Roman"/>
          <w:szCs w:val="24"/>
        </w:rPr>
        <w:fldChar w:fldCharType="separate"/>
      </w:r>
      <w:r>
        <w:rPr>
          <w:rFonts w:eastAsia="宋体" w:cs="Times New Roman"/>
          <w:szCs w:val="24"/>
          <w:vertAlign w:val="superscript"/>
        </w:rPr>
        <w:t>32</w:t>
      </w:r>
      <w:r>
        <w:rPr>
          <w:rFonts w:eastAsia="宋体" w:cs="Times New Roman"/>
          <w:szCs w:val="24"/>
        </w:rPr>
        <w:fldChar w:fldCharType="end"/>
      </w:r>
    </w:p>
    <w:p w14:paraId="5C161EFC">
      <w:pPr>
        <w:spacing w:line="360" w:lineRule="auto"/>
        <w:rPr>
          <w:rFonts w:eastAsia="宋体" w:cs="Times New Roman"/>
          <w:szCs w:val="24"/>
        </w:rPr>
      </w:pPr>
      <w:r>
        <w:rPr>
          <w:rFonts w:eastAsia="宋体" w:cs="Times New Roman"/>
          <w:szCs w:val="24"/>
        </w:rPr>
        <w:t>Ovarian biopsy has been identified as the gold standard for confirming autoimmune oophoritis in patients with circulating autoantibodies. Pathological examination reveals abundant infiltration of plasma cells and lymphocytes in ovarian tissue, along with a reduction in granulosa cells and follicular cells.</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&lt;EndNote&gt;&lt;Cite&gt;&lt;Author&gt;Renata Košir Pogačnik&lt;/Author&gt;&lt;Year&gt;2014&lt;/Year&gt;&lt;RecNum&gt;79&lt;/RecNum&gt;&lt;DisplayText&gt;&lt;style face="superscript"&gt;33&lt;/style&gt;&lt;/DisplayText&gt;&lt;record&gt;&lt;rec-number&gt;79&lt;/rec-number&gt;&lt;foreign-keys&gt;&lt;key app="EN" db-id="0a0rwdw0csffz2eztr1vr020etf50fxwfav5" timestamp="1739803297" guid="3db460c9-698c-41b0-a176-951066c024fc"&gt;79&lt;/key&gt;&lt;/foreign-keys&gt;&lt;ref-type name="Journal Article"&gt;17&lt;/ref-type&gt;&lt;contributors&gt;&lt;authors&gt;&lt;author&gt;Renata Košir Pogačnik, Helena Meden Vrtovec, Alenka Vizjak, Alenka Uršula Levičnik, Nina Slabe, Alojz Ihan&lt;/author&gt;&lt;/authors&gt;&lt;/contributors&gt;&lt;auth-address&gt;Department of Obstetrics and Gynecology, University Medical Centre Ljubljana, Ljubljana, Slovenia.&amp;#xD;Institute of Pathology, Faculty of Medicine, University of Ljubljana, Ljubljana, Slovenia.&amp;#xD;Institute of Microbiology and Immunology, Faculty of Medicine, University of Ljubljana, Ljubljana, Slovenia.&lt;/auth-address&gt;&lt;titles&gt;&lt;title&gt;Possible role of autoimmunity in patients with premature ovarian insufficiency&lt;/title&gt;&lt;secondary-title&gt;International Journal of Fertility &amp;amp; Sterility&lt;/secondary-title&gt;&lt;/titles&gt;&lt;periodical&gt;&lt;full-title&gt;International Journal of Fertility &amp;amp; Sterility&lt;/full-title&gt;&lt;/periodical&gt;&lt;pages&gt;281-90&lt;/pages&gt;&lt;volume&gt;7&lt;/volume&gt;&lt;number&gt;4&lt;/number&gt;&lt;edition&gt;2014/02/13&lt;/edition&gt;&lt;keywords&gt;&lt;keyword&gt;Autoantibody&lt;/keyword&gt;&lt;keyword&gt;Cell Immunity&lt;/keyword&gt;&lt;keyword&gt;Premature Ovarian Insufficiency&lt;/keyword&gt;&lt;keyword&gt;T-Lymphocyte&lt;/keyword&gt;&lt;keyword&gt;Thyroid Stimulating Antibody&lt;/keyword&gt;&lt;/keywords&gt;&lt;dates&gt;&lt;year&gt;2014&lt;/year&gt;&lt;pub-dates&gt;&lt;date&gt;Jan&lt;/date&gt;&lt;/pub-dates&gt;&lt;/dates&gt;&lt;isbn&gt;2008-076X (Print)&amp;#xD;2008-0778 (Electronic)&amp;#xD;2008-0778 (Linking)&lt;/isbn&gt;&lt;accession-num&gt;24520498&lt;/accession-num&gt;&lt;urls&gt;&lt;related-urls&gt;&lt;url&gt;https://www.ncbi.nlm.nih.gov/pubmed/24520498&lt;/url&gt;&lt;/related-urls&gt;&lt;/urls&gt;&lt;custom2&gt;PMC3901183&lt;/custom2&gt;&lt;/record&gt;&lt;/Cite&gt;&lt;/EndNote&gt;</w:instrText>
      </w:r>
      <w:r>
        <w:rPr>
          <w:rFonts w:eastAsia="宋体" w:cs="Times New Roman"/>
          <w:szCs w:val="24"/>
        </w:rPr>
        <w:fldChar w:fldCharType="separate"/>
      </w:r>
      <w:r>
        <w:rPr>
          <w:rFonts w:eastAsia="宋体" w:cs="Times New Roman"/>
          <w:szCs w:val="24"/>
          <w:vertAlign w:val="superscript"/>
        </w:rPr>
        <w:t>33</w:t>
      </w:r>
      <w:r>
        <w:rPr>
          <w:rFonts w:eastAsia="宋体" w:cs="Times New Roman"/>
          <w:szCs w:val="24"/>
        </w:rPr>
        <w:fldChar w:fldCharType="end"/>
      </w:r>
      <w:r>
        <w:rPr>
          <w:rFonts w:eastAsia="宋体" w:cs="Times New Roman"/>
          <w:szCs w:val="24"/>
        </w:rPr>
        <w:t xml:space="preserve"> Our meta-study found that although the positive rate of ANA in POI women was significantly higher than that in the control group, the positive rate of ANA was less than 20%, which may be due to the inability to trace and rule out whether patients had non-immune causes of chromosomal abnormalities such as the X fragility chromosome in the case-control study.</w:t>
      </w:r>
    </w:p>
    <w:p w14:paraId="57AF8B54">
      <w:pPr>
        <w:spacing w:line="360" w:lineRule="auto"/>
        <w:rPr>
          <w:rFonts w:eastAsia="宋体" w:cs="Times New Roman"/>
          <w:szCs w:val="24"/>
        </w:rPr>
      </w:pPr>
      <w:r>
        <w:rPr>
          <w:rFonts w:eastAsia="宋体" w:cs="Times New Roman"/>
          <w:szCs w:val="24"/>
        </w:rPr>
        <w:t>In this study, we found that the positive rate of ANA in POI was significantly higher than that in age-matched control women, which is sufficient to indicate that ANA positivity is a special event in the etiology and clinical practice of POI population；In various control groups, premature ovarian failure patients had a higher positive rate of ANA than age-matched patients with hypogonadotropins with secondary amenorrhea, suggesting that hypoestrogenemia in the POI population may not have a potential role in ANA formation. Wheatcroft.</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&lt;EndNote&gt;&lt;Cite&gt;&lt;Author&gt;N J Wheatcroft&lt;/Author&gt;&lt;Year&gt;1997&lt;/Year&gt;&lt;RecNum&gt;2&lt;/RecNum&gt;&lt;DisplayText&gt;&lt;style face="superscript"&gt;34&lt;/style&gt;&lt;/DisplayText&gt;&lt;record&gt;&lt;rec-number&gt;2&lt;/rec-number&gt;&lt;foreign-keys&gt;&lt;key app="EN" db-id="0a0rwdw0csffz2eztr1vr020etf50fxwfav5" timestamp="1739802974" guid="249106e8-3f58-4dd9-98ab-379051ea9130"&gt;2&lt;/key&gt;&lt;/foreign-keys&gt;&lt;ref-type name="Journal Article"&gt;17&lt;/ref-type&gt;&lt;contributors&gt;&lt;authors&gt;&lt;author&gt;N J Wheatcroft, et al&lt;/author&gt;&lt;/authors&gt;&lt;/contributors&gt;&lt;titles&gt;&lt;title&gt;Is subclinical ovarian failure an autoimmune disease?&lt;/title&gt;&lt;secondary-title&gt;Human reproduction (Oxford, England)&lt;/secondary-title&gt;&lt;/titles&gt;&lt;periodical&gt;&lt;full-title&gt;Human reproduction (Oxford, England)&lt;/full-title&gt;&lt;/periodical&gt;&lt;volume&gt;12&lt;/volume&gt;&lt;number&gt;2&lt;/number&gt;&lt;dates&gt;&lt;year&gt;1997&lt;/year&gt;&lt;/dates&gt;&lt;isbn&gt;0268-1161&lt;/isbn&gt;&lt;urls&gt;&lt;related-urls&gt;&lt;url&gt;https://pubmed.ncbi.nlm.nih.gov/9070704/&lt;/url&gt;&lt;/related-urls&gt;&lt;/urls&gt;&lt;electronic-resource-num&gt;10.1093/humrep/12.2.244&lt;/electronic-resource-num&gt;&lt;/record&gt;&lt;/Cite&gt;&lt;/EndNote&gt;</w:instrText>
      </w:r>
      <w:r>
        <w:rPr>
          <w:rFonts w:eastAsia="宋体" w:cs="Times New Roman"/>
          <w:szCs w:val="24"/>
        </w:rPr>
        <w:fldChar w:fldCharType="separate"/>
      </w:r>
      <w:r>
        <w:rPr>
          <w:rFonts w:eastAsia="宋体" w:cs="Times New Roman"/>
          <w:szCs w:val="24"/>
          <w:vertAlign w:val="superscript"/>
        </w:rPr>
        <w:t>34</w:t>
      </w:r>
      <w:r>
        <w:rPr>
          <w:rFonts w:eastAsia="宋体" w:cs="Times New Roman"/>
          <w:szCs w:val="24"/>
        </w:rPr>
        <w:fldChar w:fldCharType="end"/>
      </w:r>
      <w:r>
        <w:rPr>
          <w:rFonts w:eastAsia="宋体" w:cs="Times New Roman"/>
          <w:szCs w:val="24"/>
        </w:rPr>
        <w:t xml:space="preserve"> also reported that among menstruating women with regular cycles and elevated FSH levels, aged between 27 and 38 years, those who were ANA-negative experienced a later onset of ovarian decline compared to ANA-positive individuals without diagnosed autoimmune diseases. The positivity rate of ANA in the POI population does not differ significantly from postmenopausal women, possibly due to the fact that ANA positivity can also occur in normal elderly women.</w:t>
      </w:r>
      <w:r>
        <w:rPr>
          <w:rFonts w:eastAsia="宋体" w:cs="Times New Roman"/>
          <w:szCs w:val="24"/>
        </w:rPr>
        <w:fldChar w:fldCharType="begin"/>
      </w:r>
      <w:r>
        <w:rPr>
          <w:rFonts w:eastAsia="宋体" w:cs="Times New Roman"/>
          <w:szCs w:val="24"/>
        </w:rPr>
        <w:instrText xml:space="preserve"> ADDIN EN.CITE &lt;EndNote&gt;&lt;Cite&gt;&lt;Author&gt;HongLin L&lt;/Author&gt;&lt;Year&gt;2008&lt;/Year&gt;&lt;RecNum&gt;80&lt;/RecNum&gt;&lt;DisplayText&gt;&lt;style face="superscript"&gt;35&lt;/style&gt;&lt;/DisplayText&gt;&lt;record&gt;&lt;rec-number&gt;80&lt;/rec-number&gt;&lt;foreign-keys&gt;&lt;key app="EN" db-id="0a0rwdw0csffz2eztr1vr020etf50fxwfav5" timestamp="1739803297" guid="8eb0f145-c7f6-4fb7-8433-e644e6ef531a"&gt;80&lt;/key&gt;&lt;/foreign-keys&gt;&lt;ref-type name="Journal Article"&gt;17&lt;/ref-type&gt;&lt;contributors&gt;&lt;authors&gt;&lt;author&gt;HongLin L, ZhiXun D.&lt;/author&gt;&lt;/authors&gt;&lt;/contributors&gt;&lt;titles&gt;&lt;title&gt;The significance of anti nuclear antibodies and anti double stranded DNA detection in the diagnosis of systemic lupus erythematosus&lt;/title&gt;&lt;secondary-title&gt;China Medical Herald&lt;/secondary-title&gt;&lt;/titles&gt;&lt;periodical&gt;&lt;full-title&gt;China Medical Herald&lt;/full-title&gt;&lt;/periodical&gt;&lt;pages&gt;163&lt;/pages&gt;&lt;volume&gt;5&lt;/volume&gt;&lt;number&gt;1&lt;/number&gt;&lt;dates&gt;&lt;year&gt;2008&lt;/year&gt;&lt;/dates&gt;&lt;urls&gt;&lt;/urls&gt;&lt;electronic-resource-num&gt;10.3969/j.issn.1673-7210.2008.01.129&lt;/electronic-resource-num&gt;&lt;/record&gt;&lt;/Cite&gt;&lt;/EndNote&gt;</w:instrText>
      </w:r>
      <w:r>
        <w:rPr>
          <w:rFonts w:eastAsia="宋体" w:cs="Times New Roman"/>
          <w:szCs w:val="24"/>
        </w:rPr>
        <w:fldChar w:fldCharType="separate"/>
      </w:r>
      <w:r>
        <w:rPr>
          <w:rFonts w:eastAsia="宋体" w:cs="Times New Roman"/>
          <w:szCs w:val="24"/>
          <w:vertAlign w:val="superscript"/>
        </w:rPr>
        <w:t>35</w:t>
      </w:r>
      <w:r>
        <w:rPr>
          <w:rFonts w:eastAsia="宋体" w:cs="Times New Roman"/>
          <w:szCs w:val="24"/>
        </w:rPr>
        <w:fldChar w:fldCharType="end"/>
      </w:r>
      <w:r>
        <w:rPr>
          <w:rFonts w:eastAsia="宋体" w:cs="Times New Roman"/>
          <w:szCs w:val="24"/>
        </w:rPr>
        <w:t xml:space="preserve"> In future cohort studies and randomized controlled trials, we recommend age-matched women as the control group, especially those with hypogonadotropic, because their hormone levels are more compatible with the POI population.</w:t>
      </w:r>
    </w:p>
    <w:p w14:paraId="0480F0EF">
      <w:pPr>
        <w:widowControl/>
        <w:spacing w:line="360" w:lineRule="auto"/>
        <w:jc w:val="left"/>
        <w:rPr>
          <w:rFonts w:eastAsia="宋体" w:cs="Times New Roman"/>
          <w:szCs w:val="24"/>
        </w:rPr>
      </w:pPr>
      <w:r>
        <w:rPr>
          <w:rFonts w:eastAsia="宋体" w:cs="Times New Roman"/>
          <w:szCs w:val="24"/>
        </w:rPr>
        <w:t>In 2016, ESHRE published "Guideline: management of women with premature ovarian insufficiency”. The guideline lowered the diagnostic threshold of FSH from &gt;40 U/L to &gt;25 U/L, moving the diagnostic cutoff forward.</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&lt;EndNote&gt;&lt;Cite&gt;&lt;Author&gt;The ESHRE Guideline Group on POI&lt;/Author&gt;&lt;Year&gt;2016&lt;/Year&gt;&lt;RecNum&gt;29&lt;/RecNum&gt;&lt;DisplayText&gt;&lt;style face="superscript"&gt;2&lt;/style&gt;&lt;/DisplayText&gt;&lt;record&gt;&lt;rec-number&gt;29&lt;/rec-number&gt;&lt;foreign-keys&gt;&lt;key app="EN" db-id="0a0rwdw0csffz2eztr1vr020etf50fxwfav5" timestamp="1739802995" guid="2b2bee72-d3ec-4556-a209-cb6776aa0caa"&gt;29&lt;/key&gt;&lt;/foreign-keys&gt;&lt;ref-type name="Journal Article"&gt;17&lt;/ref-type&gt;&lt;contributors&gt;&lt;authors&gt;&lt;author&gt;The ESHRE Guideline Group on POI, L.Webber, M. Davies, R. Anderson, J. Bartlett, D. Braat, B. Cartwright, R. Cifkova, S. et al.&lt;/author&gt;&lt;/authors&gt;&lt;/contributors&gt;&lt;titles&gt;&lt;title&gt;ESHRE Guideline: management of women with premature ovarian insufficiency&lt;/title&gt;&lt;secondary-title&gt;Human Reproduction&lt;/secondary-title&gt;&lt;/titles&gt;&lt;periodical&gt;&lt;full-title&gt;Human Reproduction&lt;/full-title&gt;&lt;/periodical&gt;&lt;pages&gt;926-937&lt;/pages&gt;&lt;volume&gt;31&lt;/volume&gt;&lt;number&gt;5&lt;/number&gt;&lt;dates&gt;&lt;year&gt;2016&lt;/year&gt;&lt;/dates&gt;&lt;isbn&gt;0268-1161&lt;/isbn&gt;&lt;urls&gt;&lt;related-urls&gt;&lt;url&gt;https://academic.oup.com/humrep/article/31/5/926/1749616?login=false&lt;/url&gt;&lt;/related-urls&gt;&lt;/urls&gt;&lt;electronic-resource-num&gt;10.1093/humrep/dew027&lt;/electronic-resource-num&gt;&lt;/record&gt;&lt;/Cite&gt;&lt;/EndNote&gt;</w:instrText>
      </w:r>
      <w:r>
        <w:rPr>
          <w:rFonts w:eastAsia="宋体" w:cs="Times New Roman"/>
          <w:szCs w:val="24"/>
        </w:rPr>
        <w:fldChar w:fldCharType="separate"/>
      </w:r>
      <w:r>
        <w:rPr>
          <w:rFonts w:eastAsia="宋体" w:cs="Times New Roman"/>
          <w:szCs w:val="24"/>
          <w:vertAlign w:val="superscript"/>
        </w:rPr>
        <w:t>2</w:t>
      </w:r>
      <w:r>
        <w:rPr>
          <w:rFonts w:eastAsia="宋体" w:cs="Times New Roman"/>
          <w:szCs w:val="24"/>
        </w:rPr>
        <w:fldChar w:fldCharType="end"/>
      </w:r>
      <w:r>
        <w:rPr>
          <w:rFonts w:eastAsia="宋体" w:cs="Times New Roman"/>
          <w:szCs w:val="24"/>
        </w:rPr>
        <w:t>. ESHRE has updated the diagnostic criteria for POI, aiming to broaden the scope of ovarian function decline, enabling early diagnosis and treatment for patients, thus avoiding potential missed reproductive opportunities. A retrospective study by Kunicki et al.</w:t>
      </w:r>
      <w:r>
        <w:rPr>
          <w:rFonts w:hint="eastAsia" w:eastAsia="宋体" w:cs="Times New Roman"/>
          <w:szCs w:val="24"/>
        </w:rPr>
        <w:t xml:space="preserve"> </w:t>
      </w:r>
      <w:r>
        <w:rPr>
          <w:rFonts w:eastAsia="宋体" w:cs="Times New Roman"/>
          <w:szCs w:val="24"/>
        </w:rPr>
        <w:fldChar w:fldCharType="begin"/>
      </w:r>
      <w:r>
        <w:rPr>
          <w:rFonts w:eastAsia="宋体" w:cs="Times New Roman"/>
          <w:szCs w:val="24"/>
        </w:rPr>
        <w:instrText xml:space="preserve"> ADDIN EN.CITE &lt;EndNote&gt;&lt;Cite&gt;&lt;Author&gt;Kunicki M&lt;/Author&gt;&lt;Year&gt;2022&lt;/Year&gt;&lt;RecNum&gt;4&lt;/RecNum&gt;&lt;DisplayText&gt;&lt;style face="superscript"&gt;36&lt;/style&gt;&lt;/DisplayText&gt;&lt;record&gt;&lt;rec-number&gt;4&lt;/rec-number&gt;&lt;foreign-keys&gt;&lt;key app="EN" db-id="0a0rwdw0csffz2eztr1vr020etf50fxwfav5" timestamp="1739802974" guid="9af13cce-175d-4d15-95ae-143439f3b534"&gt;4&lt;/key&gt;&lt;/foreign-keys&gt;&lt;ref-type name="Journal Article"&gt;17&lt;/ref-type&gt;&lt;contributors&gt;&lt;authors&gt;&lt;author&gt;Kunicki M, Kruszewska J, Skórska J, et al&lt;/author&gt;&lt;/authors&gt;&lt;/contributors&gt;&lt;titles&gt;&lt;title&gt;Does the Value of FSH Predict Severity of Metabolic Complications in Females with POI?&lt;/title&gt;&lt;secondary-title&gt;Journal of clinical medicine&lt;/secondary-title&gt;&lt;/titles&gt;&lt;periodical&gt;&lt;full-title&gt;Journal of clinical medicine&lt;/full-title&gt;&lt;/periodical&gt;&lt;volume&gt;11&lt;/volume&gt;&lt;number&gt;7&lt;/number&gt;&lt;dates&gt;&lt;year&gt;2022&lt;/year&gt;&lt;/dates&gt;&lt;isbn&gt;2077-0383&lt;/isbn&gt;&lt;urls&gt;&lt;related-urls&gt;&lt;url&gt;https://pubmed.ncbi.nlm.nih.gov/35407635/&lt;/url&gt;&lt;/related-urls&gt;&lt;/urls&gt;&lt;electronic-resource-num&gt;10.3390/jcm11072024&lt;/electronic-resource-num&gt;&lt;/record&gt;&lt;/Cite&gt;&lt;/EndNote&gt;</w:instrText>
      </w:r>
      <w:r>
        <w:rPr>
          <w:rFonts w:eastAsia="宋体" w:cs="Times New Roman"/>
          <w:szCs w:val="24"/>
        </w:rPr>
        <w:fldChar w:fldCharType="separate"/>
      </w:r>
      <w:r>
        <w:rPr>
          <w:rFonts w:eastAsia="宋体" w:cs="Times New Roman"/>
          <w:szCs w:val="24"/>
          <w:vertAlign w:val="superscript"/>
        </w:rPr>
        <w:t>36</w:t>
      </w:r>
      <w:r>
        <w:rPr>
          <w:rFonts w:eastAsia="宋体" w:cs="Times New Roman"/>
          <w:szCs w:val="24"/>
        </w:rPr>
        <w:fldChar w:fldCharType="end"/>
      </w:r>
      <w:r>
        <w:rPr>
          <w:rFonts w:eastAsia="宋体" w:cs="Times New Roman"/>
          <w:szCs w:val="24"/>
        </w:rPr>
        <w:t xml:space="preserve"> suggested that lowering the FSH threshold required for the diagnosis of POI may have an impact on serum LDL-C levels, thereby reducing the risk of cardiovascular-related diseases. In this meta-analysis, the subgroup with FSH &gt; 40 IU/L showed a significant difference in the comparison of ANA positivity rates between the case group and the control group. However, the subgroup with FSH &gt; 20 IU/L did not show a significant difference in ANA positivity rates compared to the control group. This result may suggest a positive association between ANA levels in the body and ovarian dysfunction. Research reports</w:t>
      </w:r>
      <w:r>
        <w:rPr>
          <w:rFonts w:hint="eastAsia" w:eastAsia="宋体" w:cs="Times New Roman"/>
          <w:szCs w:val="24"/>
        </w:rPr>
        <w:t>.</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&lt;EndNote&gt;&lt;Cite&gt;&lt;Author&gt;Komorowska&lt;/Author&gt;&lt;Year&gt;2016&lt;/Year&gt;&lt;RecNum&gt;55&lt;/RecNum&gt;&lt;DisplayText&gt;&lt;style face="superscript"&gt;32&lt;/style&gt;&lt;/DisplayText&gt;&lt;record&gt;&lt;rec-number&gt;55&lt;/rec-number&gt;&lt;foreign-keys&gt;&lt;key app="EN" db-id="0a0rwdw0csffz2eztr1vr020etf50fxwfav5" timestamp="1739803230" guid="70660b59-677c-4c48-97bf-4afa37eae164"&gt;55&lt;/key&gt;&lt;/foreign-keys&gt;&lt;ref-type name="Journal Article"&gt;17&lt;/ref-type&gt;&lt;contributors&gt;&lt;authors&gt;&lt;author&gt;Beata Komorowska&lt;/author&gt;&lt;/authors&gt;&lt;/contributors&gt;&lt;titles&gt;&lt;title&gt;Autoimmune premature ovarian failure&lt;/title&gt;&lt;secondary-title&gt;Przeglad menopauzaly Menopause review&lt;/secondary-title&gt;&lt;/titles&gt;&lt;periodical&gt;&lt;full-title&gt;Przeglad menopauzaly Menopause review&lt;/full-title&gt;&lt;/periodical&gt;&lt;pages&gt;210-4&lt;/pages&gt;&lt;volume&gt;15&lt;/volume&gt;&lt;number&gt;4&lt;/number&gt;&lt;dates&gt;&lt;year&gt;2016&lt;/year&gt;&lt;/dates&gt;&lt;isbn&gt;1643-8876&lt;/isbn&gt;&lt;urls&gt;&lt;related-urls&gt;&lt;url&gt;https://pubmed.ncbi.nlm.nih.gov/28250725/&lt;/url&gt;&lt;/related-urls&gt;&lt;/urls&gt;&lt;electronic-resource-num&gt;10.5114/pm.2016.65666&lt;/electronic-resource-num&gt;&lt;/record&gt;&lt;/Cite&gt;&lt;/EndNote&gt;</w:instrText>
      </w:r>
      <w:r>
        <w:rPr>
          <w:rFonts w:eastAsia="宋体" w:cs="Times New Roman"/>
          <w:szCs w:val="24"/>
        </w:rPr>
        <w:fldChar w:fldCharType="separate"/>
      </w:r>
      <w:r>
        <w:rPr>
          <w:rFonts w:eastAsia="宋体" w:cs="Times New Roman"/>
          <w:szCs w:val="24"/>
          <w:vertAlign w:val="superscript"/>
        </w:rPr>
        <w:t>32</w:t>
      </w:r>
      <w:r>
        <w:rPr>
          <w:rFonts w:eastAsia="宋体" w:cs="Times New Roman"/>
          <w:szCs w:val="24"/>
        </w:rPr>
        <w:fldChar w:fldCharType="end"/>
      </w:r>
      <w:r>
        <w:rPr>
          <w:rFonts w:hint="eastAsia" w:eastAsia="宋体" w:cs="Times New Roman"/>
          <w:szCs w:val="24"/>
        </w:rPr>
        <w:t xml:space="preserve"> </w:t>
      </w:r>
      <w:r>
        <w:rPr>
          <w:rFonts w:eastAsia="宋体" w:cs="Times New Roman"/>
          <w:szCs w:val="24"/>
        </w:rPr>
        <w:t>indicate that the detection rate of ANA in patients with declining ovarian function ranges from 8% to 50%. Multiple factors can contribute to the disruption of immune barriers and activation of lymphocytes, leading to the production of ANA. When ANA levels exceed a certain range, it can result in a decline in ovarian function. Based on this, it is recommended to investigate ANA in patients with FSH &gt; 40 IU/L during clinical diagnosis and treatment processes.</w:t>
      </w:r>
    </w:p>
    <w:p w14:paraId="61A7A503">
      <w:pPr>
        <w:widowControl/>
        <w:spacing w:line="360" w:lineRule="auto"/>
        <w:jc w:val="left"/>
        <w:rPr>
          <w:rFonts w:eastAsia="宋体" w:cs="Times New Roman"/>
          <w:szCs w:val="24"/>
        </w:rPr>
      </w:pPr>
      <w:r>
        <w:rPr>
          <w:rFonts w:eastAsia="宋体" w:cs="Times New Roman"/>
          <w:szCs w:val="24"/>
        </w:rPr>
        <w:t>Ferraretti et al.</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&lt;EndNote&gt;&lt;Cite&gt;&lt;Author&gt;Ferraretti A P&lt;/Author&gt;&lt;Year&gt;2011&lt;/Year&gt;&lt;RecNum&gt;6&lt;/RecNum&gt;&lt;DisplayText&gt;&lt;style face="superscript"&gt;37&lt;/style&gt;&lt;/DisplayText&gt;&lt;record&gt;&lt;rec-number&gt;6&lt;/rec-number&gt;&lt;foreign-keys&gt;&lt;key app="EN" db-id="0a0rwdw0csffz2eztr1vr020etf50fxwfav5" timestamp="1739802983" guid="21534b3b-1ed7-42f3-956e-b2a2383509fa"&gt;6&lt;/key&gt;&lt;/foreign-keys&gt;&lt;ref-type name="Journal Article"&gt;17&lt;/ref-type&gt;&lt;contributors&gt;&lt;authors&gt;&lt;author&gt;Ferraretti A P, La Marca A, Fauser B C, et al&lt;/author&gt;&lt;/authors&gt;&lt;/contributors&gt;&lt;auth-address&gt;S.I.S.Me.R Reproductive Medicine Unit, Via Mazzini 12, 40138 Bologna, Italy. annapia.ferraretti@sismer.it&lt;/auth-address&gt;&lt;titles&gt;&lt;title&gt;ESHRE consensus on the definition of &amp;apos;poor response&amp;apos;to ovarian stimulation for in vitro fertilization: the Bologna criteria&lt;/title&gt;&lt;secondary-title&gt;Hum Reprod&lt;/secondary-title&gt;&lt;/titles&gt;&lt;periodical&gt;&lt;full-title&gt;Hum Reprod&lt;/full-title&gt;&lt;/periodical&gt;&lt;pages&gt;1616-24&lt;/pages&gt;&lt;volume&gt;26&lt;/volume&gt;&lt;number&gt;7&lt;/number&gt;&lt;edition&gt;2011/04/21&lt;/edition&gt;&lt;keywords&gt;&lt;keyword&gt;Europe&lt;/keyword&gt;&lt;keyword&gt;Female&lt;/keyword&gt;&lt;keyword&gt;*Fertilization in Vitro&lt;/keyword&gt;&lt;keyword&gt;Humans&lt;/keyword&gt;&lt;keyword&gt;Maternal Age&lt;/keyword&gt;&lt;keyword&gt;Ovary/*drug effects&lt;/keyword&gt;&lt;keyword&gt;*Ovulation Induction&lt;/keyword&gt;&lt;keyword&gt;*Reproductive Medicine&lt;/keyword&gt;&lt;keyword&gt;Risk Factors&lt;/keyword&gt;&lt;keyword&gt;Societies, Medical&lt;/keyword&gt;&lt;keyword&gt;*Terminology as Topic&lt;/keyword&gt;&lt;/keywords&gt;&lt;dates&gt;&lt;year&gt;2011&lt;/year&gt;&lt;pub-dates&gt;&lt;date&gt;Jul&lt;/date&gt;&lt;/pub-dates&gt;&lt;/dates&gt;&lt;isbn&gt;1460-2350 (Electronic)&amp;#xD;0268-1161 (Linking)&lt;/isbn&gt;&lt;accession-num&gt;21505041&lt;/accession-num&gt;&lt;urls&gt;&lt;related-urls&gt;&lt;url&gt;https://www.ncbi.nlm.nih.gov/pubmed/21505041&lt;/url&gt;&lt;/related-urls&gt;&lt;/urls&gt;&lt;electronic-resource-num&gt;10.1093/humrep/der092&lt;/electronic-resource-num&gt;&lt;/record&gt;&lt;/Cite&gt;&lt;/EndNote&gt;</w:instrText>
      </w:r>
      <w:r>
        <w:rPr>
          <w:rFonts w:eastAsia="宋体" w:cs="Times New Roman"/>
          <w:szCs w:val="24"/>
        </w:rPr>
        <w:fldChar w:fldCharType="separate"/>
      </w:r>
      <w:r>
        <w:rPr>
          <w:rFonts w:eastAsia="宋体" w:cs="Times New Roman"/>
          <w:szCs w:val="24"/>
          <w:vertAlign w:val="superscript"/>
        </w:rPr>
        <w:t>37</w:t>
      </w:r>
      <w:r>
        <w:rPr>
          <w:rFonts w:eastAsia="宋体" w:cs="Times New Roman"/>
          <w:szCs w:val="24"/>
        </w:rPr>
        <w:fldChar w:fldCharType="end"/>
      </w:r>
      <w:r>
        <w:rPr>
          <w:rFonts w:eastAsia="宋体" w:cs="Times New Roman"/>
          <w:szCs w:val="24"/>
        </w:rPr>
        <w:t xml:space="preserve"> indicates that ovarian reserve in adult women naturally declines with increasing age. When women reach the age of 35 or older, there is a significant increase in the risks of infertility and spontaneous miscarriage. Additionally, the number of follicles and their responsiveness to gonadotropin-releasing hormone (GnRH) markedly decrease. As early as 1958, the International Federation of Gynecology and Obstetrics (FIGO) defined pregnancies in women aged 35 years or older as advanced maternal age pregnancies. In our study, the literature was divided into two subgroups based on whether the average age of the included cases exceeded 35 years. In the subgroup with an average age of ≥35, there was no significant difference in the comparison of ANA positivity rates between the case and control groups. However, in the subgroup with cases below 35 years old, there was a significant difference in ANA positivity rates between the case and control groups. This result is consistent with the observations made by Satoh et al: the positivity rate of ANA increases with age.</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&lt;EndNote&gt;&lt;Cite&gt;&lt;Author&gt;Satoh M&lt;/Author&gt;&lt;Year&gt;2012&lt;/Year&gt;&lt;RecNum&gt;5&lt;/RecNum&gt;&lt;DisplayText&gt;&lt;style face="superscript"&gt;38&lt;/style&gt;&lt;/DisplayText&gt;&lt;record&gt;&lt;rec-number&gt;5&lt;/rec-number&gt;&lt;foreign-keys&gt;&lt;key app="EN" db-id="0a0rwdw0csffz2eztr1vr020etf50fxwfav5" timestamp="1739802983" guid="1a236ba1-902b-4e67-871d-3ee3c9807801"&gt;5&lt;/key&gt;&lt;/foreign-keys&gt;&lt;ref-type name="Journal Article"&gt;17&lt;/ref-type&gt;&lt;contributors&gt;&lt;authors&gt;&lt;author&gt;Satoh M, Chan E K, Ho L A, Rose, K. M, et al&lt;/author&gt;&lt;/authors&gt;&lt;/contributors&gt;&lt;auth-address&gt;University of Florida, Gainesville, FL, USA.&lt;/auth-address&gt;&lt;titles&gt;&lt;title&gt;Prevalence and sociodemographic correlates of antinuclear antibodies in the United States&lt;/title&gt;&lt;secondary-title&gt;Arthritis Rheum&lt;/secondary-title&gt;&lt;/titles&gt;&lt;periodical&gt;&lt;full-title&gt;Arthritis Rheum&lt;/full-title&gt;&lt;/periodical&gt;&lt;pages&gt;2319-27&lt;/pages&gt;&lt;volume&gt;64&lt;/volume&gt;&lt;number&gt;7&lt;/number&gt;&lt;edition&gt;2012/01/13&lt;/edition&gt;&lt;keywords&gt;&lt;keyword&gt;Adolescent&lt;/keyword&gt;&lt;keyword&gt;Adult&lt;/keyword&gt;&lt;keyword&gt;Aged&lt;/keyword&gt;&lt;keyword&gt;Aged, 80 and over&lt;/keyword&gt;&lt;keyword&gt;Antibodies, Antinuclear/*blood/immunology&lt;/keyword&gt;&lt;keyword&gt;Black People&lt;/keyword&gt;&lt;keyword&gt;Child&lt;/keyword&gt;&lt;keyword&gt;Cross-Sectional Studies&lt;/keyword&gt;&lt;keyword&gt;Female&lt;/keyword&gt;&lt;keyword&gt;Humans&lt;/keyword&gt;&lt;keyword&gt;Male&lt;/keyword&gt;&lt;keyword&gt;Middle Aged&lt;/keyword&gt;&lt;keyword&gt;Nutrition Surveys&lt;/keyword&gt;&lt;keyword&gt;Prevalence&lt;/keyword&gt;&lt;keyword&gt;Sex Factors&lt;/keyword&gt;&lt;keyword&gt;United States/epidemiology&lt;/keyword&gt;&lt;keyword&gt;White People&lt;/keyword&gt;&lt;/keywords&gt;&lt;dates&gt;&lt;year&gt;2012&lt;/year&gt;&lt;pub-dates&gt;&lt;date&gt;Jul&lt;/date&gt;&lt;/pub-dates&gt;&lt;/dates&gt;&lt;isbn&gt;1529-0131 (Electronic)&amp;#xD;0004-3591 (Print)&amp;#xD;0004-3591 (Linking)&lt;/isbn&gt;&lt;accession-num&gt;22237992&lt;/accession-num&gt;&lt;urls&gt;&lt;related-urls&gt;&lt;url&gt;https://www.ncbi.nlm.nih.gov/pubmed/22237992&lt;/url&gt;&lt;/related-urls&gt;&lt;/urls&gt;&lt;custom2&gt;PMC3330150&lt;/custom2&gt;&lt;electronic-resource-num&gt;10.1002/art.34380&lt;/electronic-resource-num&gt;&lt;/record&gt;&lt;/Cite&gt;&lt;/EndNote&gt;</w:instrText>
      </w:r>
      <w:r>
        <w:rPr>
          <w:rFonts w:eastAsia="宋体" w:cs="Times New Roman"/>
          <w:szCs w:val="24"/>
        </w:rPr>
        <w:fldChar w:fldCharType="separate"/>
      </w:r>
      <w:r>
        <w:rPr>
          <w:rFonts w:eastAsia="宋体" w:cs="Times New Roman"/>
          <w:szCs w:val="24"/>
          <w:vertAlign w:val="superscript"/>
        </w:rPr>
        <w:t>38</w:t>
      </w:r>
      <w:r>
        <w:rPr>
          <w:rFonts w:eastAsia="宋体" w:cs="Times New Roman"/>
          <w:szCs w:val="24"/>
        </w:rPr>
        <w:fldChar w:fldCharType="end"/>
      </w:r>
      <w:r>
        <w:rPr>
          <w:rFonts w:eastAsia="宋体" w:cs="Times New Roman"/>
          <w:szCs w:val="24"/>
        </w:rPr>
        <w:t>In 2021, Wen et al. conducted a retrospective analysis on 23, 771 individuals from Guangdong Province, China. The results indicated that the probability of ANA positivity increased with age, which may be associated with the fluctuation of estrogen levels impacting the body's immune regulatory mechanisms.</w:t>
      </w:r>
      <w:r>
        <w:rPr>
          <w:rFonts w:hint="eastAsia"/>
        </w:rPr>
        <w:t xml:space="preserve"> </w:t>
      </w:r>
      <w:r>
        <w:rPr>
          <w:rFonts w:eastAsia="宋体" w:cs="Times New Roman"/>
          <w:szCs w:val="24"/>
        </w:rPr>
        <w:fldChar w:fldCharType="begin">
          <w:fldData xml:space="preserve">PEVuZE5vdGU+PENpdGU+PEF1dGhvcj5YaW5nIEU8L0F1dGhvcj48WWVhcj4yMDIyPC9ZZWFyPjxS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</w:fldData>
        </w:fldChar>
      </w:r>
      <w:r>
        <w:rPr>
          <w:rFonts w:eastAsia="宋体" w:cs="Times New Roman"/>
          <w:szCs w:val="24"/>
        </w:rPr>
        <w:instrText xml:space="preserve"> ADDIN EN.CITE </w:instrText>
      </w:r>
      <w:r>
        <w:rPr>
          <w:rFonts w:eastAsia="宋体" w:cs="Times New Roman"/>
          <w:szCs w:val="24"/>
        </w:rPr>
        <w:fldChar w:fldCharType="begin">
          <w:fldData xml:space="preserve">PEVuZE5vdGU+PENpdGU+PEF1dGhvcj5YaW5nIEU8L0F1dGhvcj48WWVhcj4yMDIyPC9ZZWFyPjxS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</w:fldData>
        </w:fldChar>
      </w:r>
      <w:r>
        <w:rPr>
          <w:rFonts w:eastAsia="宋体" w:cs="Times New Roman"/>
          <w:szCs w:val="24"/>
        </w:rPr>
        <w:instrText xml:space="preserve"> ADDIN EN.CITE.DATA </w:instrText>
      </w:r>
      <w:r>
        <w:rPr>
          <w:rFonts w:eastAsia="宋体" w:cs="Times New Roman"/>
          <w:szCs w:val="24"/>
        </w:rPr>
        <w:fldChar w:fldCharType="end"/>
      </w:r>
      <w:r>
        <w:rPr>
          <w:rFonts w:eastAsia="宋体" w:cs="Times New Roman"/>
          <w:szCs w:val="24"/>
        </w:rPr>
        <w:fldChar w:fldCharType="separate"/>
      </w:r>
      <w:r>
        <w:rPr>
          <w:rFonts w:eastAsia="宋体" w:cs="Times New Roman"/>
          <w:szCs w:val="24"/>
          <w:vertAlign w:val="superscript"/>
        </w:rPr>
        <w:t>39,40</w:t>
      </w:r>
      <w:r>
        <w:rPr>
          <w:rFonts w:eastAsia="宋体" w:cs="Times New Roman"/>
          <w:szCs w:val="24"/>
        </w:rPr>
        <w:fldChar w:fldCharType="end"/>
      </w:r>
      <w:r>
        <w:rPr>
          <w:rFonts w:eastAsia="宋体" w:cs="Times New Roman"/>
          <w:szCs w:val="24"/>
        </w:rPr>
        <w:t xml:space="preserve"> Therefore, ANA investigation may be considered in POI patients under the age of 35.</w:t>
      </w:r>
    </w:p>
    <w:p w14:paraId="77725A06">
      <w:pPr>
        <w:widowControl/>
        <w:spacing w:line="360" w:lineRule="auto"/>
        <w:jc w:val="left"/>
        <w:rPr>
          <w:rFonts w:eastAsia="宋体" w:cs="Times New Roman"/>
          <w:szCs w:val="24"/>
        </w:rPr>
      </w:pPr>
      <w:r>
        <w:rPr>
          <w:rFonts w:eastAsia="宋体" w:cs="Times New Roman"/>
          <w:szCs w:val="24"/>
        </w:rPr>
        <w:t>IIF assay performed on human laryngeal carcinoma cells (HEp-2 or HEp-2000 cells) is widely recognized and utilized in research and clinical practice. It is considered the gold standard for detecting ANA.</w:t>
      </w:r>
      <w:r>
        <w:rPr>
          <w:rFonts w:hint="eastAsia"/>
        </w:rPr>
        <w:t xml:space="preserve"> </w:t>
      </w:r>
      <w:r>
        <w:rPr>
          <w:rFonts w:eastAsia="宋体" w:cs="Times New Roman"/>
          <w:szCs w:val="24"/>
        </w:rPr>
        <w:fldChar w:fldCharType="begin">
          <w:fldData xml:space="preserve">PEVuZE5vdGU+PENpdGU+PEF1dGhvcj5Cb25yb3kgQzwvQXV0aG9yPjxZZWFyPjIwMjM8L1llYXI+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</w:fldData>
        </w:fldChar>
      </w:r>
      <w:r>
        <w:rPr>
          <w:rFonts w:eastAsia="宋体" w:cs="Times New Roman"/>
          <w:szCs w:val="24"/>
        </w:rPr>
        <w:instrText xml:space="preserve"> ADDIN EN.CITE </w:instrText>
      </w:r>
      <w:r>
        <w:rPr>
          <w:rFonts w:eastAsia="宋体" w:cs="Times New Roman"/>
          <w:szCs w:val="24"/>
        </w:rPr>
        <w:fldChar w:fldCharType="begin">
          <w:fldData xml:space="preserve">PEVuZE5vdGU+PENpdGU+PEF1dGhvcj5Cb25yb3kgQzwvQXV0aG9yPjxZZWFyPjIwMjM8L1llYXI+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</w:fldData>
        </w:fldChar>
      </w:r>
      <w:r>
        <w:rPr>
          <w:rFonts w:eastAsia="宋体" w:cs="Times New Roman"/>
          <w:szCs w:val="24"/>
        </w:rPr>
        <w:instrText xml:space="preserve"> ADDIN EN.CITE.DATA </w:instrText>
      </w:r>
      <w:r>
        <w:rPr>
          <w:rFonts w:eastAsia="宋体" w:cs="Times New Roman"/>
          <w:szCs w:val="24"/>
        </w:rPr>
        <w:fldChar w:fldCharType="end"/>
      </w:r>
      <w:r>
        <w:rPr>
          <w:rFonts w:eastAsia="宋体" w:cs="Times New Roman"/>
          <w:szCs w:val="24"/>
        </w:rPr>
        <w:fldChar w:fldCharType="separate"/>
      </w:r>
      <w:r>
        <w:rPr>
          <w:rFonts w:eastAsia="宋体" w:cs="Times New Roman"/>
          <w:szCs w:val="24"/>
          <w:vertAlign w:val="superscript"/>
        </w:rPr>
        <w:t>41</w:t>
      </w:r>
      <w:r>
        <w:rPr>
          <w:rFonts w:eastAsia="宋体" w:cs="Times New Roman"/>
          <w:szCs w:val="24"/>
        </w:rPr>
        <w:fldChar w:fldCharType="end"/>
      </w:r>
      <w:r>
        <w:rPr>
          <w:rFonts w:eastAsia="宋体" w:cs="Times New Roman"/>
          <w:szCs w:val="24"/>
        </w:rPr>
        <w:t>However, this technique lacks standardization and is more time-consuming as it requires skilled operators to make subjective judgments.</w:t>
      </w:r>
      <w:r>
        <w:rPr>
          <w:rFonts w:hint="eastAsia"/>
        </w:rPr>
        <w:t xml:space="preserve"> </w:t>
      </w:r>
      <w:r>
        <w:rPr>
          <w:rFonts w:eastAsia="宋体" w:cs="Times New Roman"/>
          <w:szCs w:val="24"/>
        </w:rPr>
        <w:fldChar w:fldCharType="begin">
          <w:fldData xml:space="preserve">PEVuZE5vdGU+PENpdGU+PEF1dGhvcj5SaWNjaGl1dGkgVjwvQXV0aG9yPjxZZWFyPjIwMTg8L1ll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==
</w:fldData>
        </w:fldChar>
      </w:r>
      <w:r>
        <w:rPr>
          <w:rFonts w:eastAsia="宋体" w:cs="Times New Roman"/>
          <w:szCs w:val="24"/>
        </w:rPr>
        <w:instrText xml:space="preserve"> ADDIN EN.CITE </w:instrText>
      </w:r>
      <w:r>
        <w:rPr>
          <w:rFonts w:eastAsia="宋体" w:cs="Times New Roman"/>
          <w:szCs w:val="24"/>
        </w:rPr>
        <w:fldChar w:fldCharType="begin">
          <w:fldData xml:space="preserve">PEVuZE5vdGU+PENpdGU+PEF1dGhvcj5SaWNjaGl1dGkgVjwvQXV0aG9yPjxZZWFyPjIwMTg8L1ll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==
</w:fldData>
        </w:fldChar>
      </w:r>
      <w:r>
        <w:rPr>
          <w:rFonts w:eastAsia="宋体" w:cs="Times New Roman"/>
          <w:szCs w:val="24"/>
        </w:rPr>
        <w:instrText xml:space="preserve"> ADDIN EN.CITE.DATA </w:instrText>
      </w:r>
      <w:r>
        <w:rPr>
          <w:rFonts w:eastAsia="宋体" w:cs="Times New Roman"/>
          <w:szCs w:val="24"/>
        </w:rPr>
        <w:fldChar w:fldCharType="end"/>
      </w:r>
      <w:r>
        <w:rPr>
          <w:rFonts w:eastAsia="宋体" w:cs="Times New Roman"/>
          <w:szCs w:val="24"/>
        </w:rPr>
        <w:fldChar w:fldCharType="separate"/>
      </w:r>
      <w:r>
        <w:rPr>
          <w:rFonts w:eastAsia="宋体" w:cs="Times New Roman"/>
          <w:szCs w:val="24"/>
          <w:vertAlign w:val="superscript"/>
        </w:rPr>
        <w:t>42</w:t>
      </w:r>
      <w:r>
        <w:rPr>
          <w:rFonts w:eastAsia="宋体" w:cs="Times New Roman"/>
          <w:szCs w:val="24"/>
        </w:rPr>
        <w:fldChar w:fldCharType="end"/>
      </w:r>
      <w:r>
        <w:rPr>
          <w:rFonts w:eastAsia="宋体" w:cs="Times New Roman"/>
          <w:szCs w:val="24"/>
        </w:rPr>
        <w:t xml:space="preserve"> </w:t>
      </w:r>
      <w:r>
        <w:rPr>
          <w:rFonts w:eastAsia="宋体" w:cs="Times New Roman"/>
          <w:color w:val="FF0000"/>
          <w:szCs w:val="24"/>
        </w:rPr>
        <w:t>In our subgroup analysis, studies using IIF reported the highest pooled OR, followed by DIGFA, both indicating a strong association between ANA positivity and POI. These results suggest that detection methods with higher analytical sensitivity may identify ANA in women with POI more effectively.</w:t>
      </w:r>
      <w:r>
        <w:rPr>
          <w:rFonts w:hint="eastAsia" w:eastAsia="宋体" w:cs="Times New Roman"/>
          <w:color w:val="FF0000"/>
          <w:szCs w:val="24"/>
        </w:rPr>
        <w:t xml:space="preserve"> </w:t>
      </w:r>
      <w:r>
        <w:rPr>
          <w:rFonts w:eastAsia="宋体" w:cs="Times New Roman"/>
          <w:szCs w:val="24"/>
        </w:rPr>
        <w:t>Nevertheless, in a recent meta-analysis conducted by Zhang et al.</w:t>
      </w:r>
      <w:r>
        <w:rPr>
          <w:rFonts w:hint="eastAsia" w:eastAsia="宋体" w:cs="Times New Roman"/>
          <w:szCs w:val="24"/>
        </w:rPr>
        <w:t xml:space="preserve"> , </w:t>
      </w:r>
      <w:r>
        <w:rPr>
          <w:rFonts w:eastAsia="宋体" w:cs="Times New Roman"/>
          <w:szCs w:val="24"/>
        </w:rPr>
        <w:t>it was concluded that IIF testing demonstrates higher accuracy in detecting ANA compared to ELISA. Therefore, they recommend using IIF as the preferred method for screening ANA.</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&lt;EndNote&gt;&lt;Cite&gt;&lt;Author&gt;Zhang M&lt;/Author&gt;&lt;Year&gt;2022&lt;/Year&gt;&lt;RecNum&gt;3&lt;/RecNum&gt;&lt;DisplayText&gt;&lt;style face="superscript"&gt;43&lt;/style&gt;&lt;/DisplayText&gt;&lt;record&gt;&lt;rec-number&gt;3&lt;/rec-number&gt;&lt;foreign-keys&gt;&lt;key app="EN" db-id="0a0rwdw0csffz2eztr1vr020etf50fxwfav5" timestamp="1739802974" guid="2b3d8f5e-e3d8-45db-b434-261a6dc00d4c"&gt;3&lt;/key&gt;&lt;/foreign-keys&gt;&lt;ref-type name="Journal Article"&gt;17&lt;/ref-type&gt;&lt;contributors&gt;&lt;authors&gt;&lt;author&gt;Zhang M, Zhang X&lt;/author&gt;&lt;/authors&gt;&lt;/contributors&gt;&lt;auth-address&gt;Department of Medical Laboratory, Xianyang Central Hospital, Xianyang, China.&amp;#xD;Department of Medical Laboratory, Yan&amp;apos;an People&amp;apos;s Hospital, Yan&amp;apos;an, China.&lt;/auth-address&gt;&lt;titles&gt;&lt;title&gt;An indirect comparison of automated indirect immunofluorescence vs automated solid-phase immunoassays for antinuclear antibody detection: A meta-analysis and adjusted indirect comparison of diagnostic test accuracy&lt;/title&gt;&lt;secondary-title&gt;Int J Rheum Dis&lt;/secondary-title&gt;&lt;/titles&gt;&lt;periodical&gt;&lt;full-title&gt;Int J Rheum Dis&lt;/full-title&gt;&lt;/periodical&gt;&lt;pages&gt;991-1002&lt;/pages&gt;&lt;volume&gt;25&lt;/volume&gt;&lt;number&gt;9&lt;/number&gt;&lt;edition&gt;2022/06/22&lt;/edition&gt;&lt;keywords&gt;&lt;keyword&gt;*Antibodies, Antinuclear&lt;/keyword&gt;&lt;keyword&gt;*Diagnostic Tests, Routine&lt;/keyword&gt;&lt;keyword&gt;Fluorescent Antibody Technique, Indirect&lt;/keyword&gt;&lt;keyword&gt;Humans&lt;/keyword&gt;&lt;keyword&gt;Immunoassay&lt;/keyword&gt;&lt;keyword&gt;Prospective Studies&lt;/keyword&gt;&lt;keyword&gt;Sensitivity and Specificity&lt;/keyword&gt;&lt;keyword&gt;adjusted indirect comparison&lt;/keyword&gt;&lt;keyword&gt;antinuclear antibody&lt;/keyword&gt;&lt;keyword&gt;indirect immunofluorescence&lt;/keyword&gt;&lt;keyword&gt;meta-analysis&lt;/keyword&gt;&lt;keyword&gt;solid-phase immunoassay&lt;/keyword&gt;&lt;/keywords&gt;&lt;dates&gt;&lt;year&gt;2022&lt;/year&gt;&lt;pub-dates&gt;&lt;date&gt;Sep&lt;/date&gt;&lt;/pub-dates&gt;&lt;/dates&gt;&lt;isbn&gt;1756-185X (Electronic)&amp;#xD;1756-1841 (Linking)&lt;/isbn&gt;&lt;accession-num&gt;35726725&lt;/accession-num&gt;&lt;urls&gt;&lt;related-urls&gt;&lt;url&gt;https://www.ncbi.nlm.nih.gov/pubmed/35726725&lt;/url&gt;&lt;/related-urls&gt;&lt;/urls&gt;&lt;electronic-resource-num&gt;10.1111/1756-185X.14369&lt;/electronic-resource-num&gt;&lt;/record&gt;&lt;/Cite&gt;&lt;/EndNote&gt;</w:instrText>
      </w:r>
      <w:r>
        <w:rPr>
          <w:rFonts w:eastAsia="宋体" w:cs="Times New Roman"/>
          <w:szCs w:val="24"/>
        </w:rPr>
        <w:fldChar w:fldCharType="separate"/>
      </w:r>
      <w:r>
        <w:rPr>
          <w:rFonts w:eastAsia="宋体" w:cs="Times New Roman"/>
          <w:szCs w:val="24"/>
          <w:vertAlign w:val="superscript"/>
        </w:rPr>
        <w:t>43</w:t>
      </w:r>
      <w:r>
        <w:rPr>
          <w:rFonts w:eastAsia="宋体" w:cs="Times New Roman"/>
          <w:szCs w:val="24"/>
        </w:rPr>
        <w:fldChar w:fldCharType="end"/>
      </w:r>
      <w:r>
        <w:rPr>
          <w:rFonts w:eastAsia="宋体" w:cs="Times New Roman"/>
          <w:szCs w:val="24"/>
        </w:rPr>
        <w:t xml:space="preserve"> On the other hand, a retrospective analysis by Alsaed et al. on sera from 1, 457 subjects concluded that compared to traditional IIF, ELISA showed better sensitivity and specificity for ANA detection.</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&lt;EndNote&gt;&lt;Cite&gt;&lt;Author&gt;Alsaed O S&lt;/Author&gt;&lt;Year&gt;2021&lt;/Year&gt;&lt;RecNum&gt;15&lt;/RecNum&gt;&lt;DisplayText&gt;&lt;style face="superscript"&gt;44&lt;/style&gt;&lt;/DisplayText&gt;&lt;record&gt;&lt;rec-number&gt;15&lt;/rec-number&gt;&lt;foreign-keys&gt;&lt;key app="EN" db-id="0a0rwdw0csffz2eztr1vr020etf50fxwfav5" timestamp="1739802993" guid="ec117a18-abaa-4510-a906-7bf68a04575e"&gt;15&lt;/key&gt;&lt;/foreign-keys&gt;&lt;ref-type name="Journal Article"&gt;17&lt;/ref-type&gt;&lt;contributors&gt;&lt;authors&gt;&lt;author&gt;Alsaed O S, Alamlih L I, Al-Radideh, et al&lt;/author&gt;&lt;/authors&gt;&lt;/contributors&gt;&lt;auth-address&gt;Department of Medicine, Division of Rheumatology, Hamad Medical Corporation, P. O. BOX 3050, Doha, Qatar.&amp;#xD;Department of Medicine, Division of Rheumatology, Hamad Medical Corporation, P. O. BOX 3050, Doha, Qatar. awallaf@gmail.com.&lt;/auth-address&gt;&lt;titles&gt;&lt;title&gt;Clinical utility of ANA-ELISA vs ANA-immunofluorescence in connective tissue diseases&lt;/title&gt;&lt;secondary-title&gt;Sci Rep&lt;/secondary-title&gt;&lt;/titles&gt;&lt;periodical&gt;&lt;full-title&gt;Sci Rep&lt;/full-title&gt;&lt;/periodical&gt;&lt;pages&gt;8229&lt;/pages&gt;&lt;volume&gt;11&lt;/volume&gt;&lt;number&gt;1&lt;/number&gt;&lt;edition&gt;2021/04/17&lt;/edition&gt;&lt;keywords&gt;&lt;keyword&gt;Adult&lt;/keyword&gt;&lt;keyword&gt;Antibodies, Antinuclear/*analysis&lt;/keyword&gt;&lt;keyword&gt;Cohort Studies&lt;/keyword&gt;&lt;keyword&gt;Connective Tissue Diseases/blood/*diagnosis/immunology&lt;/keyword&gt;&lt;keyword&gt;Enzyme-Linked Immunosorbent Assay/methods&lt;/keyword&gt;&lt;keyword&gt;Female&lt;/keyword&gt;&lt;keyword&gt;Fluorescent Antibody Technique, Indirect/methods&lt;/keyword&gt;&lt;keyword&gt;Humans&lt;/keyword&gt;&lt;keyword&gt;Male&lt;/keyword&gt;&lt;keyword&gt;Middle Aged&lt;/keyword&gt;&lt;keyword&gt;Predictive Value of Tests&lt;/keyword&gt;&lt;keyword&gt;Qatar&lt;/keyword&gt;&lt;keyword&gt;Retrospective Studies&lt;/keyword&gt;&lt;keyword&gt;Sensitivity and Specificity&lt;/keyword&gt;&lt;/keywords&gt;&lt;dates&gt;&lt;year&gt;2021&lt;/year&gt;&lt;pub-dates&gt;&lt;date&gt;Apr 15&lt;/date&gt;&lt;/pub-dates&gt;&lt;/dates&gt;&lt;isbn&gt;2045-2322 (Electronic)&amp;#xD;2045-2322 (Linking)&lt;/isbn&gt;&lt;accession-num&gt;33859213&lt;/accession-num&gt;&lt;urls&gt;&lt;related-urls&gt;&lt;url&gt;https://www.ncbi.nlm.nih.gov/pubmed/33859213&lt;/url&gt;&lt;/related-urls&gt;&lt;/urls&gt;&lt;custom2&gt;PMC8050204&lt;/custom2&gt;&lt;electronic-resource-num&gt;10.1038/s41598-021-87366-w&lt;/electronic-resource-num&gt;&lt;/record&gt;&lt;/Cite&gt;&lt;/EndNote&gt;</w:instrText>
      </w:r>
      <w:r>
        <w:rPr>
          <w:rFonts w:eastAsia="宋体" w:cs="Times New Roman"/>
          <w:szCs w:val="24"/>
        </w:rPr>
        <w:fldChar w:fldCharType="separate"/>
      </w:r>
      <w:r>
        <w:rPr>
          <w:rFonts w:eastAsia="宋体" w:cs="Times New Roman"/>
          <w:szCs w:val="24"/>
          <w:vertAlign w:val="superscript"/>
        </w:rPr>
        <w:t>44</w:t>
      </w:r>
      <w:r>
        <w:rPr>
          <w:rFonts w:eastAsia="宋体" w:cs="Times New Roman"/>
          <w:szCs w:val="24"/>
        </w:rPr>
        <w:fldChar w:fldCharType="end"/>
      </w:r>
      <w:r>
        <w:rPr>
          <w:rFonts w:eastAsia="宋体" w:cs="Times New Roman"/>
          <w:szCs w:val="24"/>
        </w:rPr>
        <w:t xml:space="preserve"> Overall, there is still controversy regarding the clinical utility of IIF and ELISA. In this study, there was no significant difference in the comparison of ANA positivity rates between the case and control groups in the ELISA group, contrary to the findings in the IIF group. This finding aligns with the conclusions of Zhang's study. However, it is worth noting that in recent years, ELISA has undergone technological advancements. Some manufacturers of ELISA kits have improved the performance of the assay by adding additional purified recombinant antigens. This allows for the successful detection of certain ANA that may be overlooked in IIF, particularly anti-Jo-1 and anti-SSA/Ro antibodies.</w:t>
      </w:r>
      <w:r>
        <w:rPr>
          <w:rFonts w:hint="eastAsia"/>
        </w:rPr>
        <w:t xml:space="preserve"> </w:t>
      </w:r>
      <w:r>
        <w:rPr>
          <w:rFonts w:eastAsia="宋体" w:cs="Times New Roman"/>
          <w:szCs w:val="24"/>
        </w:rPr>
        <w:fldChar w:fldCharType="begin"/>
      </w:r>
      <w:r>
        <w:rPr>
          <w:rFonts w:eastAsia="宋体" w:cs="Times New Roman"/>
          <w:szCs w:val="24"/>
        </w:rPr>
        <w:instrText xml:space="preserve"> ADDIN EN.CITE &lt;EndNote&gt;&lt;Cite&gt;&lt;Author&gt;Robier C&lt;/Author&gt;&lt;Year&gt;2016&lt;/Year&gt;&lt;RecNum&gt;7&lt;/RecNum&gt;&lt;DisplayText&gt;&lt;style face="superscript"&gt;45&lt;/style&gt;&lt;/DisplayText&gt;&lt;record&gt;&lt;rec-number&gt;7&lt;/rec-number&gt;&lt;foreign-keys&gt;&lt;key app="EN" db-id="0a0rwdw0csffz2eztr1vr020etf50fxwfav5" timestamp="1739802983" guid="6f23deea-ac01-4cc9-9e4b-514682049a59"&gt;7&lt;/key&gt;&lt;/foreign-keys&gt;&lt;ref-type name="Journal Article"&gt;17&lt;/ref-type&gt;&lt;contributors&gt;&lt;authors&gt;&lt;author&gt;Robier C, Amouzadeh-Ghadikolai O, et al&lt;/author&gt;&lt;/authors&gt;&lt;/contributors&gt;&lt;titles&gt;&lt;title&gt;Comparison of the clinical utility of the Elia CTD Screen to indirect immunofluorescence on Hep-2 cells&lt;/title&gt;&lt;secondary-title&gt;Clin Chem Lab Med&lt;/secondary-title&gt;&lt;/titles&gt;&lt;periodical&gt;&lt;full-title&gt;Clin Chem Lab Med&lt;/full-title&gt;&lt;/periodical&gt;&lt;pages&gt;1365-70&lt;/pages&gt;&lt;volume&gt;54&lt;/volume&gt;&lt;number&gt;8&lt;/number&gt;&lt;edition&gt;2015/12/19&lt;/edition&gt;&lt;keywords&gt;&lt;keyword&gt;Antigens, Nuclear/*blood/immunology&lt;/keyword&gt;&lt;keyword&gt;*Fluorescent Antibody Technique, Indirect&lt;/keyword&gt;&lt;keyword&gt;Hep G2 Cells&lt;/keyword&gt;&lt;keyword&gt;Humans&lt;/keyword&gt;&lt;keyword&gt;*Immunoenzyme Techniques&lt;/keyword&gt;&lt;/keywords&gt;&lt;dates&gt;&lt;year&gt;2016&lt;/year&gt;&lt;pub-dates&gt;&lt;date&gt;Aug 1&lt;/date&gt;&lt;/pub-dates&gt;&lt;/dates&gt;&lt;isbn&gt;1437-4331 (Electronic)&amp;#xD;1434-6621 (Linking)&lt;/isbn&gt;&lt;accession-num&gt;26677892&lt;/accession-num&gt;&lt;urls&gt;&lt;related-urls&gt;&lt;url&gt;https://www.ncbi.nlm.nih.gov/pubmed/26677892&lt;/url&gt;&lt;/related-urls&gt;&lt;/urls&gt;&lt;electronic-resource-num&gt;10.1515/cclm-2015-1051&lt;/electronic-resource-num&gt;&lt;/record&gt;&lt;/Cite&gt;&lt;/EndNote&gt;</w:instrText>
      </w:r>
      <w:r>
        <w:rPr>
          <w:rFonts w:eastAsia="宋体" w:cs="Times New Roman"/>
          <w:szCs w:val="24"/>
        </w:rPr>
        <w:fldChar w:fldCharType="separate"/>
      </w:r>
      <w:r>
        <w:rPr>
          <w:rFonts w:eastAsia="宋体" w:cs="Times New Roman"/>
          <w:szCs w:val="24"/>
          <w:vertAlign w:val="superscript"/>
        </w:rPr>
        <w:t>45</w:t>
      </w:r>
      <w:r>
        <w:rPr>
          <w:rFonts w:eastAsia="宋体" w:cs="Times New Roman"/>
          <w:szCs w:val="24"/>
        </w:rPr>
        <w:fldChar w:fldCharType="end"/>
      </w:r>
      <w:r>
        <w:rPr>
          <w:rFonts w:hint="eastAsia" w:eastAsia="宋体" w:cs="Times New Roman"/>
          <w:szCs w:val="24"/>
        </w:rPr>
        <w:t xml:space="preserve"> </w:t>
      </w:r>
      <w:r>
        <w:rPr>
          <w:rFonts w:eastAsia="宋体" w:cs="Times New Roman"/>
          <w:szCs w:val="24"/>
        </w:rPr>
        <w:t>In this study, the ELISA subgroup included only three studies with a span of 16 years. Moreover, since the specific technical details of the assays used were not explicitly described in the three papers, this subgroup may not rigorously reflect the current real-world situation of ANA testing using the ELISA method. In a meta-analysis conducted by Orme et al.</w:t>
      </w:r>
      <w:r>
        <w:rPr>
          <w:rFonts w:hint="eastAsia"/>
        </w:rPr>
        <w:t xml:space="preserve"> </w:t>
      </w:r>
      <w:r>
        <w:rPr>
          <w:rFonts w:eastAsia="宋体" w:cs="Times New Roman"/>
          <w:szCs w:val="24"/>
        </w:rPr>
        <w:fldChar w:fldCharType="begin">
          <w:fldData xml:space="preserve">PEVuZE5vdGU+PENpdGU+PEF1dGhvcj5Pcm1lIE0gRTwvQXV0aG9yPjxZZWFyPjIwMTg8L1llYXI+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</w:fldData>
        </w:fldChar>
      </w:r>
      <w:r>
        <w:rPr>
          <w:rFonts w:eastAsia="宋体" w:cs="Times New Roman"/>
          <w:szCs w:val="24"/>
        </w:rPr>
        <w:instrText xml:space="preserve"> ADDIN EN.CITE </w:instrText>
      </w:r>
      <w:r>
        <w:rPr>
          <w:rFonts w:eastAsia="宋体" w:cs="Times New Roman"/>
          <w:szCs w:val="24"/>
        </w:rPr>
        <w:fldChar w:fldCharType="begin">
          <w:fldData xml:space="preserve">PEVuZE5vdGU+PENpdGU+PEF1dGhvcj5Pcm1lIE0gRTwvQXV0aG9yPjxZZWFyPjIwMTg8L1llYXI+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</w:fldData>
        </w:fldChar>
      </w:r>
      <w:r>
        <w:rPr>
          <w:rFonts w:eastAsia="宋体" w:cs="Times New Roman"/>
          <w:szCs w:val="24"/>
        </w:rPr>
        <w:instrText xml:space="preserve"> ADDIN EN.CITE.DATA </w:instrText>
      </w:r>
      <w:r>
        <w:rPr>
          <w:rFonts w:eastAsia="宋体" w:cs="Times New Roman"/>
          <w:szCs w:val="24"/>
        </w:rPr>
        <w:fldChar w:fldCharType="end"/>
      </w:r>
      <w:r>
        <w:rPr>
          <w:rFonts w:eastAsia="宋体" w:cs="Times New Roman"/>
          <w:szCs w:val="24"/>
        </w:rPr>
        <w:fldChar w:fldCharType="separate"/>
      </w:r>
      <w:r>
        <w:rPr>
          <w:rFonts w:eastAsia="宋体" w:cs="Times New Roman"/>
          <w:szCs w:val="24"/>
          <w:vertAlign w:val="superscript"/>
        </w:rPr>
        <w:t>46</w:t>
      </w:r>
      <w:r>
        <w:rPr>
          <w:rFonts w:eastAsia="宋体" w:cs="Times New Roman"/>
          <w:szCs w:val="24"/>
        </w:rPr>
        <w:fldChar w:fldCharType="end"/>
      </w:r>
      <w:r>
        <w:rPr>
          <w:rFonts w:eastAsia="宋体" w:cs="Times New Roman"/>
          <w:szCs w:val="24"/>
        </w:rPr>
        <w:t xml:space="preserve"> on the detection performance of IIF and ELISA, it was concluded that IIF had higher sensitivity than ELISA, while ELISA exhibited higher specificity than IIF. Therefore, a strategy that involves both testing methods simultaneously is recommended.</w:t>
      </w:r>
    </w:p>
    <w:p w14:paraId="54ED859B">
      <w:pPr>
        <w:widowControl/>
        <w:spacing w:line="360" w:lineRule="auto"/>
        <w:jc w:val="left"/>
        <w:rPr>
          <w:rFonts w:eastAsia="宋体" w:cs="Times New Roman"/>
          <w:color w:val="FF0000"/>
          <w:szCs w:val="24"/>
        </w:rPr>
      </w:pPr>
      <w:r>
        <w:rPr>
          <w:rFonts w:eastAsia="宋体" w:cs="Times New Roman"/>
          <w:color w:val="FF0000"/>
          <w:szCs w:val="24"/>
        </w:rPr>
        <w:t>This study provides the most up-to-date and comprehensive evidence to date on the association between ANA positivity and POI. Our meta-analysis confirms that ANA positivity is significantly more common in women with POI than in various control groups, particularly among younger patients (&lt;35 years) and those with FSH &gt; 40 IU/L. These findings support the use of ANA as a non-invasive serological marker with potential diagnostic value in the clinical assessment of suspected autoimmune POI. Additionally, ANA testing may help identify women at higher risk earlier in the disease course, offering opportunities for timely intervention and fertility preservation. Although the prognostic role of ANA requires further investigation in prospective cohorts, our findings contribute meaningfully to the immunologic understanding and early detection strategy for POI.</w:t>
      </w:r>
      <w:r>
        <w:rPr>
          <w:rFonts w:hint="eastAsia" w:eastAsia="宋体" w:cs="Times New Roman"/>
          <w:color w:val="FF0000"/>
          <w:szCs w:val="24"/>
        </w:rPr>
        <w:t xml:space="preserve"> </w:t>
      </w:r>
      <w:r>
        <w:rPr>
          <w:rFonts w:eastAsia="宋体" w:cs="Times New Roman"/>
          <w:color w:val="FF0000"/>
          <w:szCs w:val="24"/>
        </w:rPr>
        <w:t>Moreover, beyond technical considerations in ANA detection, recent evidence suggests that broader immunometabolism factors may modulate autoantibody production and ovarian function. For instance, Bahreiny et al. reported that women with polycystic ovary syndrome had significantly lower levels of circulating nitric oxide, a key immunomodulatory and vascular signaling molecule, suggesting that dysregulated NO pathways may be implicated in endocrine and autoimmune reproductive dysfunction</w:t>
      </w:r>
      <w:r>
        <w:t xml:space="preserve"> </w:t>
      </w:r>
      <w:r>
        <w:rPr>
          <w:rFonts w:eastAsia="宋体" w:cs="Times New Roman"/>
          <w:color w:val="FF0000"/>
          <w:szCs w:val="24"/>
        </w:rPr>
        <w:fldChar w:fldCharType="begin">
          <w:fldData xml:space="preserve">PEVuZE5vdGU+PENpdGU+PEF1dGhvcj5CYWhyZWlueTwvQXV0aG9yPjxZZWFyPjIwMjQ8L1llYXI+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</w:fldData>
        </w:fldChar>
      </w:r>
      <w:r>
        <w:rPr>
          <w:rFonts w:eastAsia="宋体" w:cs="Times New Roman"/>
          <w:color w:val="FF0000"/>
          <w:szCs w:val="24"/>
        </w:rPr>
        <w:instrText xml:space="preserve"> ADDIN EN.CITE </w:instrText>
      </w:r>
      <w:r>
        <w:rPr>
          <w:rFonts w:eastAsia="宋体" w:cs="Times New Roman"/>
          <w:color w:val="FF0000"/>
          <w:szCs w:val="24"/>
        </w:rPr>
        <w:fldChar w:fldCharType="begin">
          <w:fldData xml:space="preserve">PEVuZE5vdGU+PENpdGU+PEF1dGhvcj5CYWhyZWlueTwvQXV0aG9yPjxZZWFyPjIwMjQ8L1llYXI+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</w:fldData>
        </w:fldChar>
      </w:r>
      <w:r>
        <w:rPr>
          <w:rFonts w:eastAsia="宋体" w:cs="Times New Roman"/>
          <w:color w:val="FF0000"/>
          <w:szCs w:val="24"/>
        </w:rPr>
        <w:instrText xml:space="preserve"> ADDIN EN.CITE.DATA </w:instrText>
      </w:r>
      <w:r>
        <w:rPr>
          <w:rFonts w:eastAsia="宋体" w:cs="Times New Roman"/>
          <w:color w:val="FF0000"/>
          <w:szCs w:val="24"/>
        </w:rPr>
        <w:fldChar w:fldCharType="end"/>
      </w:r>
      <w:r>
        <w:rPr>
          <w:rFonts w:eastAsia="宋体" w:cs="Times New Roman"/>
          <w:color w:val="FF0000"/>
          <w:szCs w:val="24"/>
        </w:rPr>
        <w:fldChar w:fldCharType="separate"/>
      </w:r>
      <w:r>
        <w:rPr>
          <w:rFonts w:eastAsia="宋体" w:cs="Times New Roman"/>
          <w:color w:val="FF0000"/>
          <w:szCs w:val="24"/>
          <w:vertAlign w:val="superscript"/>
        </w:rPr>
        <w:t>47</w:t>
      </w:r>
      <w:r>
        <w:rPr>
          <w:rFonts w:eastAsia="宋体" w:cs="Times New Roman"/>
          <w:color w:val="FF0000"/>
          <w:szCs w:val="24"/>
        </w:rPr>
        <w:fldChar w:fldCharType="end"/>
      </w:r>
      <w:r>
        <w:rPr>
          <w:rFonts w:eastAsia="宋体" w:cs="Times New Roman"/>
          <w:color w:val="FF0000"/>
          <w:szCs w:val="24"/>
        </w:rPr>
        <w:t>. Similarly, galectin-3—a β-galactoside-binding lectin—has been found to be elevated in gestational diabetes mellitus and proposed as a novel immunometabolic biomarker, further supporting the link between systemic inflammation, metabolic stress, and reproductive outcomes</w:t>
      </w:r>
      <w:r>
        <w:rPr>
          <w:rFonts w:hint="eastAsia" w:eastAsia="宋体" w:cs="Times New Roman"/>
          <w:color w:val="FF0000"/>
          <w:szCs w:val="24"/>
        </w:rPr>
        <w:t xml:space="preserve"> </w:t>
      </w:r>
      <w:r>
        <w:rPr>
          <w:rFonts w:eastAsia="宋体" w:cs="Times New Roman"/>
          <w:color w:val="FF0000"/>
          <w:szCs w:val="24"/>
        </w:rPr>
        <w:fldChar w:fldCharType="begin">
          <w:fldData xml:space="preserve">PEVuZE5vdGU+PENpdGU+PEF1dGhvcj5CYWhyZWlueTwvQXV0aG9yPjxZZWFyPjIwMjQ8L1llYXI+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</w:fldData>
        </w:fldChar>
      </w:r>
      <w:r>
        <w:rPr>
          <w:rFonts w:eastAsia="宋体" w:cs="Times New Roman"/>
          <w:color w:val="FF0000"/>
          <w:szCs w:val="24"/>
        </w:rPr>
        <w:instrText xml:space="preserve"> ADDIN EN.CITE </w:instrText>
      </w:r>
      <w:r>
        <w:rPr>
          <w:rFonts w:eastAsia="宋体" w:cs="Times New Roman"/>
          <w:color w:val="FF0000"/>
          <w:szCs w:val="24"/>
        </w:rPr>
        <w:fldChar w:fldCharType="begin">
          <w:fldData xml:space="preserve">PEVuZE5vdGU+PENpdGU+PEF1dGhvcj5CYWhyZWlueTwvQXV0aG9yPjxZZWFyPjIwMjQ8L1llYXI+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</w:fldData>
        </w:fldChar>
      </w:r>
      <w:r>
        <w:rPr>
          <w:rFonts w:eastAsia="宋体" w:cs="Times New Roman"/>
          <w:color w:val="FF0000"/>
          <w:szCs w:val="24"/>
        </w:rPr>
        <w:instrText xml:space="preserve"> ADDIN EN.CITE.DATA </w:instrText>
      </w:r>
      <w:r>
        <w:rPr>
          <w:rFonts w:eastAsia="宋体" w:cs="Times New Roman"/>
          <w:color w:val="FF0000"/>
          <w:szCs w:val="24"/>
        </w:rPr>
        <w:fldChar w:fldCharType="end"/>
      </w:r>
      <w:r>
        <w:rPr>
          <w:rFonts w:eastAsia="宋体" w:cs="Times New Roman"/>
          <w:color w:val="FF0000"/>
          <w:szCs w:val="24"/>
        </w:rPr>
        <w:fldChar w:fldCharType="separate"/>
      </w:r>
      <w:r>
        <w:rPr>
          <w:rFonts w:eastAsia="宋体" w:cs="Times New Roman"/>
          <w:color w:val="FF0000"/>
          <w:szCs w:val="24"/>
          <w:vertAlign w:val="superscript"/>
        </w:rPr>
        <w:t>48</w:t>
      </w:r>
      <w:r>
        <w:rPr>
          <w:rFonts w:eastAsia="宋体" w:cs="Times New Roman"/>
          <w:color w:val="FF0000"/>
          <w:szCs w:val="24"/>
        </w:rPr>
        <w:fldChar w:fldCharType="end"/>
      </w:r>
      <w:r>
        <w:rPr>
          <w:rFonts w:eastAsia="宋体" w:cs="Times New Roman"/>
          <w:color w:val="FF0000"/>
          <w:szCs w:val="24"/>
        </w:rPr>
        <w:t>. In diabetic patients, melatonin supplementation has shown robust anti-inflammatory and antioxidant effects, reducing levels of TNF-α, IL-6, and MDA while improving antioxidant capacity, highlighting therapeutic avenues that could be relevant for autoimmune ovarian conditions</w:t>
      </w:r>
      <w:r>
        <w:t xml:space="preserve"> </w:t>
      </w:r>
      <w:r>
        <w:rPr>
          <w:rFonts w:eastAsia="宋体" w:cs="Times New Roman"/>
          <w:color w:val="FF0000"/>
          <w:szCs w:val="24"/>
        </w:rPr>
        <w:fldChar w:fldCharType="begin">
          <w:fldData xml:space="preserve">PEVuZE5vdGU+PENpdGU+PEF1dGhvcj5Nb2hhbW1hZHBvdXIgRmFyZDwvQXV0aG9yPjxZZWFyPjIw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</w:fldData>
        </w:fldChar>
      </w:r>
      <w:r>
        <w:rPr>
          <w:rFonts w:eastAsia="宋体" w:cs="Times New Roman"/>
          <w:color w:val="FF0000"/>
          <w:szCs w:val="24"/>
        </w:rPr>
        <w:instrText xml:space="preserve"> ADDIN EN.CITE </w:instrText>
      </w:r>
      <w:r>
        <w:rPr>
          <w:rFonts w:eastAsia="宋体" w:cs="Times New Roman"/>
          <w:color w:val="FF0000"/>
          <w:szCs w:val="24"/>
        </w:rPr>
        <w:fldChar w:fldCharType="begin">
          <w:fldData xml:space="preserve">PEVuZE5vdGU+PENpdGU+PEF1dGhvcj5Nb2hhbW1hZHBvdXIgRmFyZDwvQXV0aG9yPjxZZWFyPjIw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</w:fldData>
        </w:fldChar>
      </w:r>
      <w:r>
        <w:rPr>
          <w:rFonts w:eastAsia="宋体" w:cs="Times New Roman"/>
          <w:color w:val="FF0000"/>
          <w:szCs w:val="24"/>
        </w:rPr>
        <w:instrText xml:space="preserve"> ADDIN EN.CITE.DATA </w:instrText>
      </w:r>
      <w:r>
        <w:rPr>
          <w:rFonts w:eastAsia="宋体" w:cs="Times New Roman"/>
          <w:color w:val="FF0000"/>
          <w:szCs w:val="24"/>
        </w:rPr>
        <w:fldChar w:fldCharType="end"/>
      </w:r>
      <w:r>
        <w:rPr>
          <w:rFonts w:eastAsia="宋体" w:cs="Times New Roman"/>
          <w:color w:val="FF0000"/>
          <w:szCs w:val="24"/>
        </w:rPr>
        <w:fldChar w:fldCharType="separate"/>
      </w:r>
      <w:r>
        <w:rPr>
          <w:rFonts w:eastAsia="宋体" w:cs="Times New Roman"/>
          <w:color w:val="FF0000"/>
          <w:szCs w:val="24"/>
          <w:vertAlign w:val="superscript"/>
        </w:rPr>
        <w:t>49</w:t>
      </w:r>
      <w:r>
        <w:rPr>
          <w:rFonts w:eastAsia="宋体" w:cs="Times New Roman"/>
          <w:color w:val="FF0000"/>
          <w:szCs w:val="24"/>
        </w:rPr>
        <w:fldChar w:fldCharType="end"/>
      </w:r>
      <w:r>
        <w:rPr>
          <w:rFonts w:eastAsia="宋体" w:cs="Times New Roman"/>
          <w:color w:val="FF0000"/>
          <w:szCs w:val="24"/>
        </w:rPr>
        <w:t>. These emerging findings align with the notion that ANA positivity may reflect not only localized autoimmune activation but also systemic inflammatory imbalance—a hypothesis that future mechanistic studies should explore.</w:t>
      </w:r>
    </w:p>
    <w:p w14:paraId="321F9F6A">
      <w:pPr>
        <w:widowControl/>
        <w:spacing w:line="360" w:lineRule="auto"/>
        <w:jc w:val="left"/>
        <w:rPr>
          <w:rFonts w:eastAsia="宋体" w:cs="Times New Roman"/>
          <w:color w:val="FF0000"/>
          <w:kern w:val="0"/>
          <w:szCs w:val="24"/>
        </w:rPr>
      </w:pPr>
      <w:r>
        <w:rPr>
          <w:rFonts w:eastAsia="宋体" w:cs="Times New Roman"/>
          <w:color w:val="FF0000"/>
          <w:kern w:val="0"/>
          <w:szCs w:val="24"/>
        </w:rPr>
        <w:t>This study has several strengths. First, we performed a comprehensive search across both English and Chinese databases, improving the representativeness and generalizability of our findings. Second, subgroup analyses were conducted based on key clinical variables such as age, FSH level, and ANA detection method, allowing for a more detailed exploration of heterogeneity. However, some limitations should be noted. First, all included studies were observational in design, limiting the ability to establish causal relationships. In particular, the cross-sectional nature of the data precludes determination of whether ANA positivity is a causal factor in the development of POI or a consequence of ovarian tissue damage. None of the included studies reported longitudinal changes in ANA titers before and after POI onset, making temporal inference impossible.</w:t>
      </w:r>
      <w:r>
        <w:rPr>
          <w:rFonts w:hint="eastAsia" w:eastAsia="宋体" w:cs="Times New Roman"/>
          <w:b/>
          <w:bCs/>
          <w:color w:val="FF0000"/>
          <w:kern w:val="0"/>
          <w:szCs w:val="24"/>
        </w:rPr>
        <w:t xml:space="preserve"> </w:t>
      </w:r>
      <w:r>
        <w:rPr>
          <w:rFonts w:eastAsia="宋体" w:cs="Times New Roman"/>
          <w:color w:val="FF0000"/>
          <w:kern w:val="0"/>
          <w:szCs w:val="24"/>
        </w:rPr>
        <w:t>Second, the heterogeneity in ANA detection methods and cutoff values across studies may have affected the comparability of results. Third, although genetic causes were excluded and subgroup analyses were performed based on control group types, other potential confounding factors such as ethnicity, lifestyle behaviors (e.g., smoking, diet), and coexisting autoimmune conditions (e.g., Hashimoto’s thyroiditis, systemic lupus erythematosus) were not consistently reported across studies and thus could not be adjusted for, potentially influencing ANA positivity. Fourth, incomplete reporting of ANA titers, nuclear patterns, and other immunologic markers in several studies may have further contributed to residual confounding. Fifth, although IIF is recognized as the gold standard for ANA detection, limited reporting detail in the original studies prevented further stratified analyses within IIF-positive subtypes (e.g., nuclear patterns), which could offer additional diagnostic or prognostic insights.</w:t>
      </w:r>
      <w:r>
        <w:rPr>
          <w:rFonts w:hint="eastAsia" w:eastAsia="宋体" w:cs="Times New Roman"/>
          <w:color w:val="FF0000"/>
          <w:kern w:val="0"/>
          <w:szCs w:val="24"/>
        </w:rPr>
        <w:t xml:space="preserve"> </w:t>
      </w:r>
      <w:r>
        <w:rPr>
          <w:rFonts w:eastAsia="宋体" w:cs="Times New Roman"/>
          <w:color w:val="FF0000"/>
          <w:kern w:val="0"/>
          <w:szCs w:val="24"/>
        </w:rPr>
        <w:t>Finally, although publication bias was not evident based on funnel plot and Begg’s test, it cannot be completely ruled out. These limitations highlight the need for future prospective studies with standardized diagnostic criteria, harmonized ANA testing methods, and more comprehensive participant-level data collection to allow adjustment for important clinical and immunologic confounders.</w:t>
      </w:r>
    </w:p>
    <w:p w14:paraId="340C81D2">
      <w:pPr>
        <w:widowControl/>
        <w:spacing w:line="360" w:lineRule="auto"/>
        <w:jc w:val="left"/>
        <w:rPr>
          <w:rFonts w:eastAsia="宋体" w:cs="Times New Roman"/>
          <w:color w:val="FF0000"/>
          <w:kern w:val="0"/>
          <w:szCs w:val="24"/>
        </w:rPr>
      </w:pPr>
    </w:p>
    <w:p w14:paraId="59F6FFD0">
      <w:pPr>
        <w:spacing w:line="360" w:lineRule="auto"/>
        <w:rPr>
          <w:rFonts w:cs="Times New Roman"/>
          <w:b/>
          <w:bCs/>
          <w:szCs w:val="24"/>
        </w:rPr>
      </w:pPr>
      <w:r>
        <w:rPr>
          <w:rFonts w:cs="Times New Roman"/>
          <w:b/>
          <w:bCs/>
          <w:szCs w:val="24"/>
        </w:rPr>
        <w:t xml:space="preserve">CONCLUSION </w:t>
      </w:r>
    </w:p>
    <w:p w14:paraId="73C0BD3B">
      <w:pPr>
        <w:spacing w:line="360" w:lineRule="auto"/>
        <w:rPr>
          <w:rFonts w:cs="Times New Roman"/>
          <w:b/>
          <w:bCs/>
          <w:color w:val="000000" w:themeColor="text1"/>
          <w:szCs w:val="24"/>
          <w:highlight w:val="none"/>
          <w14:textFill>
            <w14:solidFill>
              <w14:schemeClr w14:val="tx1"/>
            </w14:solidFill>
          </w14:textFill>
        </w:rPr>
      </w:pPr>
      <w:r>
        <w:rPr>
          <w:rFonts w:eastAsia="Times New Roman" w:cs="Times New Roman"/>
          <w:color w:val="000000" w:themeColor="text1"/>
          <w:szCs w:val="24"/>
          <w:highlight w:val="none"/>
          <w14:textFill>
            <w14:solidFill>
              <w14:schemeClr w14:val="tx1"/>
            </w14:solidFill>
          </w14:textFill>
        </w:rPr>
        <w:t>ANA positive may be linked to the presence of POI. We advise conducting regular ANA testing for patients with premature ovarian insufficiency who are either younger than 35 years old or have FSH levels exceeding 40 IU/L. We recommend doing additional multi-center, large-scale cohort studies and randomized controlled trials to compare the efficacy of ELISA and IIF approaches in identifying ANA. Furthermore, it is important to evaluate ANA titers and classify nuclear patterns. It is advisable to incorporate females of the same age group, particularly those with low levels of gonadotropins, as control groups.</w:t>
      </w:r>
    </w:p>
    <w:p w14:paraId="05E9424A">
      <w:pPr>
        <w:spacing w:line="360" w:lineRule="auto"/>
        <w:rPr>
          <w:rFonts w:cs="Times New Roman"/>
          <w:b/>
          <w:bCs/>
          <w:color w:val="008080"/>
          <w:szCs w:val="24"/>
        </w:rPr>
      </w:pPr>
      <w:r>
        <w:rPr>
          <w:rFonts w:cs="Times New Roman"/>
          <w:b/>
          <w:bCs/>
          <w:color w:val="008080"/>
          <w:szCs w:val="24"/>
        </w:rPr>
        <w:t xml:space="preserve">References: </w:t>
      </w:r>
    </w:p>
    <w:p w14:paraId="0037804C">
      <w:pPr>
        <w:pStyle w:val="31"/>
        <w:ind w:left="720" w:hanging="720"/>
      </w:pPr>
      <w:r>
        <w:fldChar w:fldCharType="begin"/>
      </w:r>
      <w:r>
        <w:instrText xml:space="preserve"> ADDIN EN.REFLIST </w:instrText>
      </w:r>
      <w:r>
        <w:fldChar w:fldCharType="separate"/>
      </w:r>
      <w:r>
        <w:t>1.</w:t>
      </w:r>
      <w:r>
        <w:tab/>
      </w:r>
      <w:r>
        <w:t xml:space="preserve">M de Moraes-Ruehsen GSJ. Premature ovarian failure. </w:t>
      </w:r>
      <w:r>
        <w:rPr>
          <w:i/>
        </w:rPr>
        <w:t xml:space="preserve">Fertil Steril. </w:t>
      </w:r>
      <w:r>
        <w:t>1967;18(4):440-461.</w:t>
      </w:r>
    </w:p>
    <w:p w14:paraId="33BF5FE3">
      <w:pPr>
        <w:pStyle w:val="31"/>
        <w:ind w:left="720" w:hanging="720"/>
      </w:pPr>
      <w:r>
        <w:t>2.</w:t>
      </w:r>
      <w:r>
        <w:tab/>
      </w:r>
      <w:r>
        <w:t xml:space="preserve">The ESHRE Guideline Group on POI LW, M. Davies, R. Anderson, J. Bartlett, D. Braat, B. Cartwright, R. Cifkova, S. et al. ESHRE Guideline: management of women with premature ovarian insufficiency. </w:t>
      </w:r>
      <w:r>
        <w:rPr>
          <w:i/>
        </w:rPr>
        <w:t xml:space="preserve">Human Reproduction. </w:t>
      </w:r>
      <w:r>
        <w:t>2016;31(5):926-937.</w:t>
      </w:r>
    </w:p>
    <w:p w14:paraId="0050E2C8">
      <w:pPr>
        <w:pStyle w:val="31"/>
        <w:ind w:left="720" w:hanging="720"/>
      </w:pPr>
      <w:r>
        <w:t>3.</w:t>
      </w:r>
      <w:r>
        <w:tab/>
      </w:r>
      <w:r>
        <w:t xml:space="preserve">Li M ZY, Wei J, Chen L, Chen S, Lai D. The global prevalence of premature ovarian insufficiency: a systematic review and meta-analysis. </w:t>
      </w:r>
      <w:r>
        <w:rPr>
          <w:i/>
        </w:rPr>
        <w:t xml:space="preserve">Climacteric : the journal of the International Menopause Society. </w:t>
      </w:r>
      <w:r>
        <w:t>2023;26(2):95-102.</w:t>
      </w:r>
    </w:p>
    <w:p w14:paraId="64C34905">
      <w:pPr>
        <w:pStyle w:val="31"/>
        <w:ind w:left="720" w:hanging="720"/>
      </w:pPr>
      <w:r>
        <w:t>4.</w:t>
      </w:r>
      <w:r>
        <w:tab/>
      </w:r>
      <w:r>
        <w:t xml:space="preserve">Sophia Tsiligiannis NP, John C Stevenson. Premature Ovarian Insufficiency and Long-Term Health Consequencs. </w:t>
      </w:r>
      <w:r>
        <w:rPr>
          <w:i/>
        </w:rPr>
        <w:t xml:space="preserve">Current vascular pharmacology. </w:t>
      </w:r>
      <w:r>
        <w:t>2019;17(6):604-609.</w:t>
      </w:r>
    </w:p>
    <w:p w14:paraId="4136C044">
      <w:pPr>
        <w:pStyle w:val="31"/>
        <w:ind w:left="720" w:hanging="720"/>
      </w:pPr>
      <w:r>
        <w:t>5.</w:t>
      </w:r>
      <w:r>
        <w:tab/>
      </w:r>
      <w:r>
        <w:t xml:space="preserve">Jankowska K. Premature ovarian failure. </w:t>
      </w:r>
      <w:r>
        <w:rPr>
          <w:i/>
        </w:rPr>
        <w:t xml:space="preserve">Przeglad menopauzaly  Menopause review. </w:t>
      </w:r>
      <w:r>
        <w:t>2017;16(2):51-56.</w:t>
      </w:r>
    </w:p>
    <w:p w14:paraId="3EEC9A55">
      <w:pPr>
        <w:pStyle w:val="31"/>
        <w:ind w:left="720" w:hanging="720"/>
      </w:pPr>
      <w:r>
        <w:t>6.</w:t>
      </w:r>
      <w:r>
        <w:tab/>
      </w:r>
      <w:r>
        <w:t xml:space="preserve">Can Z WX, Nana H,  Qian Z. Correlation between Premature Ovarian Insufficiency and Immunity and Its Clinical Research Progress. </w:t>
      </w:r>
      <w:r>
        <w:rPr>
          <w:i/>
        </w:rPr>
        <w:t xml:space="preserve">Chinese Archives Of Traditional Chinese Medicine. </w:t>
      </w:r>
      <w:r>
        <w:t>2023;41(5):111-114.</w:t>
      </w:r>
    </w:p>
    <w:p w14:paraId="6A72058D">
      <w:pPr>
        <w:pStyle w:val="31"/>
        <w:ind w:left="720" w:hanging="720"/>
      </w:pPr>
      <w:r>
        <w:t>7.</w:t>
      </w:r>
      <w:r>
        <w:tab/>
      </w:r>
      <w:r>
        <w:t xml:space="preserve">WuShu Z. Modern Clinical Immunology. </w:t>
      </w:r>
      <w:r>
        <w:rPr>
          <w:i/>
        </w:rPr>
        <w:t xml:space="preserve">People's Medical Officer Press. </w:t>
      </w:r>
      <w:r>
        <w:t>1994.</w:t>
      </w:r>
    </w:p>
    <w:p w14:paraId="7EE5E7B6">
      <w:pPr>
        <w:pStyle w:val="31"/>
        <w:ind w:left="720" w:hanging="720"/>
      </w:pPr>
      <w:r>
        <w:t>8.</w:t>
      </w:r>
      <w:r>
        <w:tab/>
      </w:r>
      <w:r>
        <w:t xml:space="preserve">Yadav MK, Maharana J, Yadav R, et al. Molecular basis of anaphylatoxin binding, activation, and signaling bias at complement receptors. </w:t>
      </w:r>
      <w:r>
        <w:rPr>
          <w:i/>
        </w:rPr>
        <w:t xml:space="preserve">Cell. </w:t>
      </w:r>
      <w:r>
        <w:t>2023;186(22):4956-4973.e4921.</w:t>
      </w:r>
    </w:p>
    <w:p w14:paraId="657CE656">
      <w:pPr>
        <w:pStyle w:val="31"/>
        <w:ind w:left="720" w:hanging="720"/>
      </w:pPr>
      <w:r>
        <w:t>9.</w:t>
      </w:r>
      <w:r>
        <w:tab/>
      </w:r>
      <w:r>
        <w:t xml:space="preserve">M H Mignot JS, M Kleingeld, B R Rao, H A Drexhage. Premature ovarian failure. I: The association with autoimmuniy. </w:t>
      </w:r>
      <w:r>
        <w:rPr>
          <w:i/>
        </w:rPr>
        <w:t xml:space="preserve">European journal of obstetrics, gynecology, and reproductive biology. </w:t>
      </w:r>
      <w:r>
        <w:t>1989;30(1):59-66.</w:t>
      </w:r>
    </w:p>
    <w:p w14:paraId="39B352B9">
      <w:pPr>
        <w:pStyle w:val="31"/>
        <w:ind w:left="720" w:hanging="720"/>
      </w:pPr>
      <w:r>
        <w:t>10.</w:t>
      </w:r>
      <w:r>
        <w:tab/>
      </w:r>
      <w:r>
        <w:t xml:space="preserve">Z Blumenfeld SH, B A Peretz, Z Shmuel, D Golan, A Makler, J M Brandes. Premature ovarian failure-the prognostic application of autoimmuniy on conception after ovulation induction. </w:t>
      </w:r>
      <w:r>
        <w:rPr>
          <w:i/>
        </w:rPr>
        <w:t xml:space="preserve">Fertility and sterility. </w:t>
      </w:r>
      <w:r>
        <w:t>1993;59(4):750-755.</w:t>
      </w:r>
    </w:p>
    <w:p w14:paraId="622DD0F5">
      <w:pPr>
        <w:pStyle w:val="31"/>
        <w:ind w:left="720" w:hanging="720"/>
      </w:pPr>
      <w:r>
        <w:t>11.</w:t>
      </w:r>
      <w:r>
        <w:tab/>
      </w:r>
      <w:r>
        <w:t xml:space="preserve">Ellen Heitzer PU, Jelena Belic, Stefan Gutschi, Franz Quehenberger, Katja Fischereder, et al. Tumor-associated copy number changes in the circulation of patients with prostate cancer identified through whole-genome sequencing. </w:t>
      </w:r>
      <w:r>
        <w:rPr>
          <w:i/>
        </w:rPr>
        <w:t xml:space="preserve">Genome medicine. </w:t>
      </w:r>
      <w:r>
        <w:t>2013;5(4):30.</w:t>
      </w:r>
    </w:p>
    <w:p w14:paraId="2E23C9C9">
      <w:pPr>
        <w:pStyle w:val="31"/>
        <w:ind w:left="720" w:hanging="720"/>
      </w:pPr>
      <w:r>
        <w:t>12.</w:t>
      </w:r>
      <w:r>
        <w:tab/>
      </w:r>
      <w:r>
        <w:t xml:space="preserve">Noriko Abe HT, Iwaho Kikuchi, Katsuyuki Kinoshita. Effectiveness of microlaparoscopy in the diagnosis of premature ovarian failure. </w:t>
      </w:r>
      <w:r>
        <w:rPr>
          <w:i/>
        </w:rPr>
        <w:t xml:space="preserve">The journal of obstetrics and gynaecology research. </w:t>
      </w:r>
      <w:r>
        <w:t>2006;32(2):224-229.</w:t>
      </w:r>
    </w:p>
    <w:p w14:paraId="5783B803">
      <w:pPr>
        <w:pStyle w:val="31"/>
        <w:ind w:left="720" w:hanging="720"/>
      </w:pPr>
      <w:r>
        <w:t>13.</w:t>
      </w:r>
      <w:r>
        <w:tab/>
      </w:r>
      <w:r>
        <w:t xml:space="preserve">Benita Grossmann SS, Katharina Rall, Ann-Christin Pecher, Stephanie Hübner, Joerg Henes, et al. Prevalence of autoimmune disease in women with premature ovarian failure. </w:t>
      </w:r>
      <w:r>
        <w:rPr>
          <w:i/>
        </w:rPr>
        <w:t xml:space="preserve">Eur J Contracept Reprod Health Care. </w:t>
      </w:r>
      <w:r>
        <w:t>2020;25:72-75.</w:t>
      </w:r>
    </w:p>
    <w:p w14:paraId="322879C4">
      <w:pPr>
        <w:pStyle w:val="31"/>
        <w:ind w:left="720" w:hanging="720"/>
      </w:pPr>
      <w:r>
        <w:t>14.</w:t>
      </w:r>
      <w:r>
        <w:tab/>
      </w:r>
      <w:r>
        <w:t xml:space="preserve">Xinran Li JX, Qingru Wang, Huihua Cai, Chuhai Xie, Xiafei Fu. miR-21 and Pellino-1 Expression Profiling in Autoimmune Premature Ovarian Insufficiency. </w:t>
      </w:r>
      <w:r>
        <w:rPr>
          <w:i/>
        </w:rPr>
        <w:t xml:space="preserve">Journal of immunology research. </w:t>
      </w:r>
      <w:r>
        <w:t>2020;2020:1-10.</w:t>
      </w:r>
    </w:p>
    <w:p w14:paraId="44457837">
      <w:pPr>
        <w:pStyle w:val="31"/>
        <w:ind w:left="720" w:hanging="720"/>
      </w:pPr>
      <w:r>
        <w:t>15.</w:t>
      </w:r>
      <w:r>
        <w:tab/>
      </w:r>
      <w:r>
        <w:t xml:space="preserve">Eichenberger L B GMG, Blanc P M, et al. Preliminary results from the premature ovarian insufficiency (POI) database in Spain. </w:t>
      </w:r>
      <w:r>
        <w:rPr>
          <w:i/>
        </w:rPr>
        <w:t xml:space="preserve">Maturitas. </w:t>
      </w:r>
      <w:r>
        <w:t>2021;152:75.</w:t>
      </w:r>
    </w:p>
    <w:p w14:paraId="5B3F8A47">
      <w:pPr>
        <w:pStyle w:val="31"/>
        <w:ind w:left="720" w:hanging="720"/>
      </w:pPr>
      <w:r>
        <w:t>16.</w:t>
      </w:r>
      <w:r>
        <w:tab/>
      </w:r>
      <w:r>
        <w:t xml:space="preserve">R Kirsop CRB, B G Robinson, R J Baber, J V Wells, D M Saunders. Detection of anti-ovarian antibodies by indirect immunofluorescence in patients with premature ovarian failure. </w:t>
      </w:r>
      <w:r>
        <w:rPr>
          <w:i/>
        </w:rPr>
        <w:t xml:space="preserve">Reproduction, fertility, and development. </w:t>
      </w:r>
      <w:r>
        <w:t>1991;3(5):537-541.</w:t>
      </w:r>
    </w:p>
    <w:p w14:paraId="319FE9D2">
      <w:pPr>
        <w:pStyle w:val="31"/>
        <w:ind w:left="720" w:hanging="720"/>
      </w:pPr>
      <w:r>
        <w:t>17.</w:t>
      </w:r>
      <w:r>
        <w:tab/>
      </w:r>
      <w:r>
        <w:t xml:space="preserve">Y. Engin-Üstün YÜ, Iltemir C, et al. Comparison of presence of autoimmune activity in patients with premature ovarian failure and menopause. </w:t>
      </w:r>
      <w:r>
        <w:rPr>
          <w:i/>
        </w:rPr>
        <w:t xml:space="preserve">Eastern Journal of Medicine. </w:t>
      </w:r>
      <w:r>
        <w:t>2003;8:12-14.</w:t>
      </w:r>
    </w:p>
    <w:p w14:paraId="4109F2C9">
      <w:pPr>
        <w:pStyle w:val="31"/>
        <w:ind w:left="720" w:hanging="720"/>
      </w:pPr>
      <w:r>
        <w:t>18.</w:t>
      </w:r>
      <w:r>
        <w:tab/>
      </w:r>
      <w:r>
        <w:t xml:space="preserve">Yunxia C WB, Buqin Y, Dazhi L, Li W. Clinical significance of MIF and HLR-DR antigens in patients with autoimmune premature ovarian failure. </w:t>
      </w:r>
      <w:r>
        <w:rPr>
          <w:i/>
        </w:rPr>
        <w:t xml:space="preserve">Biomedical Engineering and Clinical Medicine. </w:t>
      </w:r>
      <w:r>
        <w:t>2019;23(6):714-718.</w:t>
      </w:r>
    </w:p>
    <w:p w14:paraId="06566473">
      <w:pPr>
        <w:pStyle w:val="31"/>
        <w:ind w:left="720" w:hanging="720"/>
      </w:pPr>
      <w:r>
        <w:t>19.</w:t>
      </w:r>
      <w:r>
        <w:tab/>
      </w:r>
      <w:r>
        <w:t xml:space="preserve">B.Ishizuka YK, A.Amemiya, H.Yamada, T.Matsuda, T.Ogata. Anti-nuclear antibodies in patients with premature ovarian failure. </w:t>
      </w:r>
      <w:r>
        <w:rPr>
          <w:i/>
        </w:rPr>
        <w:t xml:space="preserve">Human reproduction (Oxford, England). </w:t>
      </w:r>
      <w:r>
        <w:t>1999;14(1):70-75.</w:t>
      </w:r>
    </w:p>
    <w:p w14:paraId="4535797B">
      <w:pPr>
        <w:pStyle w:val="31"/>
        <w:ind w:left="720" w:hanging="720"/>
      </w:pPr>
      <w:r>
        <w:t>20.</w:t>
      </w:r>
      <w:r>
        <w:tab/>
      </w:r>
      <w:r>
        <w:t xml:space="preserve">G Yan DS, C Penney, K Hurxthal, A E Taylor, D Faustman. Identification of premature ovarian failure patients with underlying autoimmuniy. </w:t>
      </w:r>
      <w:r>
        <w:rPr>
          <w:i/>
        </w:rPr>
        <w:t xml:space="preserve">Journal of women's health &amp; gender-based medicine. </w:t>
      </w:r>
      <w:r>
        <w:t>2000;9(3):275-287.</w:t>
      </w:r>
    </w:p>
    <w:p w14:paraId="4745A74B">
      <w:pPr>
        <w:pStyle w:val="31"/>
        <w:ind w:left="720" w:hanging="720"/>
      </w:pPr>
      <w:r>
        <w:t>21.</w:t>
      </w:r>
      <w:r>
        <w:tab/>
      </w:r>
      <w:r>
        <w:t xml:space="preserve">Xinna C GC, Meizhi L. Clinical features of 98 women with premature ovarian failure. </w:t>
      </w:r>
      <w:r>
        <w:rPr>
          <w:i/>
        </w:rPr>
        <w:t xml:space="preserve">Chinese Journal Of Practial Gynecolgy And Obstetrics. </w:t>
      </w:r>
      <w:r>
        <w:t>2007;23:47-49.</w:t>
      </w:r>
    </w:p>
    <w:p w14:paraId="057EA021">
      <w:pPr>
        <w:pStyle w:val="31"/>
        <w:ind w:left="720" w:hanging="720"/>
      </w:pPr>
      <w:r>
        <w:t>22.</w:t>
      </w:r>
      <w:r>
        <w:tab/>
      </w:r>
      <w:r>
        <w:t xml:space="preserve">Shan Q HS, SuXin X, et al. Related studies on immune factors in premature ovarian failure. </w:t>
      </w:r>
      <w:r>
        <w:rPr>
          <w:i/>
        </w:rPr>
        <w:t xml:space="preserve">Maternal and child health care of china. </w:t>
      </w:r>
      <w:r>
        <w:t>2008;23:2293-2296.</w:t>
      </w:r>
    </w:p>
    <w:p w14:paraId="3BB0D67B">
      <w:pPr>
        <w:pStyle w:val="31"/>
        <w:ind w:left="720" w:hanging="720"/>
      </w:pPr>
      <w:r>
        <w:t>23.</w:t>
      </w:r>
      <w:r>
        <w:tab/>
      </w:r>
      <w:r>
        <w:t xml:space="preserve">Xiaohong M XX. The Levels of Serum AOAb, ACA and TG-Ab in Patients with Premature Ovarian Failure and its Clinical Significance. </w:t>
      </w:r>
      <w:r>
        <w:rPr>
          <w:i/>
        </w:rPr>
        <w:t xml:space="preserve">Chinese Journal Of Family Planning. </w:t>
      </w:r>
      <w:r>
        <w:t>2008;16:744-747.</w:t>
      </w:r>
    </w:p>
    <w:p w14:paraId="0252A6EA">
      <w:pPr>
        <w:pStyle w:val="31"/>
        <w:ind w:left="720" w:hanging="720"/>
      </w:pPr>
      <w:r>
        <w:t>24.</w:t>
      </w:r>
      <w:r>
        <w:tab/>
      </w:r>
      <w:r>
        <w:t xml:space="preserve">LianHu Y BH. A Study on the Correlation between Premature Ovarian Failure and Autoimmune Indicators. </w:t>
      </w:r>
      <w:r>
        <w:rPr>
          <w:i/>
        </w:rPr>
        <w:t xml:space="preserve">International journal of laboratory medicine. </w:t>
      </w:r>
      <w:r>
        <w:t>2009;30:267-268.</w:t>
      </w:r>
    </w:p>
    <w:p w14:paraId="74419E52">
      <w:pPr>
        <w:pStyle w:val="31"/>
        <w:ind w:left="720" w:hanging="720"/>
      </w:pPr>
      <w:r>
        <w:t>25.</w:t>
      </w:r>
      <w:r>
        <w:tab/>
      </w:r>
      <w:r>
        <w:t xml:space="preserve">Xiumei Zhen JQ, Rong Li, Lina Wang, Ping Liu. Serologic autoimmunologic parameters in women with primary ovarian insufficiency. </w:t>
      </w:r>
      <w:r>
        <w:rPr>
          <w:i/>
        </w:rPr>
        <w:t xml:space="preserve">BMC immunology. </w:t>
      </w:r>
      <w:r>
        <w:t>2014;15(1):1-6.</w:t>
      </w:r>
    </w:p>
    <w:p w14:paraId="500A2D85">
      <w:pPr>
        <w:pStyle w:val="31"/>
        <w:ind w:left="720" w:hanging="720"/>
      </w:pPr>
      <w:r>
        <w:t>26.</w:t>
      </w:r>
      <w:r>
        <w:tab/>
      </w:r>
      <w:r>
        <w:t xml:space="preserve">Jing Gao XJ, Yujie Dang, Jing Li, Guiyu Li, Ting Han, et al. Identification of patients with primary ovarian insufficiency caused by autoimmuniy. </w:t>
      </w:r>
      <w:r>
        <w:rPr>
          <w:i/>
        </w:rPr>
        <w:t xml:space="preserve">Reproductive biomedicine online. </w:t>
      </w:r>
      <w:r>
        <w:t>2017;35(4):475-479.</w:t>
      </w:r>
    </w:p>
    <w:p w14:paraId="34034AAC">
      <w:pPr>
        <w:pStyle w:val="31"/>
        <w:ind w:left="720" w:hanging="720"/>
      </w:pPr>
      <w:r>
        <w:t>27.</w:t>
      </w:r>
      <w:r>
        <w:tab/>
      </w:r>
      <w:r>
        <w:t xml:space="preserve">Xiaobo S QS, Jing Z. Detection and analysis of autoimmunity data on patients of premature ovarian failure. </w:t>
      </w:r>
      <w:r>
        <w:rPr>
          <w:i/>
        </w:rPr>
        <w:t xml:space="preserve">Progress In Obstetrics And Gynecology. </w:t>
      </w:r>
      <w:r>
        <w:t>2017;16:591-593.</w:t>
      </w:r>
    </w:p>
    <w:p w14:paraId="730EECEF">
      <w:pPr>
        <w:pStyle w:val="31"/>
        <w:ind w:left="720" w:hanging="720"/>
      </w:pPr>
      <w:r>
        <w:t>28.</w:t>
      </w:r>
      <w:r>
        <w:tab/>
      </w:r>
      <w:r>
        <w:t xml:space="preserve">Qun W ML. Diagnostic value of macrophage migration inhibitory factor, human leukocyte DR antigen expression in peripheral blood for autoimmune premature ovarian failure. </w:t>
      </w:r>
      <w:r>
        <w:rPr>
          <w:i/>
        </w:rPr>
        <w:t xml:space="preserve">China Medical Herald. </w:t>
      </w:r>
      <w:r>
        <w:t>2021;18:93-97.</w:t>
      </w:r>
    </w:p>
    <w:p w14:paraId="27DD4D39">
      <w:pPr>
        <w:pStyle w:val="31"/>
        <w:ind w:left="720" w:hanging="720"/>
      </w:pPr>
      <w:r>
        <w:t>29.</w:t>
      </w:r>
      <w:r>
        <w:tab/>
      </w:r>
      <w:r>
        <w:t xml:space="preserve">Arias AR. La menopausia precozysu tratamento hormonal. </w:t>
      </w:r>
      <w:r>
        <w:rPr>
          <w:i/>
        </w:rPr>
        <w:t xml:space="preserve">Rev med chile. </w:t>
      </w:r>
      <w:r>
        <w:t>1950;78:373.</w:t>
      </w:r>
    </w:p>
    <w:p w14:paraId="4C33B588">
      <w:pPr>
        <w:pStyle w:val="31"/>
        <w:ind w:left="720" w:hanging="720"/>
      </w:pPr>
      <w:r>
        <w:t>30.</w:t>
      </w:r>
      <w:r>
        <w:tab/>
      </w:r>
      <w:r>
        <w:t xml:space="preserve">Vegetti W MA, Manfredini E, et al. Premature ovarian failure. </w:t>
      </w:r>
      <w:r>
        <w:rPr>
          <w:i/>
        </w:rPr>
        <w:t xml:space="preserve">Molecular and cellular endocrinology. </w:t>
      </w:r>
      <w:r>
        <w:t>2000;161(1):53-57.</w:t>
      </w:r>
    </w:p>
    <w:p w14:paraId="737D9387">
      <w:pPr>
        <w:pStyle w:val="31"/>
        <w:ind w:left="720" w:hanging="720"/>
      </w:pPr>
      <w:r>
        <w:t>31.</w:t>
      </w:r>
      <w:r>
        <w:tab/>
      </w:r>
      <w:r>
        <w:t xml:space="preserve">C A Silva LYSY, N E Aikawa, D B Araujo, J F Carvalho, E Bonfá. Autoimmune primary ovarian insufficiency. </w:t>
      </w:r>
      <w:r>
        <w:rPr>
          <w:i/>
        </w:rPr>
        <w:t xml:space="preserve">Autoimmunity reviews. </w:t>
      </w:r>
      <w:r>
        <w:t>2014;13(4-5):427-430.</w:t>
      </w:r>
    </w:p>
    <w:p w14:paraId="770FB503">
      <w:pPr>
        <w:pStyle w:val="31"/>
        <w:ind w:left="720" w:hanging="720"/>
      </w:pPr>
      <w:r>
        <w:t>32.</w:t>
      </w:r>
      <w:r>
        <w:tab/>
      </w:r>
      <w:r>
        <w:t xml:space="preserve">Komorowska B. Autoimmune premature ovarian failure. </w:t>
      </w:r>
      <w:r>
        <w:rPr>
          <w:i/>
        </w:rPr>
        <w:t xml:space="preserve">Przeglad menopauzaly Menopause review. </w:t>
      </w:r>
      <w:r>
        <w:t>2016;15(4):210-214.</w:t>
      </w:r>
    </w:p>
    <w:p w14:paraId="79124A6D">
      <w:pPr>
        <w:pStyle w:val="31"/>
        <w:ind w:left="720" w:hanging="720"/>
      </w:pPr>
      <w:r>
        <w:t>33.</w:t>
      </w:r>
      <w:r>
        <w:tab/>
      </w:r>
      <w:r>
        <w:t xml:space="preserve">Renata Košir Pogačnik HMV, Alenka Vizjak, Alenka Uršula Levičnik, Nina Slabe, Alojz Ihan. Possible role of autoimmunity in patients with premature ovarian insufficiency. </w:t>
      </w:r>
      <w:r>
        <w:rPr>
          <w:i/>
        </w:rPr>
        <w:t xml:space="preserve">International Journal of Fertility &amp; Sterility. </w:t>
      </w:r>
      <w:r>
        <w:t>2014;7(4):281-290.</w:t>
      </w:r>
    </w:p>
    <w:p w14:paraId="15A342E5">
      <w:pPr>
        <w:pStyle w:val="31"/>
        <w:ind w:left="720" w:hanging="720"/>
      </w:pPr>
      <w:r>
        <w:t>34.</w:t>
      </w:r>
      <w:r>
        <w:tab/>
      </w:r>
      <w:r>
        <w:t xml:space="preserve">N J Wheatcroft ea. Is subclinical ovarian failure an autoimmune disease? </w:t>
      </w:r>
      <w:r>
        <w:rPr>
          <w:i/>
        </w:rPr>
        <w:t xml:space="preserve">Human reproduction (Oxford, England). </w:t>
      </w:r>
      <w:r>
        <w:t>1997;12(2).</w:t>
      </w:r>
    </w:p>
    <w:p w14:paraId="33CECCE8">
      <w:pPr>
        <w:pStyle w:val="31"/>
        <w:ind w:left="720" w:hanging="720"/>
      </w:pPr>
      <w:r>
        <w:t>35.</w:t>
      </w:r>
      <w:r>
        <w:tab/>
      </w:r>
      <w:r>
        <w:t xml:space="preserve">HongLin L ZD. The significance of anti nuclear antibodies and anti double stranded DNA detection in the diagnosis of systemic lupus erythematosus. </w:t>
      </w:r>
      <w:r>
        <w:rPr>
          <w:i/>
        </w:rPr>
        <w:t xml:space="preserve">China Medical Herald. </w:t>
      </w:r>
      <w:r>
        <w:t>2008;5(1):163.</w:t>
      </w:r>
    </w:p>
    <w:p w14:paraId="6B71ECFD">
      <w:pPr>
        <w:pStyle w:val="31"/>
        <w:ind w:left="720" w:hanging="720"/>
      </w:pPr>
      <w:r>
        <w:t>36.</w:t>
      </w:r>
      <w:r>
        <w:tab/>
      </w:r>
      <w:r>
        <w:t xml:space="preserve">Kunicki M KJ, Skórska J, et al. Does the Value of FSH Predict Severity of Metabolic Complications in Females with POI? </w:t>
      </w:r>
      <w:r>
        <w:rPr>
          <w:i/>
        </w:rPr>
        <w:t xml:space="preserve">Journal of clinical medicine. </w:t>
      </w:r>
      <w:r>
        <w:t>2022;11(7).</w:t>
      </w:r>
    </w:p>
    <w:p w14:paraId="17819248">
      <w:pPr>
        <w:pStyle w:val="31"/>
        <w:ind w:left="720" w:hanging="720"/>
      </w:pPr>
      <w:r>
        <w:t>37.</w:t>
      </w:r>
      <w:r>
        <w:tab/>
      </w:r>
      <w:r>
        <w:t xml:space="preserve">Ferraretti A P LMA, Fauser B C, et al. ESHRE consensus on the definition of 'poor response'to ovarian stimulation for in vitro fertilization: the Bologna criteria. </w:t>
      </w:r>
      <w:r>
        <w:rPr>
          <w:i/>
        </w:rPr>
        <w:t xml:space="preserve">Hum Reprod. </w:t>
      </w:r>
      <w:r>
        <w:t>2011;26(7):1616-1624.</w:t>
      </w:r>
    </w:p>
    <w:p w14:paraId="231EC220">
      <w:pPr>
        <w:pStyle w:val="31"/>
        <w:ind w:left="720" w:hanging="720"/>
      </w:pPr>
      <w:r>
        <w:t>38.</w:t>
      </w:r>
      <w:r>
        <w:tab/>
      </w:r>
      <w:r>
        <w:t xml:space="preserve">Satoh M CEK, Ho L A, Rose, K. M, et al. Prevalence and sociodemographic correlates of antinuclear antibodies in the United States. </w:t>
      </w:r>
      <w:r>
        <w:rPr>
          <w:i/>
        </w:rPr>
        <w:t xml:space="preserve">Arthritis Rheum. </w:t>
      </w:r>
      <w:r>
        <w:t>2012;64(7):2319-2327.</w:t>
      </w:r>
    </w:p>
    <w:p w14:paraId="7AAC00A0">
      <w:pPr>
        <w:pStyle w:val="31"/>
        <w:ind w:left="720" w:hanging="720"/>
      </w:pPr>
      <w:r>
        <w:t>39.</w:t>
      </w:r>
      <w:r>
        <w:tab/>
      </w:r>
      <w:r>
        <w:t xml:space="preserve">Xing E BAC, Gudjonsson J E. Sex Bias and Autoimmune Diseases. </w:t>
      </w:r>
      <w:r>
        <w:rPr>
          <w:i/>
        </w:rPr>
        <w:t xml:space="preserve">J Invest Dermatol. </w:t>
      </w:r>
      <w:r>
        <w:t>2022;142(3):857-866.</w:t>
      </w:r>
    </w:p>
    <w:p w14:paraId="4259D2B5">
      <w:pPr>
        <w:pStyle w:val="31"/>
        <w:ind w:left="720" w:hanging="720"/>
      </w:pPr>
      <w:r>
        <w:t>40.</w:t>
      </w:r>
      <w:r>
        <w:tab/>
      </w:r>
      <w:r>
        <w:t xml:space="preserve">Wen Xiang-hui DK-i, et al. Analysis of antinuclear antibody titer and karyotype characteristics in Guangdong population. </w:t>
      </w:r>
      <w:r>
        <w:rPr>
          <w:i/>
        </w:rPr>
        <w:t xml:space="preserve">Guangdong Medical Journal. </w:t>
      </w:r>
      <w:r>
        <w:t>2024;45(1):1-5.</w:t>
      </w:r>
    </w:p>
    <w:p w14:paraId="6DA2BC73">
      <w:pPr>
        <w:pStyle w:val="31"/>
        <w:ind w:left="720" w:hanging="720"/>
      </w:pPr>
      <w:r>
        <w:t>41.</w:t>
      </w:r>
      <w:r>
        <w:tab/>
      </w:r>
      <w:r>
        <w:t xml:space="preserve">Bonroy C VM, Fierz W, et al. Detection of antinuclear antibodies: recommendations from EFLM, EASI and ICAP. </w:t>
      </w:r>
      <w:r>
        <w:rPr>
          <w:i/>
        </w:rPr>
        <w:t xml:space="preserve">Clin Chem Lab Med. </w:t>
      </w:r>
      <w:r>
        <w:t>2023;61(7):1167-1198.</w:t>
      </w:r>
    </w:p>
    <w:p w14:paraId="6E288972">
      <w:pPr>
        <w:pStyle w:val="31"/>
        <w:ind w:left="720" w:hanging="720"/>
      </w:pPr>
      <w:r>
        <w:t>42.</w:t>
      </w:r>
      <w:r>
        <w:tab/>
      </w:r>
      <w:r>
        <w:t xml:space="preserve">Ricchiuti V AJ, et al. Automated Processing and Evaluation of Anti-Nuclear Antibody Indirect Immunofluorescence Testing. </w:t>
      </w:r>
      <w:r>
        <w:rPr>
          <w:i/>
        </w:rPr>
        <w:t xml:space="preserve">Front Immunol. </w:t>
      </w:r>
      <w:r>
        <w:t>2018;9:927.</w:t>
      </w:r>
    </w:p>
    <w:p w14:paraId="24AA6B48">
      <w:pPr>
        <w:pStyle w:val="31"/>
        <w:ind w:left="720" w:hanging="720"/>
      </w:pPr>
      <w:r>
        <w:t>43.</w:t>
      </w:r>
      <w:r>
        <w:tab/>
      </w:r>
      <w:r>
        <w:t xml:space="preserve">Zhang M ZX. An indirect comparison of automated indirect immunofluorescence vs automated solid-phase immunoassays for antinuclear antibody detection: A meta-analysis and adjusted indirect comparison of diagnostic test accuracy. </w:t>
      </w:r>
      <w:r>
        <w:rPr>
          <w:i/>
        </w:rPr>
        <w:t xml:space="preserve">Int J Rheum Dis. </w:t>
      </w:r>
      <w:r>
        <w:t>2022;25(9):991-1002.</w:t>
      </w:r>
    </w:p>
    <w:p w14:paraId="0F632A1E">
      <w:pPr>
        <w:pStyle w:val="31"/>
        <w:ind w:left="720" w:hanging="720"/>
      </w:pPr>
      <w:r>
        <w:t>44.</w:t>
      </w:r>
      <w:r>
        <w:tab/>
      </w:r>
      <w:r>
        <w:t xml:space="preserve">Alsaed O S ALI, Al-Radideh, et al. Clinical utility of ANA-ELISA vs ANA-immunofluorescence in connective tissue diseases. </w:t>
      </w:r>
      <w:r>
        <w:rPr>
          <w:i/>
        </w:rPr>
        <w:t xml:space="preserve">Sci Rep. </w:t>
      </w:r>
      <w:r>
        <w:t>2021;11(1):8229.</w:t>
      </w:r>
    </w:p>
    <w:p w14:paraId="0BA3BF60">
      <w:pPr>
        <w:pStyle w:val="31"/>
        <w:ind w:left="720" w:hanging="720"/>
      </w:pPr>
      <w:r>
        <w:t>45.</w:t>
      </w:r>
      <w:r>
        <w:tab/>
      </w:r>
      <w:r>
        <w:t xml:space="preserve">Robier C A-GO, et al. Comparison of the clinical utility of the Elia CTD Screen to indirect immunofluorescence on Hep-2 cells. </w:t>
      </w:r>
      <w:r>
        <w:rPr>
          <w:i/>
        </w:rPr>
        <w:t xml:space="preserve">Clin Chem Lab Med. </w:t>
      </w:r>
      <w:r>
        <w:t>2016;54(8):1365-1370.</w:t>
      </w:r>
    </w:p>
    <w:p w14:paraId="46C29109">
      <w:pPr>
        <w:pStyle w:val="31"/>
        <w:ind w:left="720" w:hanging="720"/>
      </w:pPr>
      <w:r>
        <w:t>46.</w:t>
      </w:r>
      <w:r>
        <w:tab/>
      </w:r>
      <w:r>
        <w:t xml:space="preserve">Orme M E AC, Sjolander S, Bossuyt X. A comparison of a fluorescence enzyme immunoassay versus indirect immunofluorescence for initial screening of connective tissue diseases: Systematic literature review and meta-analysis of diagnostic test accuracy studies. </w:t>
      </w:r>
      <w:r>
        <w:rPr>
          <w:i/>
        </w:rPr>
        <w:t xml:space="preserve">Best Pract Res Clin Rheumatol. </w:t>
      </w:r>
      <w:r>
        <w:t>2018;32(4):521-534.</w:t>
      </w:r>
    </w:p>
    <w:p w14:paraId="29921A85">
      <w:pPr>
        <w:pStyle w:val="31"/>
        <w:ind w:left="720" w:hanging="720"/>
      </w:pPr>
      <w:r>
        <w:t>47.</w:t>
      </w:r>
      <w:r>
        <w:tab/>
      </w:r>
      <w:r>
        <w:t xml:space="preserve">Bahreiny SS, Ahangarpour A, Harooni E, et al. Closer look at circulating nitric oxide levels and their association with polycystic ovary syndrome: A meta-analytical exploration. </w:t>
      </w:r>
      <w:r>
        <w:rPr>
          <w:i/>
        </w:rPr>
        <w:t xml:space="preserve">International journal of reproductive biomedicine. </w:t>
      </w:r>
      <w:r>
        <w:t>2024;22(12):943-962.</w:t>
      </w:r>
    </w:p>
    <w:p w14:paraId="1F26FAC9">
      <w:pPr>
        <w:pStyle w:val="31"/>
        <w:ind w:left="720" w:hanging="720"/>
      </w:pPr>
      <w:r>
        <w:t>48.</w:t>
      </w:r>
      <w:r>
        <w:tab/>
      </w:r>
      <w:r>
        <w:t xml:space="preserve">Bahreiny SS, Ahangarpour A, Aghaei M, et al. A closer look at Galectin-3: its association with gestational diabetes mellitus revealed by systematic review and meta-analysis. </w:t>
      </w:r>
      <w:r>
        <w:rPr>
          <w:i/>
        </w:rPr>
        <w:t xml:space="preserve">Journal of diabetes and metabolic disorders. </w:t>
      </w:r>
      <w:r>
        <w:t>2024;23(2):1621-1633.</w:t>
      </w:r>
    </w:p>
    <w:p w14:paraId="140F890C">
      <w:pPr>
        <w:pStyle w:val="31"/>
        <w:ind w:left="720" w:hanging="720"/>
      </w:pPr>
      <w:r>
        <w:t>49.</w:t>
      </w:r>
      <w:r>
        <w:tab/>
      </w:r>
      <w:r>
        <w:t xml:space="preserve">Mohammadpour Fard R, Rashno M, Bahreiny SS. Effects of melatonin supplementation on markers of inflammation and oxidative stress in patients with diabetes: A systematic review and meta-analysis of randomized controlled trials. </w:t>
      </w:r>
      <w:r>
        <w:rPr>
          <w:i/>
        </w:rPr>
        <w:t xml:space="preserve">Clinical nutrition ESPEN. </w:t>
      </w:r>
      <w:r>
        <w:t>2024;63:530-539.</w:t>
      </w:r>
    </w:p>
    <w:p w14:paraId="6A1A965B">
      <w:pPr>
        <w:spacing w:line="360" w:lineRule="auto"/>
        <w:ind w:left="283" w:hanging="283" w:hangingChars="118"/>
        <w:rPr>
          <w:rFonts w:cs="Times New Roman"/>
        </w:rPr>
      </w:pPr>
      <w:r>
        <w:rPr>
          <w:rFonts w:cs="Times New Roman"/>
        </w:rPr>
        <w:fldChar w:fldCharType="end"/>
      </w:r>
    </w:p>
    <w:sectPr>
      <w:endnotePr>
        <w:numFmt w:val="decimal"/>
      </w:endnote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rp5s99yp299ce5drup5tsypdf2erzf00s9&quot;&gt;返修-POI&lt;record-ids&gt;&lt;item&gt;1&lt;/item&gt;&lt;item&gt;2&lt;/item&gt;&lt;item&gt;3&lt;/item&gt;&lt;item&gt;4&lt;/item&gt;&lt;/record-ids&gt;&lt;/item&gt;&lt;/Libraries&gt;"/>
  </w:docVars>
  <w:rsids>
    <w:rsidRoot w:val="00F42B67"/>
    <w:rsid w:val="00005033"/>
    <w:rsid w:val="000206A1"/>
    <w:rsid w:val="00027C53"/>
    <w:rsid w:val="00051B5E"/>
    <w:rsid w:val="000534BC"/>
    <w:rsid w:val="000545F2"/>
    <w:rsid w:val="00054995"/>
    <w:rsid w:val="00065369"/>
    <w:rsid w:val="00073CC8"/>
    <w:rsid w:val="000845EF"/>
    <w:rsid w:val="000862DE"/>
    <w:rsid w:val="000951D3"/>
    <w:rsid w:val="000A1740"/>
    <w:rsid w:val="000B4B15"/>
    <w:rsid w:val="000C0C60"/>
    <w:rsid w:val="000D1EF7"/>
    <w:rsid w:val="000D670F"/>
    <w:rsid w:val="000D691F"/>
    <w:rsid w:val="000D7CE3"/>
    <w:rsid w:val="000F1352"/>
    <w:rsid w:val="0010681D"/>
    <w:rsid w:val="00114245"/>
    <w:rsid w:val="00125315"/>
    <w:rsid w:val="001262B7"/>
    <w:rsid w:val="001349D7"/>
    <w:rsid w:val="001550B0"/>
    <w:rsid w:val="00156727"/>
    <w:rsid w:val="00157B07"/>
    <w:rsid w:val="001950D2"/>
    <w:rsid w:val="001B16A7"/>
    <w:rsid w:val="001C308A"/>
    <w:rsid w:val="001C79BA"/>
    <w:rsid w:val="001D66FE"/>
    <w:rsid w:val="001F2912"/>
    <w:rsid w:val="001F59D5"/>
    <w:rsid w:val="00212F65"/>
    <w:rsid w:val="002171EE"/>
    <w:rsid w:val="00234BD6"/>
    <w:rsid w:val="00240A63"/>
    <w:rsid w:val="00240F55"/>
    <w:rsid w:val="0024196B"/>
    <w:rsid w:val="00242798"/>
    <w:rsid w:val="00251D8B"/>
    <w:rsid w:val="00265BD4"/>
    <w:rsid w:val="002750D5"/>
    <w:rsid w:val="00276C76"/>
    <w:rsid w:val="00280C7D"/>
    <w:rsid w:val="00297945"/>
    <w:rsid w:val="002C07A2"/>
    <w:rsid w:val="002C0B27"/>
    <w:rsid w:val="002C7F12"/>
    <w:rsid w:val="002D2AA9"/>
    <w:rsid w:val="002D5F7E"/>
    <w:rsid w:val="002D7301"/>
    <w:rsid w:val="002E36ED"/>
    <w:rsid w:val="00303BEC"/>
    <w:rsid w:val="00312844"/>
    <w:rsid w:val="003139E0"/>
    <w:rsid w:val="00315E14"/>
    <w:rsid w:val="003335C5"/>
    <w:rsid w:val="00334733"/>
    <w:rsid w:val="00335465"/>
    <w:rsid w:val="003469A2"/>
    <w:rsid w:val="00362530"/>
    <w:rsid w:val="00363E8F"/>
    <w:rsid w:val="003918A4"/>
    <w:rsid w:val="003A0BF4"/>
    <w:rsid w:val="003A3005"/>
    <w:rsid w:val="003A7AC9"/>
    <w:rsid w:val="003C55AA"/>
    <w:rsid w:val="003C5E30"/>
    <w:rsid w:val="003F1B6F"/>
    <w:rsid w:val="003F6688"/>
    <w:rsid w:val="0040170A"/>
    <w:rsid w:val="00420FCB"/>
    <w:rsid w:val="00434A02"/>
    <w:rsid w:val="00446954"/>
    <w:rsid w:val="00451EF2"/>
    <w:rsid w:val="0047309B"/>
    <w:rsid w:val="00482C60"/>
    <w:rsid w:val="004926C0"/>
    <w:rsid w:val="004949BD"/>
    <w:rsid w:val="004A076C"/>
    <w:rsid w:val="004A28EB"/>
    <w:rsid w:val="004B134A"/>
    <w:rsid w:val="004B5F33"/>
    <w:rsid w:val="004C5E22"/>
    <w:rsid w:val="004E0159"/>
    <w:rsid w:val="004E1532"/>
    <w:rsid w:val="004E320E"/>
    <w:rsid w:val="004E732B"/>
    <w:rsid w:val="00501CDF"/>
    <w:rsid w:val="00505934"/>
    <w:rsid w:val="005369A3"/>
    <w:rsid w:val="005470E4"/>
    <w:rsid w:val="00547B5D"/>
    <w:rsid w:val="00553EB8"/>
    <w:rsid w:val="00555D7B"/>
    <w:rsid w:val="0056206A"/>
    <w:rsid w:val="00572AFF"/>
    <w:rsid w:val="00573441"/>
    <w:rsid w:val="00574712"/>
    <w:rsid w:val="00580AD2"/>
    <w:rsid w:val="00586568"/>
    <w:rsid w:val="00597795"/>
    <w:rsid w:val="005A1A4E"/>
    <w:rsid w:val="005A6F3F"/>
    <w:rsid w:val="005C73AC"/>
    <w:rsid w:val="005D766B"/>
    <w:rsid w:val="005D7746"/>
    <w:rsid w:val="005E36CE"/>
    <w:rsid w:val="00611B8E"/>
    <w:rsid w:val="006179C6"/>
    <w:rsid w:val="00622334"/>
    <w:rsid w:val="006234D2"/>
    <w:rsid w:val="0062419A"/>
    <w:rsid w:val="00631DBD"/>
    <w:rsid w:val="00634EA1"/>
    <w:rsid w:val="00637B82"/>
    <w:rsid w:val="0066034F"/>
    <w:rsid w:val="00665ECC"/>
    <w:rsid w:val="006832BF"/>
    <w:rsid w:val="006A3653"/>
    <w:rsid w:val="006A43E3"/>
    <w:rsid w:val="006B0381"/>
    <w:rsid w:val="006C1B33"/>
    <w:rsid w:val="006C6112"/>
    <w:rsid w:val="006D0F91"/>
    <w:rsid w:val="006D1934"/>
    <w:rsid w:val="006E1897"/>
    <w:rsid w:val="006F67AA"/>
    <w:rsid w:val="00705BFB"/>
    <w:rsid w:val="007129E8"/>
    <w:rsid w:val="007372CF"/>
    <w:rsid w:val="00740B8F"/>
    <w:rsid w:val="007541F7"/>
    <w:rsid w:val="00756688"/>
    <w:rsid w:val="00756E72"/>
    <w:rsid w:val="0076752D"/>
    <w:rsid w:val="00770829"/>
    <w:rsid w:val="007816F8"/>
    <w:rsid w:val="007874BD"/>
    <w:rsid w:val="00791B3F"/>
    <w:rsid w:val="007953B0"/>
    <w:rsid w:val="007B1C99"/>
    <w:rsid w:val="007C192E"/>
    <w:rsid w:val="007D4305"/>
    <w:rsid w:val="007E11AC"/>
    <w:rsid w:val="007F2579"/>
    <w:rsid w:val="007F767E"/>
    <w:rsid w:val="007F7E03"/>
    <w:rsid w:val="008252B2"/>
    <w:rsid w:val="00830AE1"/>
    <w:rsid w:val="00830D88"/>
    <w:rsid w:val="00832177"/>
    <w:rsid w:val="00851E05"/>
    <w:rsid w:val="00856ACD"/>
    <w:rsid w:val="00867156"/>
    <w:rsid w:val="0087174C"/>
    <w:rsid w:val="00874C33"/>
    <w:rsid w:val="008756E8"/>
    <w:rsid w:val="00883F48"/>
    <w:rsid w:val="00884977"/>
    <w:rsid w:val="008A6FAA"/>
    <w:rsid w:val="008C2F76"/>
    <w:rsid w:val="008E6F40"/>
    <w:rsid w:val="008F4D96"/>
    <w:rsid w:val="00932D33"/>
    <w:rsid w:val="009372C0"/>
    <w:rsid w:val="00937926"/>
    <w:rsid w:val="00942563"/>
    <w:rsid w:val="009425B3"/>
    <w:rsid w:val="009466CC"/>
    <w:rsid w:val="00952647"/>
    <w:rsid w:val="00962A3F"/>
    <w:rsid w:val="00975D90"/>
    <w:rsid w:val="009908F1"/>
    <w:rsid w:val="009A2DD9"/>
    <w:rsid w:val="009A47D2"/>
    <w:rsid w:val="009B0D06"/>
    <w:rsid w:val="009B78BB"/>
    <w:rsid w:val="009C6AA6"/>
    <w:rsid w:val="009D1DD1"/>
    <w:rsid w:val="009D204F"/>
    <w:rsid w:val="009D6C85"/>
    <w:rsid w:val="009E19AD"/>
    <w:rsid w:val="009E79CF"/>
    <w:rsid w:val="00A00D69"/>
    <w:rsid w:val="00A14655"/>
    <w:rsid w:val="00A15CB3"/>
    <w:rsid w:val="00A23146"/>
    <w:rsid w:val="00A27D26"/>
    <w:rsid w:val="00A34A57"/>
    <w:rsid w:val="00A43BF8"/>
    <w:rsid w:val="00A43CAA"/>
    <w:rsid w:val="00A45DA9"/>
    <w:rsid w:val="00A5005B"/>
    <w:rsid w:val="00A636A4"/>
    <w:rsid w:val="00A66ED1"/>
    <w:rsid w:val="00A70B91"/>
    <w:rsid w:val="00A768FA"/>
    <w:rsid w:val="00A91302"/>
    <w:rsid w:val="00A91524"/>
    <w:rsid w:val="00AA6654"/>
    <w:rsid w:val="00AB0D8F"/>
    <w:rsid w:val="00AE115D"/>
    <w:rsid w:val="00AE39AF"/>
    <w:rsid w:val="00AE45C9"/>
    <w:rsid w:val="00B05AF1"/>
    <w:rsid w:val="00B157C1"/>
    <w:rsid w:val="00B27A27"/>
    <w:rsid w:val="00B34C29"/>
    <w:rsid w:val="00B37970"/>
    <w:rsid w:val="00B45883"/>
    <w:rsid w:val="00B47560"/>
    <w:rsid w:val="00B66488"/>
    <w:rsid w:val="00B70716"/>
    <w:rsid w:val="00B71846"/>
    <w:rsid w:val="00B76CC7"/>
    <w:rsid w:val="00B86C8D"/>
    <w:rsid w:val="00B87F7C"/>
    <w:rsid w:val="00B97671"/>
    <w:rsid w:val="00BA4DEB"/>
    <w:rsid w:val="00BA6B16"/>
    <w:rsid w:val="00BB49CF"/>
    <w:rsid w:val="00BC7491"/>
    <w:rsid w:val="00BD7463"/>
    <w:rsid w:val="00BE1D80"/>
    <w:rsid w:val="00BF345B"/>
    <w:rsid w:val="00C16EAC"/>
    <w:rsid w:val="00C27931"/>
    <w:rsid w:val="00C35667"/>
    <w:rsid w:val="00C53DDA"/>
    <w:rsid w:val="00C77844"/>
    <w:rsid w:val="00C81BF9"/>
    <w:rsid w:val="00C910A4"/>
    <w:rsid w:val="00C93200"/>
    <w:rsid w:val="00C97D66"/>
    <w:rsid w:val="00CA013F"/>
    <w:rsid w:val="00CA1F58"/>
    <w:rsid w:val="00CC77FE"/>
    <w:rsid w:val="00CF17C7"/>
    <w:rsid w:val="00CF6213"/>
    <w:rsid w:val="00D106ED"/>
    <w:rsid w:val="00D140CD"/>
    <w:rsid w:val="00D153FE"/>
    <w:rsid w:val="00D17905"/>
    <w:rsid w:val="00D429CE"/>
    <w:rsid w:val="00D629EE"/>
    <w:rsid w:val="00D67D64"/>
    <w:rsid w:val="00D73E37"/>
    <w:rsid w:val="00D8194F"/>
    <w:rsid w:val="00D922FD"/>
    <w:rsid w:val="00D93CA9"/>
    <w:rsid w:val="00DA1992"/>
    <w:rsid w:val="00DB33D3"/>
    <w:rsid w:val="00DB3A3B"/>
    <w:rsid w:val="00DC1E45"/>
    <w:rsid w:val="00DC6B20"/>
    <w:rsid w:val="00DC7595"/>
    <w:rsid w:val="00DC7F12"/>
    <w:rsid w:val="00DD159A"/>
    <w:rsid w:val="00DD75AB"/>
    <w:rsid w:val="00DE19C8"/>
    <w:rsid w:val="00DE7B26"/>
    <w:rsid w:val="00DE7C64"/>
    <w:rsid w:val="00DF3EB1"/>
    <w:rsid w:val="00DF3FC5"/>
    <w:rsid w:val="00DF5709"/>
    <w:rsid w:val="00DF78CD"/>
    <w:rsid w:val="00E02B9D"/>
    <w:rsid w:val="00E3091E"/>
    <w:rsid w:val="00E3202F"/>
    <w:rsid w:val="00E373D5"/>
    <w:rsid w:val="00E41FB3"/>
    <w:rsid w:val="00E47E65"/>
    <w:rsid w:val="00E56E3A"/>
    <w:rsid w:val="00E8283D"/>
    <w:rsid w:val="00EA13F6"/>
    <w:rsid w:val="00EB6A23"/>
    <w:rsid w:val="00EC3037"/>
    <w:rsid w:val="00EC784A"/>
    <w:rsid w:val="00ED1B81"/>
    <w:rsid w:val="00ED2EE5"/>
    <w:rsid w:val="00F01BB7"/>
    <w:rsid w:val="00F13242"/>
    <w:rsid w:val="00F21114"/>
    <w:rsid w:val="00F23691"/>
    <w:rsid w:val="00F23978"/>
    <w:rsid w:val="00F305D1"/>
    <w:rsid w:val="00F3747F"/>
    <w:rsid w:val="00F42B67"/>
    <w:rsid w:val="00F4745D"/>
    <w:rsid w:val="00F50C87"/>
    <w:rsid w:val="00F575CC"/>
    <w:rsid w:val="00F6156C"/>
    <w:rsid w:val="00F648B9"/>
    <w:rsid w:val="00F71601"/>
    <w:rsid w:val="00FA4588"/>
    <w:rsid w:val="00FC7FC6"/>
    <w:rsid w:val="00FD6833"/>
    <w:rsid w:val="00FE104B"/>
    <w:rsid w:val="00FE1A3C"/>
    <w:rsid w:val="00FE2170"/>
    <w:rsid w:val="00FF3FC1"/>
    <w:rsid w:val="00FF71E9"/>
    <w:rsid w:val="00FF77E5"/>
    <w:rsid w:val="1E432C32"/>
    <w:rsid w:val="30EA7C71"/>
    <w:rsid w:val="5BC31DE2"/>
    <w:rsid w:val="5D824C1D"/>
    <w:rsid w:val="63BC1295"/>
    <w:rsid w:val="6A0D5F61"/>
    <w:rsid w:val="6FBD32C9"/>
    <w:rsid w:val="7E312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2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autoRedefine/>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2"/>
    <w:autoRedefine/>
    <w:unhideWhenUsed/>
    <w:qFormat/>
    <w:uiPriority w:val="99"/>
    <w:pPr>
      <w:jc w:val="left"/>
    </w:pPr>
  </w:style>
  <w:style w:type="paragraph" w:styleId="6">
    <w:name w:val="endnote text"/>
    <w:basedOn w:val="1"/>
    <w:autoRedefine/>
    <w:unhideWhenUsed/>
    <w:qFormat/>
    <w:uiPriority w:val="99"/>
    <w:pPr>
      <w:snapToGrid w:val="0"/>
      <w:jc w:val="left"/>
    </w:pPr>
    <w:rPr>
      <w:vertAlign w:val="superscript"/>
    </w:rPr>
  </w:style>
  <w:style w:type="paragraph" w:styleId="7">
    <w:name w:val="Balloon Text"/>
    <w:basedOn w:val="1"/>
    <w:link w:val="23"/>
    <w:autoRedefine/>
    <w:semiHidden/>
    <w:unhideWhenUsed/>
    <w:qFormat/>
    <w:uiPriority w:val="99"/>
    <w:rPr>
      <w:rFonts w:ascii="Tahoma" w:hAnsi="Tahoma" w:cs="Tahoma"/>
      <w:sz w:val="16"/>
      <w:szCs w:val="16"/>
    </w:rPr>
  </w:style>
  <w:style w:type="paragraph" w:styleId="8">
    <w:name w:val="footer"/>
    <w:basedOn w:val="1"/>
    <w:link w:val="24"/>
    <w:autoRedefine/>
    <w:unhideWhenUsed/>
    <w:qFormat/>
    <w:uiPriority w:val="99"/>
    <w:pPr>
      <w:tabs>
        <w:tab w:val="center" w:pos="4153"/>
        <w:tab w:val="right" w:pos="8306"/>
      </w:tabs>
      <w:snapToGrid w:val="0"/>
      <w:jc w:val="left"/>
    </w:pPr>
    <w:rPr>
      <w:sz w:val="18"/>
      <w:szCs w:val="18"/>
    </w:rPr>
  </w:style>
  <w:style w:type="paragraph" w:styleId="9">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autoRedefine/>
    <w:semiHidden/>
    <w:unhideWhenUsed/>
    <w:qFormat/>
    <w:uiPriority w:val="99"/>
    <w:pPr>
      <w:snapToGrid w:val="0"/>
      <w:jc w:val="left"/>
    </w:pPr>
    <w:rPr>
      <w:sz w:val="18"/>
      <w:szCs w:val="18"/>
    </w:rPr>
  </w:style>
  <w:style w:type="paragraph" w:styleId="11">
    <w:name w:val="annotation subject"/>
    <w:basedOn w:val="5"/>
    <w:next w:val="5"/>
    <w:link w:val="26"/>
    <w:semiHidden/>
    <w:unhideWhenUsed/>
    <w:qFormat/>
    <w:uiPriority w:val="99"/>
    <w:rPr>
      <w:b/>
      <w:bCs/>
    </w:rPr>
  </w:style>
  <w:style w:type="character" w:styleId="14">
    <w:name w:val="Strong"/>
    <w:basedOn w:val="13"/>
    <w:qFormat/>
    <w:uiPriority w:val="22"/>
    <w:rPr>
      <w:b/>
    </w:rPr>
  </w:style>
  <w:style w:type="character" w:styleId="15">
    <w:name w:val="endnote reference"/>
    <w:basedOn w:val="13"/>
    <w:semiHidden/>
    <w:unhideWhenUsed/>
    <w:qFormat/>
    <w:uiPriority w:val="99"/>
    <w:rPr>
      <w:vertAlign w:val="superscript"/>
    </w:rPr>
  </w:style>
  <w:style w:type="character" w:styleId="16">
    <w:name w:val="line number"/>
    <w:basedOn w:val="13"/>
    <w:autoRedefine/>
    <w:semiHidden/>
    <w:unhideWhenUsed/>
    <w:qFormat/>
    <w:uiPriority w:val="99"/>
  </w:style>
  <w:style w:type="character" w:styleId="17">
    <w:name w:val="Hyperlink"/>
    <w:basedOn w:val="13"/>
    <w:autoRedefine/>
    <w:unhideWhenUsed/>
    <w:qFormat/>
    <w:uiPriority w:val="99"/>
    <w:rPr>
      <w:color w:val="0000FF"/>
      <w:u w:val="single"/>
    </w:rPr>
  </w:style>
  <w:style w:type="character" w:styleId="18">
    <w:name w:val="annotation reference"/>
    <w:basedOn w:val="13"/>
    <w:autoRedefine/>
    <w:semiHidden/>
    <w:unhideWhenUsed/>
    <w:qFormat/>
    <w:uiPriority w:val="99"/>
    <w:rPr>
      <w:sz w:val="21"/>
      <w:szCs w:val="21"/>
    </w:rPr>
  </w:style>
  <w:style w:type="table" w:customStyle="1" w:styleId="19">
    <w:name w:val="三线表"/>
    <w:basedOn w:val="12"/>
    <w:autoRedefine/>
    <w:qFormat/>
    <w:uiPriority w:val="99"/>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table" w:customStyle="1" w:styleId="20">
    <w:name w:val="样式1"/>
    <w:basedOn w:val="12"/>
    <w:qFormat/>
    <w:uiPriority w:val="99"/>
  </w:style>
  <w:style w:type="character" w:customStyle="1" w:styleId="21">
    <w:name w:val="标题 1 字符"/>
    <w:basedOn w:val="13"/>
    <w:link w:val="2"/>
    <w:autoRedefine/>
    <w:qFormat/>
    <w:uiPriority w:val="9"/>
    <w:rPr>
      <w:b/>
      <w:bCs/>
      <w:kern w:val="44"/>
      <w:sz w:val="44"/>
      <w:szCs w:val="44"/>
    </w:rPr>
  </w:style>
  <w:style w:type="character" w:customStyle="1" w:styleId="22">
    <w:name w:val="批注文字 字符"/>
    <w:basedOn w:val="13"/>
    <w:link w:val="5"/>
    <w:qFormat/>
    <w:uiPriority w:val="99"/>
  </w:style>
  <w:style w:type="character" w:customStyle="1" w:styleId="23">
    <w:name w:val="批注框文本 字符"/>
    <w:basedOn w:val="13"/>
    <w:link w:val="7"/>
    <w:semiHidden/>
    <w:qFormat/>
    <w:uiPriority w:val="99"/>
    <w:rPr>
      <w:rFonts w:ascii="Tahoma" w:hAnsi="Tahoma" w:cs="Tahoma"/>
      <w:sz w:val="16"/>
      <w:szCs w:val="16"/>
    </w:rPr>
  </w:style>
  <w:style w:type="character" w:customStyle="1" w:styleId="24">
    <w:name w:val="页脚 字符"/>
    <w:basedOn w:val="13"/>
    <w:link w:val="8"/>
    <w:autoRedefine/>
    <w:qFormat/>
    <w:uiPriority w:val="99"/>
    <w:rPr>
      <w:sz w:val="18"/>
      <w:szCs w:val="18"/>
    </w:rPr>
  </w:style>
  <w:style w:type="character" w:customStyle="1" w:styleId="25">
    <w:name w:val="页眉 字符"/>
    <w:basedOn w:val="13"/>
    <w:link w:val="9"/>
    <w:qFormat/>
    <w:uiPriority w:val="99"/>
    <w:rPr>
      <w:sz w:val="18"/>
      <w:szCs w:val="18"/>
    </w:rPr>
  </w:style>
  <w:style w:type="character" w:customStyle="1" w:styleId="26">
    <w:name w:val="批注主题 字符"/>
    <w:basedOn w:val="22"/>
    <w:link w:val="11"/>
    <w:autoRedefine/>
    <w:semiHidden/>
    <w:qFormat/>
    <w:uiPriority w:val="99"/>
    <w:rPr>
      <w:b/>
      <w:bCs/>
    </w:rPr>
  </w:style>
  <w:style w:type="paragraph" w:styleId="27">
    <w:name w:val="List Paragraph"/>
    <w:basedOn w:val="1"/>
    <w:qFormat/>
    <w:uiPriority w:val="34"/>
    <w:pPr>
      <w:ind w:firstLine="420" w:firstLineChars="200"/>
    </w:pPr>
  </w:style>
  <w:style w:type="paragraph" w:customStyle="1" w:styleId="2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9">
    <w:name w:val="EndNote Bibliography Title"/>
    <w:basedOn w:val="1"/>
    <w:link w:val="30"/>
    <w:autoRedefine/>
    <w:qFormat/>
    <w:uiPriority w:val="0"/>
    <w:pPr>
      <w:jc w:val="center"/>
    </w:pPr>
    <w:rPr>
      <w:rFonts w:eastAsia="等线" w:cs="Times New Roman"/>
    </w:rPr>
  </w:style>
  <w:style w:type="character" w:customStyle="1" w:styleId="30">
    <w:name w:val="EndNote Bibliography Title 字符"/>
    <w:basedOn w:val="13"/>
    <w:link w:val="29"/>
    <w:qFormat/>
    <w:uiPriority w:val="0"/>
    <w:rPr>
      <w:rFonts w:eastAsia="等线"/>
      <w:kern w:val="2"/>
      <w:sz w:val="24"/>
      <w:szCs w:val="22"/>
    </w:rPr>
  </w:style>
  <w:style w:type="paragraph" w:customStyle="1" w:styleId="31">
    <w:name w:val="EndNote Bibliography"/>
    <w:basedOn w:val="1"/>
    <w:link w:val="32"/>
    <w:qFormat/>
    <w:uiPriority w:val="0"/>
    <w:rPr>
      <w:rFonts w:eastAsia="等线" w:cs="Times New Roman"/>
    </w:rPr>
  </w:style>
  <w:style w:type="character" w:customStyle="1" w:styleId="32">
    <w:name w:val="EndNote Bibliography 字符"/>
    <w:basedOn w:val="13"/>
    <w:link w:val="31"/>
    <w:autoRedefine/>
    <w:qFormat/>
    <w:uiPriority w:val="0"/>
    <w:rPr>
      <w:rFonts w:eastAsia="等线"/>
      <w:kern w:val="2"/>
      <w:sz w:val="24"/>
      <w:szCs w:val="22"/>
    </w:rPr>
  </w:style>
  <w:style w:type="character" w:customStyle="1" w:styleId="33">
    <w:name w:val="未处理的提及1"/>
    <w:basedOn w:val="13"/>
    <w:autoRedefine/>
    <w:semiHidden/>
    <w:unhideWhenUsed/>
    <w:qFormat/>
    <w:uiPriority w:val="99"/>
    <w:rPr>
      <w:color w:val="605E5C"/>
      <w:shd w:val="clear" w:color="auto" w:fill="E1DFDD"/>
    </w:rPr>
  </w:style>
  <w:style w:type="character" w:customStyle="1" w:styleId="34">
    <w:name w:val="标题 3 字符"/>
    <w:basedOn w:val="13"/>
    <w:link w:val="4"/>
    <w:autoRedefine/>
    <w:semiHidden/>
    <w:qFormat/>
    <w:uiPriority w:val="9"/>
    <w:rPr>
      <w:rFonts w:eastAsiaTheme="minorEastAsia" w:cstheme="min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474AA-492D-4B14-A44C-DD3680BD29EB}">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6019</Words>
  <Characters>35842</Characters>
  <Lines>1052</Lines>
  <Paragraphs>259</Paragraphs>
  <TotalTime>1</TotalTime>
  <ScaleCrop>false</ScaleCrop>
  <LinksUpToDate>false</LinksUpToDate>
  <CharactersWithSpaces>41727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2025-04-14T15:37:00Z</dcterms:created>
  <dc:creator>965656166@qq.com</dc:creator>
  <cp:lastModifiedBy>PTJZ</cp:lastModifiedBy>
  <dcterms:modified xsi:type="dcterms:W3CDTF">2025-04-21T14:59:14Z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64FB6137887448A5AF9E3AE17E36F2FC_13</vt:lpwstr>
  </property>
  <property fmtid="{D5CDD505-2E9C-101B-9397-08002B2CF9AE}" pid="4" name="_DocHome">
    <vt:i4>1134398251</vt:i4>
  </property>
  <property fmtid="{D5CDD505-2E9C-101B-9397-08002B2CF9AE}" pid="5" name="KSOTemplateDocerSaveRecord">
    <vt:lpwstr>eyJoZGlkIjoiODViY2JkMjU3NGYzZTEwMzZmMGFkZWViYmNkYWU3NDIiLCJ1c2VySWQiOiI3MzU0NjExMTMifQ==</vt:lpwstr>
  </property>
</Properties>
</file>