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4A80A1">
      <w:pPr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Supplementary Table 2. Detailed histologic subtypes of 172 patients with epithelial ovarian cancer stratified by histological tumor-stroma ratio (TSR)</w:t>
      </w:r>
    </w:p>
    <w:tbl>
      <w:tblPr>
        <w:tblStyle w:val="2"/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67"/>
        <w:gridCol w:w="1301"/>
        <w:gridCol w:w="1912"/>
        <w:gridCol w:w="1845"/>
        <w:gridCol w:w="834"/>
        <w:gridCol w:w="737"/>
      </w:tblGrid>
      <w:tr w14:paraId="0510C7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9" w:hRule="atLeast"/>
          <w:tblHeader/>
          <w:tblCellSpacing w:w="15" w:type="dxa"/>
        </w:trPr>
        <w:tc>
          <w:tcPr>
            <w:tcW w:w="0" w:type="auto"/>
            <w:tcBorders>
              <w:top w:val="single" w:color="000000" w:sz="12" w:space="0"/>
              <w:bottom w:val="single" w:color="000000" w:sz="4" w:space="0"/>
              <w:tl2br w:val="nil"/>
            </w:tcBorders>
            <w:shd w:val="clear" w:color="auto" w:fill="auto"/>
            <w:vAlign w:val="center"/>
          </w:tcPr>
          <w:p w14:paraId="7DFC349A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Histologic subtype</w:t>
            </w:r>
          </w:p>
        </w:tc>
        <w:tc>
          <w:tcPr>
            <w:tcW w:w="0" w:type="auto"/>
            <w:tcBorders>
              <w:top w:val="single" w:color="000000" w:sz="12" w:space="0"/>
              <w:bottom w:val="single" w:color="000000" w:sz="4" w:space="0"/>
            </w:tcBorders>
            <w:shd w:val="clear" w:color="auto" w:fill="auto"/>
            <w:vAlign w:val="center"/>
          </w:tcPr>
          <w:p w14:paraId="2F9B5458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Total (n = 172)</w:t>
            </w:r>
          </w:p>
        </w:tc>
        <w:tc>
          <w:tcPr>
            <w:tcW w:w="0" w:type="auto"/>
            <w:tcBorders>
              <w:top w:val="single" w:color="000000" w:sz="12" w:space="0"/>
              <w:bottom w:val="single" w:color="000000" w:sz="4" w:space="0"/>
            </w:tcBorders>
            <w:shd w:val="clear" w:color="auto" w:fill="auto"/>
            <w:vAlign w:val="center"/>
          </w:tcPr>
          <w:p w14:paraId="6FA45755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Stroma-poor (n = 84)</w:t>
            </w:r>
          </w:p>
        </w:tc>
        <w:tc>
          <w:tcPr>
            <w:tcW w:w="0" w:type="auto"/>
            <w:tcBorders>
              <w:top w:val="single" w:color="000000" w:sz="12" w:space="0"/>
              <w:bottom w:val="single" w:color="000000" w:sz="4" w:space="0"/>
            </w:tcBorders>
            <w:shd w:val="clear" w:color="auto" w:fill="auto"/>
            <w:vAlign w:val="center"/>
          </w:tcPr>
          <w:p w14:paraId="71FAEEB3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Stroma-rich (n = 88)</w:t>
            </w:r>
          </w:p>
        </w:tc>
        <w:tc>
          <w:tcPr>
            <w:tcW w:w="0" w:type="auto"/>
            <w:tcBorders>
              <w:top w:val="single" w:color="000000" w:sz="12" w:space="0"/>
              <w:bottom w:val="single" w:color="000000" w:sz="4" w:space="0"/>
            </w:tcBorders>
            <w:shd w:val="clear" w:color="auto" w:fill="auto"/>
            <w:vAlign w:val="center"/>
          </w:tcPr>
          <w:p w14:paraId="22EB8B0A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Statistic</w:t>
            </w:r>
          </w:p>
        </w:tc>
        <w:tc>
          <w:tcPr>
            <w:tcW w:w="0" w:type="auto"/>
            <w:tcBorders>
              <w:top w:val="single" w:color="000000" w:sz="12" w:space="0"/>
              <w:bottom w:val="single" w:color="000000" w:sz="4" w:space="0"/>
            </w:tcBorders>
            <w:shd w:val="clear" w:color="auto" w:fill="auto"/>
            <w:vAlign w:val="center"/>
          </w:tcPr>
          <w:p w14:paraId="4863A6D6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p value</w:t>
            </w:r>
          </w:p>
        </w:tc>
      </w:tr>
      <w:tr w14:paraId="516759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000000" w:sz="4" w:space="0"/>
            </w:tcBorders>
            <w:shd w:val="clear" w:color="auto" w:fill="auto"/>
            <w:vAlign w:val="center"/>
          </w:tcPr>
          <w:p w14:paraId="42E8789A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High-grade serous</w:t>
            </w:r>
          </w:p>
        </w:tc>
        <w:tc>
          <w:tcPr>
            <w:tcW w:w="0" w:type="auto"/>
            <w:tcBorders>
              <w:top w:val="single" w:color="000000" w:sz="4" w:space="0"/>
            </w:tcBorders>
            <w:shd w:val="clear" w:color="auto" w:fill="auto"/>
            <w:vAlign w:val="center"/>
          </w:tcPr>
          <w:p w14:paraId="6CBC3161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144 (83.7)</w:t>
            </w:r>
          </w:p>
        </w:tc>
        <w:tc>
          <w:tcPr>
            <w:tcW w:w="0" w:type="auto"/>
            <w:tcBorders>
              <w:top w:val="single" w:color="000000" w:sz="4" w:space="0"/>
            </w:tcBorders>
            <w:shd w:val="clear" w:color="auto" w:fill="auto"/>
            <w:vAlign w:val="center"/>
          </w:tcPr>
          <w:p w14:paraId="3E1FB3EC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66 (78.6)</w:t>
            </w:r>
          </w:p>
        </w:tc>
        <w:tc>
          <w:tcPr>
            <w:tcW w:w="0" w:type="auto"/>
            <w:tcBorders>
              <w:top w:val="single" w:color="000000" w:sz="4" w:space="0"/>
            </w:tcBorders>
            <w:shd w:val="clear" w:color="auto" w:fill="auto"/>
            <w:vAlign w:val="center"/>
          </w:tcPr>
          <w:p w14:paraId="095C8237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78 (88.6)</w:t>
            </w:r>
          </w:p>
        </w:tc>
        <w:tc>
          <w:tcPr>
            <w:tcW w:w="0" w:type="auto"/>
            <w:tcBorders>
              <w:top w:val="single" w:color="000000" w:sz="4" w:space="0"/>
            </w:tcBorders>
            <w:shd w:val="clear" w:color="auto" w:fill="auto"/>
            <w:vAlign w:val="center"/>
          </w:tcPr>
          <w:p w14:paraId="72776B6D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—</w:t>
            </w:r>
          </w:p>
        </w:tc>
        <w:tc>
          <w:tcPr>
            <w:tcW w:w="0" w:type="auto"/>
            <w:tcBorders>
              <w:top w:val="single" w:color="000000" w:sz="4" w:space="0"/>
            </w:tcBorders>
            <w:shd w:val="clear" w:color="auto" w:fill="auto"/>
            <w:vAlign w:val="center"/>
          </w:tcPr>
          <w:p w14:paraId="5FCBB965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0.288</w:t>
            </w:r>
          </w:p>
        </w:tc>
      </w:tr>
      <w:tr w14:paraId="5ADAF3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59114D4A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Low-grade serous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4000F21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9 (5.2)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59F1CA5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7 (8.3)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DA753BF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2 (2.3)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B59A67E"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7A5764B"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2B5DF2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1DD43F68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Clear cell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345A5FF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9 (5.2)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2A61B8A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6 (7.1)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33229C6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3 (3.4)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DE71581"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24C5B75"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66BC4E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03BCEF67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Mucinous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8A4745C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8 (4.7)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9A1B8B9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4 (4.8)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23019F3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4 (4.5)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5B43514"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7C6F19B"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4CE24D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bottom w:val="single" w:color="000000" w:sz="12" w:space="0"/>
            </w:tcBorders>
            <w:shd w:val="clear" w:color="auto" w:fill="auto"/>
            <w:vAlign w:val="center"/>
          </w:tcPr>
          <w:p w14:paraId="5C7531CC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Endometrioid</w:t>
            </w:r>
          </w:p>
        </w:tc>
        <w:tc>
          <w:tcPr>
            <w:tcW w:w="0" w:type="auto"/>
            <w:tcBorders>
              <w:bottom w:val="single" w:color="000000" w:sz="12" w:space="0"/>
            </w:tcBorders>
            <w:shd w:val="clear" w:color="auto" w:fill="auto"/>
            <w:vAlign w:val="center"/>
          </w:tcPr>
          <w:p w14:paraId="64DA6C61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2 (1.2)</w:t>
            </w:r>
          </w:p>
        </w:tc>
        <w:tc>
          <w:tcPr>
            <w:tcW w:w="0" w:type="auto"/>
            <w:tcBorders>
              <w:bottom w:val="single" w:color="000000" w:sz="12" w:space="0"/>
            </w:tcBorders>
            <w:shd w:val="clear" w:color="auto" w:fill="auto"/>
            <w:vAlign w:val="center"/>
          </w:tcPr>
          <w:p w14:paraId="4662AC82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1 (1.2)</w:t>
            </w:r>
          </w:p>
        </w:tc>
        <w:tc>
          <w:tcPr>
            <w:tcW w:w="0" w:type="auto"/>
            <w:tcBorders>
              <w:bottom w:val="single" w:color="000000" w:sz="12" w:space="0"/>
            </w:tcBorders>
            <w:shd w:val="clear" w:color="auto" w:fill="auto"/>
            <w:vAlign w:val="center"/>
          </w:tcPr>
          <w:p w14:paraId="002920F8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1 (1.1)</w:t>
            </w:r>
          </w:p>
        </w:tc>
        <w:tc>
          <w:tcPr>
            <w:tcW w:w="0" w:type="auto"/>
            <w:tcBorders>
              <w:bottom w:val="single" w:color="000000" w:sz="12" w:space="0"/>
            </w:tcBorders>
            <w:shd w:val="clear" w:color="auto" w:fill="auto"/>
            <w:vAlign w:val="center"/>
          </w:tcPr>
          <w:p w14:paraId="28C22019"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color="000000" w:sz="12" w:space="0"/>
            </w:tcBorders>
            <w:shd w:val="clear" w:color="auto" w:fill="auto"/>
            <w:vAlign w:val="center"/>
          </w:tcPr>
          <w:p w14:paraId="73677B9D"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</w:tr>
    </w:tbl>
    <w:p w14:paraId="66178080">
      <w:pPr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Categorical variables are presented as number (percentage). The overall p value was calculated using the χ² test or Fisher’s exact test as appropriate.</w:t>
      </w:r>
    </w:p>
    <w:p w14:paraId="46C5CACE">
      <w:pPr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Abbreviation: TSR = tumor-stroma ratio.</w:t>
      </w:r>
    </w:p>
    <w:p w14:paraId="39664E9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EB2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200" w:line="276" w:lineRule="auto"/>
      <w:jc w:val="both"/>
    </w:pPr>
    <w:rPr>
      <w:rFonts w:ascii="Calibri" w:hAnsi="Calibri" w:cs="Calibri" w:eastAsiaTheme="minorEastAsia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2025-12-24T15:03:28Z</dcterms:created>
  <dc:creator>Lenovo</dc:creator>
  <cp:lastModifiedBy>向往往</cp:lastModifiedBy>
  <dcterms:modified xsi:type="dcterms:W3CDTF">2025-12-24T15:04:05Z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eyJoZGlkIjoiYTg3MGIwYzkwZDhmNjlmNTQyNmUwYTgyZjU5ZmU2MzQiLCJ1c2VySWQiOiIxMDg2MDUwMTM1In0=</vt:lpwstr>
  </property>
  <property fmtid="{D5CDD505-2E9C-101B-9397-08002B2CF9AE}" pid="4" name="ICV">
    <vt:lpwstr>254D7197E28244B0B2B5D7D7E833D4E3_12</vt:lpwstr>
  </property>
</Properties>
</file>