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41E53" w:rsidRPr="00BC3349" w:rsidRDefault="00BC3349" w:rsidP="00141E53">
      <w:pPr>
        <w:spacing w:line="360" w:lineRule="auto"/>
        <w:jc w:val="both"/>
        <w:rPr>
          <w:rFonts w:ascii="Times New Roman" w:hAnsi="Times New Roman" w:cs="Times New Roman"/>
          <w:b/>
          <w:bCs/>
          <w:color w:val="0F1115"/>
          <w:shd w:val="clear" w:color="auto" w:fill="FFFFFF"/>
        </w:rPr>
      </w:pPr>
      <w:r w:rsidRPr="00BC3349">
        <w:rPr>
          <w:rFonts w:ascii="Times New Roman" w:hAnsi="Times New Roman" w:cs="Times New Roman"/>
          <w:b/>
          <w:bCs/>
          <w:color w:val="0F1115"/>
          <w:shd w:val="clear" w:color="auto" w:fill="FFFFFF"/>
        </w:rPr>
        <w:t>The method for sample size calculation</w:t>
      </w:r>
      <w:r>
        <w:rPr>
          <w:rFonts w:ascii="Times New Roman" w:hAnsi="Times New Roman" w:cs="Times New Roman" w:hint="eastAsia"/>
          <w:b/>
          <w:bCs/>
          <w:color w:val="0F1115"/>
          <w:shd w:val="clear" w:color="auto" w:fill="FFFFFF"/>
        </w:rPr>
        <w:t>：</w:t>
      </w:r>
      <w:r w:rsidRPr="00BC3349">
        <w:rPr>
          <w:rFonts w:ascii="Times New Roman" w:hAnsi="Times New Roman" w:cs="Times New Roman"/>
          <w:b/>
          <w:bCs/>
          <w:color w:val="0F1115"/>
          <w:shd w:val="clear" w:color="auto" w:fill="FFFFFF"/>
        </w:rPr>
        <w:t xml:space="preserve"> </w:t>
      </w:r>
    </w:p>
    <w:p w:rsidR="00141E53" w:rsidRPr="00BC3349" w:rsidRDefault="00141E53" w:rsidP="00BC3349">
      <w:pPr>
        <w:spacing w:line="360" w:lineRule="auto"/>
        <w:rPr>
          <w:rFonts w:ascii="Times New Roman" w:hAnsi="Times New Roman" w:cs="Times New Roman"/>
          <w:color w:val="0F1115"/>
          <w:shd w:val="clear" w:color="auto" w:fill="FFFFFF"/>
        </w:rPr>
      </w:pPr>
      <w:r w:rsidRPr="00845B56">
        <w:rPr>
          <w:rFonts w:ascii="Times New Roman" w:hAnsi="Times New Roman" w:cs="Times New Roman"/>
          <w:color w:val="0F1115"/>
          <w:shd w:val="clear" w:color="auto" w:fill="FFFFFF"/>
        </w:rPr>
        <w:t>T</w:t>
      </w:r>
      <w:r w:rsidRPr="00BC3349">
        <w:rPr>
          <w:rFonts w:ascii="Times New Roman" w:hAnsi="Times New Roman" w:cs="Times New Roman"/>
          <w:color w:val="0F1115"/>
          <w:shd w:val="clear" w:color="auto" w:fill="FFFFFF"/>
        </w:rPr>
        <w:t>he s</w:t>
      </w:r>
      <w:r w:rsidR="00BC3349">
        <w:rPr>
          <w:rFonts w:ascii="Times New Roman" w:hAnsi="Times New Roman" w:cs="Times New Roman" w:hint="eastAsia"/>
          <w:color w:val="0F1115"/>
          <w:shd w:val="clear" w:color="auto" w:fill="FFFFFF"/>
        </w:rPr>
        <w:t xml:space="preserve">ample </w:t>
      </w:r>
      <w:r w:rsidRPr="00BC3349">
        <w:rPr>
          <w:rFonts w:ascii="Times New Roman" w:hAnsi="Times New Roman" w:cs="Times New Roman"/>
          <w:color w:val="0F1115"/>
          <w:shd w:val="clear" w:color="auto" w:fill="FFFFFF"/>
        </w:rPr>
        <w:t>size was arrived at through a formal sample size calculation for case-control studies.</w:t>
      </w:r>
      <w:r w:rsidR="00BC3349" w:rsidRPr="00BC3349">
        <w:rPr>
          <w:rFonts w:ascii="Times New Roman" w:hAnsi="Times New Roman" w:cs="Times New Roman" w:hint="eastAsia"/>
          <w:color w:val="0F1115"/>
          <w:shd w:val="clear" w:color="auto" w:fill="FFFFFF"/>
        </w:rPr>
        <w:t xml:space="preserve"> </w:t>
      </w:r>
      <w:r w:rsidRPr="00BC3349">
        <w:rPr>
          <w:rFonts w:ascii="Times New Roman" w:hAnsi="Times New Roman" w:cs="Times New Roman"/>
          <w:color w:val="0F1115"/>
          <w:shd w:val="clear" w:color="auto" w:fill="FFFFFF"/>
        </w:rPr>
        <w:t>The following formula was employed</w:t>
      </w:r>
      <w:r w:rsidR="00BC3349" w:rsidRPr="00BC3349">
        <w:rPr>
          <w:rFonts w:ascii="Times New Roman" w:hAnsi="Times New Roman" w:cs="Times New Roman" w:hint="eastAsia"/>
          <w:color w:val="0F1115"/>
          <w:shd w:val="clear" w:color="auto" w:fill="FFFFFF"/>
        </w:rPr>
        <w:t>：</w:t>
      </w:r>
      <w:r w:rsidRPr="00BC3349">
        <w:rPr>
          <w:rFonts w:ascii="Segoe UI" w:hAnsi="Segoe UI" w:cs="Segoe UI"/>
          <w:noProof/>
          <w:color w:val="0F1115"/>
          <w14:ligatures w14:val="standardContextual"/>
        </w:rPr>
        <w:drawing>
          <wp:inline distT="0" distB="0" distL="0" distR="0" wp14:anchorId="0C552685" wp14:editId="39B36228">
            <wp:extent cx="5274310" cy="621665"/>
            <wp:effectExtent l="0" t="0" r="0" b="635"/>
            <wp:docPr id="207894437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8944375" name="图片 1"/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1E53" w:rsidRPr="00BC3349" w:rsidRDefault="00141E53" w:rsidP="00141E53">
      <w:pPr>
        <w:pStyle w:val="ds-markdown-paragraph"/>
        <w:spacing w:before="0" w:beforeAutospacing="0" w:after="120" w:afterAutospacing="0" w:line="360" w:lineRule="auto"/>
        <w:rPr>
          <w:rFonts w:ascii="Times New Roman" w:hAnsi="Times New Roman" w:cs="Times New Roman"/>
          <w:b/>
          <w:bCs/>
          <w:color w:val="0F1115"/>
        </w:rPr>
      </w:pPr>
      <w:r w:rsidRPr="00BC3349">
        <w:rPr>
          <w:rStyle w:val="mord"/>
          <w:rFonts w:ascii="Times New Roman" w:hAnsi="Times New Roman" w:cs="Times New Roman"/>
          <w:i/>
          <w:iCs/>
          <w:color w:val="0F1115"/>
        </w:rPr>
        <w:t>Z</w:t>
      </w:r>
      <w:r w:rsidRPr="00BC3349">
        <w:rPr>
          <w:rStyle w:val="mord"/>
          <w:rFonts w:ascii="Times New Roman" w:hAnsi="Times New Roman" w:cs="Times New Roman"/>
          <w:color w:val="0F1115"/>
        </w:rPr>
        <w:t>1</w:t>
      </w:r>
      <w:r w:rsidRPr="00BC3349">
        <w:rPr>
          <w:rStyle w:val="mbin"/>
          <w:rFonts w:ascii="Times New Roman" w:hAnsi="Times New Roman" w:cs="Times New Roman"/>
          <w:color w:val="0F1115"/>
        </w:rPr>
        <w:t>−</w:t>
      </w:r>
      <w:r w:rsidRPr="00BC3349">
        <w:rPr>
          <w:rStyle w:val="mord"/>
          <w:rFonts w:ascii="Times New Roman" w:hAnsi="Times New Roman" w:cs="Times New Roman"/>
          <w:i/>
          <w:iCs/>
          <w:color w:val="0F1115"/>
        </w:rPr>
        <w:t>α</w:t>
      </w:r>
      <w:r w:rsidRPr="00BC3349">
        <w:rPr>
          <w:rStyle w:val="mord"/>
          <w:rFonts w:ascii="Times New Roman" w:hAnsi="Times New Roman" w:cs="Times New Roman"/>
          <w:color w:val="0F1115"/>
        </w:rPr>
        <w:t>/2</w:t>
      </w:r>
      <w:r w:rsidRPr="00BC3349">
        <w:rPr>
          <w:rStyle w:val="vlist-s"/>
          <w:rFonts w:ascii="Times New Roman" w:hAnsi="Times New Roman" w:cs="Times New Roman"/>
          <w:color w:val="0F1115"/>
        </w:rPr>
        <w:t>​</w:t>
      </w:r>
      <w:r w:rsidRPr="00BC3349">
        <w:rPr>
          <w:rStyle w:val="apple-converted-space"/>
          <w:rFonts w:ascii="Times New Roman" w:hAnsi="Times New Roman" w:cs="Times New Roman"/>
          <w:color w:val="0F1115"/>
        </w:rPr>
        <w:t> </w:t>
      </w:r>
      <w:r w:rsidRPr="00BC3349">
        <w:rPr>
          <w:rFonts w:ascii="Times New Roman" w:hAnsi="Times New Roman" w:cs="Times New Roman"/>
          <w:color w:val="0F1115"/>
        </w:rPr>
        <w:t>and</w:t>
      </w:r>
      <w:r w:rsidRPr="00BC3349">
        <w:rPr>
          <w:rStyle w:val="mord"/>
          <w:rFonts w:ascii="Times New Roman" w:hAnsi="Times New Roman" w:cs="Times New Roman"/>
          <w:i/>
          <w:iCs/>
          <w:color w:val="0F1115"/>
        </w:rPr>
        <w:t>Z</w:t>
      </w:r>
      <w:r w:rsidRPr="00BC3349">
        <w:rPr>
          <w:rStyle w:val="mord"/>
          <w:rFonts w:ascii="Times New Roman" w:hAnsi="Times New Roman" w:cs="Times New Roman"/>
          <w:color w:val="0F1115"/>
        </w:rPr>
        <w:t>1</w:t>
      </w:r>
      <w:r w:rsidRPr="00BC3349">
        <w:rPr>
          <w:rStyle w:val="mbin"/>
          <w:rFonts w:ascii="Times New Roman" w:hAnsi="Times New Roman" w:cs="Times New Roman"/>
          <w:color w:val="0F1115"/>
        </w:rPr>
        <w:t>−</w:t>
      </w:r>
      <w:r w:rsidRPr="00BC3349">
        <w:rPr>
          <w:rStyle w:val="mord"/>
          <w:rFonts w:ascii="Times New Roman" w:hAnsi="Times New Roman" w:cs="Times New Roman"/>
          <w:i/>
          <w:iCs/>
          <w:color w:val="0F1115"/>
        </w:rPr>
        <w:t>β</w:t>
      </w:r>
      <w:r w:rsidRPr="00BC3349">
        <w:rPr>
          <w:rStyle w:val="vlist-s"/>
          <w:rFonts w:ascii="Times New Roman" w:hAnsi="Times New Roman" w:cs="Times New Roman"/>
          <w:color w:val="0F1115"/>
        </w:rPr>
        <w:t>​</w:t>
      </w:r>
      <w:r w:rsidRPr="00BC3349">
        <w:rPr>
          <w:rStyle w:val="apple-converted-space"/>
          <w:rFonts w:ascii="Times New Roman" w:hAnsi="Times New Roman" w:cs="Times New Roman"/>
          <w:color w:val="0F1115"/>
        </w:rPr>
        <w:t> </w:t>
      </w:r>
      <w:r w:rsidRPr="00BC3349">
        <w:rPr>
          <w:rStyle w:val="ae"/>
          <w:rFonts w:ascii="Times New Roman" w:hAnsi="Times New Roman" w:cs="Times New Roman"/>
          <w:b w:val="0"/>
          <w:bCs w:val="0"/>
          <w:color w:val="0F1115"/>
        </w:rPr>
        <w:t>are the quantiles of the standard normal distribution.</w:t>
      </w:r>
    </w:p>
    <w:p w:rsidR="00141E53" w:rsidRPr="00BC3349" w:rsidRDefault="00141E53" w:rsidP="00141E53">
      <w:pPr>
        <w:pStyle w:val="ds-markdown-paragraph"/>
        <w:spacing w:before="0" w:beforeAutospacing="0" w:after="0" w:afterAutospacing="0" w:line="360" w:lineRule="auto"/>
        <w:rPr>
          <w:rFonts w:ascii="Times New Roman" w:hAnsi="Times New Roman" w:cs="Times New Roman"/>
          <w:color w:val="0F1115"/>
        </w:rPr>
      </w:pPr>
      <w:r w:rsidRPr="00BC3349">
        <w:rPr>
          <w:rStyle w:val="katex-mathml"/>
          <w:rFonts w:ascii="Times New Roman" w:hAnsi="Times New Roman" w:cs="Times New Roman"/>
          <w:color w:val="0F1115"/>
        </w:rPr>
        <w:t xml:space="preserve">α=0.05 </w:t>
      </w:r>
      <w:r w:rsidRPr="00BC3349">
        <w:rPr>
          <w:rFonts w:ascii="Times New Roman" w:hAnsi="Times New Roman" w:cs="Times New Roman"/>
          <w:b/>
          <w:bCs/>
          <w:color w:val="0F1115"/>
        </w:rPr>
        <w:t>(</w:t>
      </w:r>
      <w:r w:rsidRPr="00BC3349">
        <w:rPr>
          <w:rStyle w:val="ae"/>
          <w:rFonts w:ascii="Times New Roman" w:hAnsi="Times New Roman" w:cs="Times New Roman"/>
          <w:b w:val="0"/>
          <w:bCs w:val="0"/>
          <w:color w:val="0F1115"/>
        </w:rPr>
        <w:t>two-sided</w:t>
      </w:r>
      <w:r w:rsidRPr="00BC3349">
        <w:rPr>
          <w:rFonts w:ascii="Times New Roman" w:hAnsi="Times New Roman" w:cs="Times New Roman"/>
          <w:b/>
          <w:bCs/>
          <w:color w:val="0F1115"/>
        </w:rPr>
        <w:t>)</w:t>
      </w:r>
      <w:r w:rsidRPr="00BC3349">
        <w:rPr>
          <w:rFonts w:ascii="Times New Roman" w:hAnsi="Times New Roman" w:cs="Times New Roman"/>
          <w:color w:val="0F1115"/>
        </w:rPr>
        <w:t>，</w:t>
      </w:r>
      <w:r w:rsidRPr="00BC3349">
        <w:rPr>
          <w:rStyle w:val="katex-mathml"/>
          <w:rFonts w:ascii="Times New Roman" w:hAnsi="Times New Roman" w:cs="Times New Roman"/>
          <w:color w:val="0F1115"/>
        </w:rPr>
        <w:t>Z1−α/2=1.96</w:t>
      </w:r>
      <w:r w:rsidRPr="00BC3349">
        <w:rPr>
          <w:rStyle w:val="mord"/>
          <w:rFonts w:ascii="Times New Roman" w:hAnsi="Times New Roman" w:cs="Times New Roman"/>
          <w:i/>
          <w:iCs/>
          <w:color w:val="0F1115"/>
        </w:rPr>
        <w:t>Z</w:t>
      </w:r>
      <w:r w:rsidRPr="00BC3349">
        <w:rPr>
          <w:rStyle w:val="mord"/>
          <w:rFonts w:ascii="Times New Roman" w:hAnsi="Times New Roman" w:cs="Times New Roman"/>
          <w:color w:val="0F1115"/>
        </w:rPr>
        <w:t>1</w:t>
      </w:r>
      <w:r w:rsidRPr="00BC3349">
        <w:rPr>
          <w:rStyle w:val="mbin"/>
          <w:rFonts w:ascii="Times New Roman" w:hAnsi="Times New Roman" w:cs="Times New Roman"/>
          <w:color w:val="0F1115"/>
        </w:rPr>
        <w:t>−</w:t>
      </w:r>
      <w:r w:rsidRPr="00BC3349">
        <w:rPr>
          <w:rStyle w:val="mord"/>
          <w:rFonts w:ascii="Times New Roman" w:hAnsi="Times New Roman" w:cs="Times New Roman"/>
          <w:i/>
          <w:iCs/>
          <w:color w:val="0F1115"/>
        </w:rPr>
        <w:t>α</w:t>
      </w:r>
      <w:r w:rsidRPr="00BC3349">
        <w:rPr>
          <w:rStyle w:val="mord"/>
          <w:rFonts w:ascii="Times New Roman" w:hAnsi="Times New Roman" w:cs="Times New Roman"/>
          <w:color w:val="0F1115"/>
        </w:rPr>
        <w:t>/2</w:t>
      </w:r>
      <w:r w:rsidRPr="00BC3349">
        <w:rPr>
          <w:rStyle w:val="vlist-s"/>
          <w:rFonts w:ascii="Times New Roman" w:hAnsi="Times New Roman" w:cs="Times New Roman"/>
          <w:color w:val="0F1115"/>
        </w:rPr>
        <w:t>​</w:t>
      </w:r>
      <w:r w:rsidRPr="00BC3349">
        <w:rPr>
          <w:rStyle w:val="mrel"/>
          <w:rFonts w:ascii="Times New Roman" w:hAnsi="Times New Roman" w:cs="Times New Roman"/>
          <w:color w:val="0F1115"/>
        </w:rPr>
        <w:t>=</w:t>
      </w:r>
      <w:r w:rsidRPr="00BC3349">
        <w:rPr>
          <w:rStyle w:val="mord"/>
          <w:rFonts w:ascii="Times New Roman" w:hAnsi="Times New Roman" w:cs="Times New Roman"/>
          <w:color w:val="0F1115"/>
        </w:rPr>
        <w:t>1.96</w:t>
      </w:r>
    </w:p>
    <w:p w:rsidR="00141E53" w:rsidRPr="00BC3349" w:rsidRDefault="00141E53" w:rsidP="00141E53">
      <w:pPr>
        <w:pStyle w:val="ds-markdown-paragraph"/>
        <w:spacing w:before="0" w:beforeAutospacing="0" w:after="0" w:afterAutospacing="0" w:line="360" w:lineRule="auto"/>
        <w:rPr>
          <w:rStyle w:val="mord"/>
          <w:rFonts w:ascii="Times New Roman" w:hAnsi="Times New Roman" w:cs="Times New Roman"/>
          <w:color w:val="0F1115"/>
        </w:rPr>
      </w:pPr>
      <w:r w:rsidRPr="00BC3349">
        <w:rPr>
          <w:rStyle w:val="katex-mathml"/>
          <w:rFonts w:ascii="Times New Roman" w:hAnsi="Times New Roman" w:cs="Times New Roman"/>
          <w:color w:val="0F1115"/>
        </w:rPr>
        <w:t xml:space="preserve">β=0.10 </w:t>
      </w:r>
      <w:r w:rsidRPr="00BC3349">
        <w:rPr>
          <w:rFonts w:ascii="Times New Roman" w:hAnsi="Times New Roman" w:cs="Times New Roman"/>
          <w:color w:val="0F1115"/>
        </w:rPr>
        <w:t>(</w:t>
      </w:r>
      <w:r w:rsidRPr="00BC3349">
        <w:rPr>
          <w:rFonts w:ascii="Times New Roman" w:hAnsi="Times New Roman" w:cs="Times New Roman"/>
          <w:color w:val="0F1115"/>
          <w:shd w:val="clear" w:color="auto" w:fill="FFFFFF"/>
        </w:rPr>
        <w:t>90% power</w:t>
      </w:r>
      <w:r w:rsidRPr="00BC3349">
        <w:rPr>
          <w:rFonts w:ascii="Times New Roman" w:hAnsi="Times New Roman" w:cs="Times New Roman"/>
          <w:color w:val="0F1115"/>
        </w:rPr>
        <w:t>)</w:t>
      </w:r>
      <w:r w:rsidRPr="00BC3349">
        <w:rPr>
          <w:rFonts w:ascii="Times New Roman" w:hAnsi="Times New Roman" w:cs="Times New Roman"/>
          <w:color w:val="0F1115"/>
        </w:rPr>
        <w:t>，</w:t>
      </w:r>
      <w:r w:rsidRPr="00BC3349">
        <w:rPr>
          <w:rStyle w:val="katex-mathml"/>
          <w:rFonts w:ascii="Times New Roman" w:hAnsi="Times New Roman" w:cs="Times New Roman"/>
          <w:color w:val="0F1115"/>
        </w:rPr>
        <w:t>Z1−β=1.282</w:t>
      </w:r>
      <w:r w:rsidRPr="00BC3349">
        <w:rPr>
          <w:rStyle w:val="mord"/>
          <w:rFonts w:ascii="Times New Roman" w:hAnsi="Times New Roman" w:cs="Times New Roman"/>
          <w:i/>
          <w:iCs/>
          <w:color w:val="0F1115"/>
        </w:rPr>
        <w:t>Z</w:t>
      </w:r>
      <w:r w:rsidRPr="00BC3349">
        <w:rPr>
          <w:rStyle w:val="mord"/>
          <w:rFonts w:ascii="Times New Roman" w:hAnsi="Times New Roman" w:cs="Times New Roman"/>
          <w:color w:val="0F1115"/>
        </w:rPr>
        <w:t>1</w:t>
      </w:r>
      <w:r w:rsidRPr="00BC3349">
        <w:rPr>
          <w:rStyle w:val="mbin"/>
          <w:rFonts w:ascii="Times New Roman" w:hAnsi="Times New Roman" w:cs="Times New Roman"/>
          <w:color w:val="0F1115"/>
        </w:rPr>
        <w:t>−</w:t>
      </w:r>
      <w:r w:rsidRPr="00BC3349">
        <w:rPr>
          <w:rStyle w:val="mord"/>
          <w:rFonts w:ascii="Times New Roman" w:hAnsi="Times New Roman" w:cs="Times New Roman"/>
          <w:i/>
          <w:iCs/>
          <w:color w:val="0F1115"/>
        </w:rPr>
        <w:t>β</w:t>
      </w:r>
      <w:r w:rsidRPr="00BC3349">
        <w:rPr>
          <w:rStyle w:val="vlist-s"/>
          <w:rFonts w:ascii="Times New Roman" w:hAnsi="Times New Roman" w:cs="Times New Roman"/>
          <w:color w:val="0F1115"/>
        </w:rPr>
        <w:t>​</w:t>
      </w:r>
      <w:r w:rsidRPr="00BC3349">
        <w:rPr>
          <w:rStyle w:val="mrel"/>
          <w:rFonts w:ascii="Times New Roman" w:hAnsi="Times New Roman" w:cs="Times New Roman"/>
          <w:color w:val="0F1115"/>
        </w:rPr>
        <w:t>=</w:t>
      </w:r>
      <w:r w:rsidRPr="00BC3349">
        <w:rPr>
          <w:rStyle w:val="mord"/>
          <w:rFonts w:ascii="Times New Roman" w:hAnsi="Times New Roman" w:cs="Times New Roman"/>
          <w:color w:val="0F1115"/>
        </w:rPr>
        <w:t>1.282</w:t>
      </w:r>
    </w:p>
    <w:p w:rsidR="00141E53" w:rsidRPr="00BC3349" w:rsidRDefault="00141E53" w:rsidP="00141E53">
      <w:pPr>
        <w:pStyle w:val="ds-markdown-paragraph"/>
        <w:spacing w:before="0" w:beforeAutospacing="0" w:after="0" w:afterAutospacing="0" w:line="360" w:lineRule="auto"/>
        <w:rPr>
          <w:rStyle w:val="katex-mathml"/>
        </w:rPr>
      </w:pPr>
      <w:r w:rsidRPr="00BC3349">
        <w:rPr>
          <w:rStyle w:val="katex-mathml"/>
          <w:rFonts w:ascii="Times New Roman" w:hAnsi="Times New Roman" w:cs="Times New Roman" w:hint="eastAsia"/>
          <w:i/>
          <w:iCs/>
        </w:rPr>
        <w:t>p</w:t>
      </w:r>
      <w:r w:rsidRPr="00BC3349">
        <w:rPr>
          <w:rStyle w:val="katex-mathml"/>
          <w:rFonts w:ascii="Times New Roman" w:hAnsi="Times New Roman" w:cs="Times New Roman" w:hint="eastAsia"/>
        </w:rPr>
        <w:t>1</w:t>
      </w:r>
      <w:r w:rsidRPr="00BC3349">
        <w:rPr>
          <w:rStyle w:val="katex-mathml"/>
          <w:rFonts w:ascii="Times New Roman" w:hAnsi="Times New Roman" w:cs="Times New Roman"/>
        </w:rPr>
        <w:t xml:space="preserve"> = (OR × </w:t>
      </w:r>
      <w:r w:rsidRPr="00BC3349">
        <w:rPr>
          <w:rStyle w:val="katex-mathml"/>
          <w:rFonts w:ascii="Times New Roman" w:hAnsi="Times New Roman" w:cs="Times New Roman"/>
          <w:i/>
          <w:iCs/>
        </w:rPr>
        <w:t>p</w:t>
      </w:r>
      <w:r w:rsidRPr="00BC3349">
        <w:rPr>
          <w:rStyle w:val="katex-mathml"/>
          <w:rFonts w:ascii="Times New Roman" w:hAnsi="Times New Roman" w:cs="Times New Roman" w:hint="eastAsia"/>
        </w:rPr>
        <w:t>0</w:t>
      </w:r>
      <w:r w:rsidRPr="00BC3349">
        <w:rPr>
          <w:rStyle w:val="katex-mathml"/>
          <w:rFonts w:ascii="Times New Roman" w:hAnsi="Times New Roman" w:cs="Times New Roman"/>
        </w:rPr>
        <w:t>) / (1 –</w:t>
      </w:r>
      <w:r w:rsidRPr="00BC3349">
        <w:rPr>
          <w:rStyle w:val="katex-mathml"/>
          <w:rFonts w:ascii="Times New Roman" w:hAnsi="Times New Roman" w:cs="Times New Roman"/>
          <w:i/>
          <w:iCs/>
        </w:rPr>
        <w:t xml:space="preserve"> p</w:t>
      </w:r>
      <w:r w:rsidRPr="00BC3349">
        <w:rPr>
          <w:rStyle w:val="katex-mathml"/>
          <w:rFonts w:ascii="Times New Roman" w:hAnsi="Times New Roman" w:cs="Times New Roman" w:hint="eastAsia"/>
        </w:rPr>
        <w:t>0</w:t>
      </w:r>
      <w:r w:rsidRPr="00BC3349">
        <w:rPr>
          <w:rStyle w:val="katex-mathml"/>
          <w:rFonts w:ascii="Times New Roman" w:hAnsi="Times New Roman" w:cs="Times New Roman"/>
        </w:rPr>
        <w:t xml:space="preserve"> + OR × </w:t>
      </w:r>
      <w:r w:rsidRPr="00BC3349">
        <w:rPr>
          <w:rStyle w:val="katex-mathml"/>
          <w:rFonts w:ascii="Times New Roman" w:hAnsi="Times New Roman" w:cs="Times New Roman"/>
          <w:i/>
          <w:iCs/>
        </w:rPr>
        <w:t>p</w:t>
      </w:r>
      <w:r w:rsidRPr="00BC3349">
        <w:rPr>
          <w:rStyle w:val="katex-mathml"/>
          <w:rFonts w:ascii="Times New Roman" w:hAnsi="Times New Roman" w:cs="Times New Roman" w:hint="eastAsia"/>
        </w:rPr>
        <w:t>0)</w:t>
      </w:r>
    </w:p>
    <w:p w:rsidR="00141E53" w:rsidRPr="00BC3349" w:rsidRDefault="00141E53" w:rsidP="00141E53">
      <w:pPr>
        <w:pStyle w:val="ds-markdown-paragraph"/>
        <w:spacing w:before="0" w:beforeAutospacing="0" w:after="0" w:afterAutospacing="0" w:line="360" w:lineRule="auto"/>
        <w:rPr>
          <w:rFonts w:ascii="Times New Roman" w:hAnsi="Times New Roman" w:cs="Times New Roman"/>
          <w:color w:val="0F1115"/>
        </w:rPr>
      </w:pPr>
      <w:r w:rsidRPr="00BC3349">
        <w:rPr>
          <w:rStyle w:val="katex-mathml"/>
          <w:rFonts w:ascii="Times New Roman" w:hAnsi="Times New Roman" w:cs="Times New Roman"/>
          <w:color w:val="0F1115"/>
        </w:rPr>
        <w:t>pˉ</w:t>
      </w:r>
      <w:r w:rsidRPr="00BC3349">
        <w:rPr>
          <w:rStyle w:val="mrel"/>
          <w:rFonts w:ascii="Times New Roman" w:hAnsi="Times New Roman" w:cs="Times New Roman"/>
          <w:color w:val="0F1115"/>
        </w:rPr>
        <w:t>=</w:t>
      </w:r>
      <w:r w:rsidRPr="00BC3349">
        <w:rPr>
          <w:rStyle w:val="mopen"/>
          <w:rFonts w:ascii="Times New Roman" w:hAnsi="Times New Roman" w:cs="Times New Roman"/>
          <w:color w:val="0F1115"/>
        </w:rPr>
        <w:t>(</w:t>
      </w:r>
      <w:r w:rsidRPr="00BC3349">
        <w:rPr>
          <w:rStyle w:val="mord"/>
          <w:rFonts w:ascii="Times New Roman" w:hAnsi="Times New Roman" w:cs="Times New Roman"/>
          <w:i/>
          <w:iCs/>
          <w:color w:val="0F1115"/>
        </w:rPr>
        <w:t>p</w:t>
      </w:r>
      <w:r w:rsidRPr="00BC3349">
        <w:rPr>
          <w:rStyle w:val="mord"/>
          <w:rFonts w:ascii="Times New Roman" w:hAnsi="Times New Roman" w:cs="Times New Roman"/>
          <w:color w:val="0F1115"/>
        </w:rPr>
        <w:t>1</w:t>
      </w:r>
      <w:r w:rsidRPr="00BC3349">
        <w:rPr>
          <w:rStyle w:val="vlist-s"/>
          <w:rFonts w:ascii="Times New Roman" w:hAnsi="Times New Roman" w:cs="Times New Roman"/>
          <w:color w:val="0F1115"/>
        </w:rPr>
        <w:t>​</w:t>
      </w:r>
      <w:r w:rsidRPr="00BC3349">
        <w:rPr>
          <w:rStyle w:val="mbin"/>
          <w:rFonts w:ascii="Times New Roman" w:hAnsi="Times New Roman" w:cs="Times New Roman"/>
          <w:color w:val="0F1115"/>
        </w:rPr>
        <w:t>+</w:t>
      </w:r>
      <w:r w:rsidRPr="00BC3349">
        <w:rPr>
          <w:rStyle w:val="mord"/>
          <w:rFonts w:ascii="Times New Roman" w:hAnsi="Times New Roman" w:cs="Times New Roman"/>
          <w:i/>
          <w:iCs/>
          <w:color w:val="0F1115"/>
        </w:rPr>
        <w:t>p</w:t>
      </w:r>
      <w:r w:rsidRPr="00BC3349">
        <w:rPr>
          <w:rStyle w:val="mord"/>
          <w:rFonts w:ascii="Times New Roman" w:hAnsi="Times New Roman" w:cs="Times New Roman"/>
          <w:color w:val="0F1115"/>
        </w:rPr>
        <w:t>0</w:t>
      </w:r>
      <w:r w:rsidRPr="00BC3349">
        <w:rPr>
          <w:rStyle w:val="vlist-s"/>
          <w:rFonts w:ascii="Times New Roman" w:hAnsi="Times New Roman" w:cs="Times New Roman"/>
          <w:color w:val="0F1115"/>
        </w:rPr>
        <w:t>​</w:t>
      </w:r>
      <w:r w:rsidRPr="00BC3349">
        <w:rPr>
          <w:rStyle w:val="mclose"/>
          <w:rFonts w:ascii="Times New Roman" w:hAnsi="Times New Roman" w:cs="Times New Roman"/>
          <w:color w:val="0F1115"/>
        </w:rPr>
        <w:t>)</w:t>
      </w:r>
      <w:r w:rsidRPr="00BC3349">
        <w:rPr>
          <w:rStyle w:val="mord"/>
          <w:rFonts w:ascii="Times New Roman" w:hAnsi="Times New Roman" w:cs="Times New Roman"/>
          <w:color w:val="0F1115"/>
        </w:rPr>
        <w:t>/2</w:t>
      </w:r>
      <w:r w:rsidRPr="00BC3349">
        <w:rPr>
          <w:rStyle w:val="apple-converted-space"/>
          <w:rFonts w:ascii="Times New Roman" w:hAnsi="Times New Roman" w:cs="Times New Roman"/>
          <w:color w:val="0F1115"/>
        </w:rPr>
        <w:t> </w:t>
      </w:r>
      <w:r w:rsidRPr="00BC3349">
        <w:rPr>
          <w:rFonts w:ascii="Times New Roman" w:hAnsi="Times New Roman" w:cs="Times New Roman"/>
          <w:color w:val="0F1115"/>
        </w:rPr>
        <w:t>(</w:t>
      </w:r>
      <w:r w:rsidRPr="00BC3349">
        <w:rPr>
          <w:rStyle w:val="ae"/>
          <w:rFonts w:ascii="Times New Roman" w:hAnsi="Times New Roman" w:cs="Times New Roman"/>
          <w:b w:val="0"/>
          <w:bCs w:val="0"/>
          <w:color w:val="0F1115"/>
        </w:rPr>
        <w:t>Average of the two exposure rates</w:t>
      </w:r>
      <w:r w:rsidRPr="00BC3349">
        <w:rPr>
          <w:rStyle w:val="ae"/>
          <w:rFonts w:ascii="Times New Roman" w:hAnsi="Times New Roman" w:cs="Times New Roman"/>
          <w:color w:val="0F1115"/>
        </w:rPr>
        <w:t>)</w:t>
      </w:r>
    </w:p>
    <w:p w:rsidR="00141E53" w:rsidRPr="00E91E19" w:rsidRDefault="00141E53" w:rsidP="00141E53">
      <w:pPr>
        <w:pStyle w:val="ds-markdown-paragraph"/>
        <w:spacing w:before="0" w:beforeAutospacing="0" w:after="0" w:afterAutospacing="0" w:line="360" w:lineRule="auto"/>
        <w:ind w:firstLineChars="200" w:firstLine="480"/>
        <w:jc w:val="both"/>
        <w:rPr>
          <w:rFonts w:ascii="Times New Roman" w:hAnsi="Times New Roman" w:cs="Times New Roman"/>
          <w:color w:val="0F1115"/>
          <w:highlight w:val="green"/>
          <w:shd w:val="clear" w:color="auto" w:fill="FFFFFF"/>
        </w:rPr>
      </w:pPr>
      <w:bookmarkStart w:id="0" w:name="OLE_LINK2"/>
      <w:r w:rsidRPr="00845B56">
        <w:rPr>
          <w:rFonts w:ascii="Times New Roman" w:hAnsi="Times New Roman" w:cs="Times New Roman"/>
          <w:color w:val="0F1115"/>
          <w:shd w:val="clear" w:color="auto" w:fill="FFFFFF"/>
        </w:rPr>
        <w:t xml:space="preserve">Previous studies have reported odds ratios (ORs) for various endocrine-disrupting chemicals in relation to PCOS risk: for instance, 1.53 for BPA </w:t>
      </w:r>
      <w:r w:rsidRPr="00E41ACB">
        <w:rPr>
          <w:rFonts w:ascii="Times New Roman" w:hAnsi="Times New Roman" w:cs="Times New Roman"/>
          <w:color w:val="0F1115"/>
          <w:shd w:val="clear" w:color="auto" w:fill="FFFFFF"/>
        </w:rPr>
        <w:t>(Hossein Rashidi B et al. 2017),</w:t>
      </w:r>
      <w:r w:rsidRPr="00845B56">
        <w:rPr>
          <w:rFonts w:ascii="Times New Roman" w:hAnsi="Times New Roman" w:cs="Times New Roman"/>
          <w:color w:val="0F1115"/>
          <w:shd w:val="clear" w:color="auto" w:fill="FFFFFF"/>
        </w:rPr>
        <w:t xml:space="preserve"> 2.39 for pesticide exposure (</w:t>
      </w:r>
      <w:r w:rsidRPr="00E41ACB">
        <w:rPr>
          <w:rFonts w:ascii="Times New Roman" w:hAnsi="Times New Roman" w:cs="Times New Roman"/>
          <w:color w:val="0F1115"/>
          <w:shd w:val="clear" w:color="auto" w:fill="FFFFFF"/>
        </w:rPr>
        <w:t xml:space="preserve">Yang Q </w:t>
      </w:r>
      <w:r w:rsidRPr="00E41ACB">
        <w:rPr>
          <w:rFonts w:ascii="Times New Roman" w:hAnsi="Times New Roman" w:cs="Times New Roman" w:hint="eastAsia"/>
          <w:color w:val="0F1115"/>
          <w:shd w:val="clear" w:color="auto" w:fill="FFFFFF"/>
        </w:rPr>
        <w:t>et al</w:t>
      </w:r>
      <w:r w:rsidRPr="00E41ACB">
        <w:rPr>
          <w:rFonts w:ascii="Times New Roman" w:hAnsi="Times New Roman" w:cs="Times New Roman"/>
          <w:color w:val="0F1115"/>
          <w:shd w:val="clear" w:color="auto" w:fill="FFFFFF"/>
        </w:rPr>
        <w:t>. 2015</w:t>
      </w:r>
      <w:r w:rsidRPr="00E91E19">
        <w:rPr>
          <w:rFonts w:ascii="Times New Roman" w:hAnsi="Times New Roman" w:cs="Times New Roman"/>
          <w:color w:val="0F1115"/>
          <w:shd w:val="clear" w:color="auto" w:fill="FFFFFF"/>
        </w:rPr>
        <w:t>), with certain pollutants reaching ORs as high as 4</w:t>
      </w:r>
      <w:r>
        <w:rPr>
          <w:rFonts w:ascii="Times New Roman" w:hAnsi="Times New Roman" w:cs="Times New Roman"/>
          <w:color w:val="0F1115"/>
          <w:shd w:val="clear" w:color="auto" w:fill="FFFFFF"/>
        </w:rPr>
        <w:t xml:space="preserve"> </w:t>
      </w:r>
      <w:r w:rsidRPr="00845B56">
        <w:rPr>
          <w:rFonts w:ascii="Times New Roman" w:hAnsi="Times New Roman" w:cs="Times New Roman"/>
          <w:color w:val="0F1115"/>
          <w:shd w:val="clear" w:color="auto" w:fill="FFFFFF"/>
        </w:rPr>
        <w:t>(</w:t>
      </w:r>
      <w:r w:rsidRPr="00E41ACB">
        <w:rPr>
          <w:rFonts w:ascii="Times New Roman" w:hAnsi="Times New Roman" w:cs="Times New Roman"/>
          <w:color w:val="0F1115"/>
          <w:shd w:val="clear" w:color="auto" w:fill="FFFFFF"/>
        </w:rPr>
        <w:t xml:space="preserve">Yang Q </w:t>
      </w:r>
      <w:r w:rsidRPr="00E41ACB">
        <w:rPr>
          <w:rFonts w:ascii="Times New Roman" w:hAnsi="Times New Roman" w:cs="Times New Roman" w:hint="eastAsia"/>
          <w:color w:val="0F1115"/>
          <w:shd w:val="clear" w:color="auto" w:fill="FFFFFF"/>
        </w:rPr>
        <w:t>et al</w:t>
      </w:r>
      <w:r w:rsidRPr="00E41ACB">
        <w:rPr>
          <w:rFonts w:ascii="Times New Roman" w:hAnsi="Times New Roman" w:cs="Times New Roman"/>
          <w:color w:val="0F1115"/>
          <w:shd w:val="clear" w:color="auto" w:fill="FFFFFF"/>
        </w:rPr>
        <w:t>. 2015</w:t>
      </w:r>
      <w:r w:rsidRPr="00E91E19">
        <w:rPr>
          <w:rFonts w:ascii="Times New Roman" w:hAnsi="Times New Roman" w:cs="Times New Roman"/>
          <w:color w:val="0F1115"/>
          <w:shd w:val="clear" w:color="auto" w:fill="FFFFFF"/>
        </w:rPr>
        <w:t xml:space="preserve">). Based on these findings, an OR of 2 was selected for sample size calculation. According to the literature, the prevalence of PCOS in women of reproductive age ranges from approximately </w:t>
      </w:r>
      <w:r w:rsidRPr="00E91E19">
        <w:rPr>
          <w:rFonts w:ascii="Times New Roman" w:hAnsi="Times New Roman" w:cs="Times New Roman" w:hint="eastAsia"/>
          <w:color w:val="0F1115"/>
          <w:shd w:val="clear" w:color="auto" w:fill="FFFFFF"/>
        </w:rPr>
        <w:t>5</w:t>
      </w:r>
      <w:r w:rsidRPr="00E91E19">
        <w:rPr>
          <w:rFonts w:ascii="Times New Roman" w:hAnsi="Times New Roman" w:cs="Times New Roman"/>
          <w:color w:val="0F1115"/>
          <w:shd w:val="clear" w:color="auto" w:fill="FFFFFF"/>
        </w:rPr>
        <w:t>% to 18%. This study, therefore, set the control group prevalence (P₀) at 10% and 15% for calculation. The calculation yielded approximately 394 participants (for P₀ = 10%) and 28</w:t>
      </w:r>
      <w:r>
        <w:rPr>
          <w:rFonts w:ascii="Times New Roman" w:hAnsi="Times New Roman" w:cs="Times New Roman" w:hint="eastAsia"/>
          <w:color w:val="0F1115"/>
          <w:shd w:val="clear" w:color="auto" w:fill="FFFFFF"/>
        </w:rPr>
        <w:t>2</w:t>
      </w:r>
      <w:r w:rsidRPr="00E91E19">
        <w:rPr>
          <w:rFonts w:ascii="Times New Roman" w:hAnsi="Times New Roman" w:cs="Times New Roman"/>
          <w:color w:val="0F1115"/>
          <w:shd w:val="clear" w:color="auto" w:fill="FFFFFF"/>
        </w:rPr>
        <w:t xml:space="preserve"> participants (for P₀ = 15%) per group. To ensure adequate power and account for potential dropouts, we targeted a recruitment of 300 - 350 participants for both cases and controls.</w:t>
      </w:r>
    </w:p>
    <w:bookmarkEnd w:id="0"/>
    <w:p w:rsidR="00A852C1" w:rsidRPr="00141E53" w:rsidRDefault="00A852C1"/>
    <w:sectPr w:rsidR="00A852C1" w:rsidRPr="00141E5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7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1E53"/>
    <w:rsid w:val="00141E53"/>
    <w:rsid w:val="00152BB8"/>
    <w:rsid w:val="001C3C57"/>
    <w:rsid w:val="002F1055"/>
    <w:rsid w:val="0035040C"/>
    <w:rsid w:val="00387D76"/>
    <w:rsid w:val="003B57DD"/>
    <w:rsid w:val="003C362E"/>
    <w:rsid w:val="00436451"/>
    <w:rsid w:val="00456489"/>
    <w:rsid w:val="005E54F5"/>
    <w:rsid w:val="005F2D07"/>
    <w:rsid w:val="00642F43"/>
    <w:rsid w:val="006A050D"/>
    <w:rsid w:val="007B7581"/>
    <w:rsid w:val="008003ED"/>
    <w:rsid w:val="00843587"/>
    <w:rsid w:val="008B1B1B"/>
    <w:rsid w:val="00905F8F"/>
    <w:rsid w:val="009E27F9"/>
    <w:rsid w:val="00A27232"/>
    <w:rsid w:val="00A3491E"/>
    <w:rsid w:val="00A852C1"/>
    <w:rsid w:val="00B35F0D"/>
    <w:rsid w:val="00B720D4"/>
    <w:rsid w:val="00BC3349"/>
    <w:rsid w:val="00C220A4"/>
    <w:rsid w:val="00C25261"/>
    <w:rsid w:val="00C549DE"/>
    <w:rsid w:val="00CA26E2"/>
    <w:rsid w:val="00D55CF2"/>
    <w:rsid w:val="00D9270A"/>
    <w:rsid w:val="00DF2663"/>
    <w:rsid w:val="00F04542"/>
    <w:rsid w:val="00F8095E"/>
    <w:rsid w:val="00F95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91B5F32"/>
  <w15:chartTrackingRefBased/>
  <w15:docId w15:val="{F0F333C2-931C-0B40-82A7-423B2F7E4B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1E53"/>
    <w:pPr>
      <w:spacing w:after="0" w:line="240" w:lineRule="auto"/>
    </w:pPr>
    <w:rPr>
      <w:rFonts w:ascii="宋体" w:eastAsia="宋体" w:hAnsi="宋体" w:cs="宋体"/>
      <w:kern w:val="0"/>
      <w:sz w:val="24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141E53"/>
    <w:pPr>
      <w:keepNext/>
      <w:keepLines/>
      <w:widowControl w:val="0"/>
      <w:spacing w:before="48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41E53"/>
    <w:pPr>
      <w:keepNext/>
      <w:keepLines/>
      <w:widowControl w:val="0"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41E53"/>
    <w:pPr>
      <w:keepNext/>
      <w:keepLines/>
      <w:widowControl w:val="0"/>
      <w:spacing w:before="160" w:after="80" w:line="278" w:lineRule="auto"/>
      <w:outlineLvl w:val="2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41E53"/>
    <w:pPr>
      <w:keepNext/>
      <w:keepLines/>
      <w:widowControl w:val="0"/>
      <w:spacing w:before="80" w:after="40" w:line="278" w:lineRule="auto"/>
      <w:outlineLvl w:val="3"/>
    </w:pPr>
    <w:rPr>
      <w:rFonts w:asciiTheme="minorHAnsi" w:eastAsiaTheme="min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41E53"/>
    <w:pPr>
      <w:keepNext/>
      <w:keepLines/>
      <w:widowControl w:val="0"/>
      <w:spacing w:before="80" w:after="40" w:line="278" w:lineRule="auto"/>
      <w:outlineLvl w:val="4"/>
    </w:pPr>
    <w:rPr>
      <w:rFonts w:asciiTheme="minorHAnsi" w:eastAsiaTheme="min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41E53"/>
    <w:pPr>
      <w:keepNext/>
      <w:keepLines/>
      <w:widowControl w:val="0"/>
      <w:spacing w:before="40" w:line="278" w:lineRule="auto"/>
      <w:outlineLvl w:val="5"/>
    </w:pPr>
    <w:rPr>
      <w:rFonts w:asciiTheme="minorHAnsi" w:eastAsiaTheme="minorEastAsia" w:hAnsiTheme="minorHAnsi" w:cstheme="majorBidi"/>
      <w:b/>
      <w:bCs/>
      <w:color w:val="0F4761" w:themeColor="accent1" w:themeShade="BF"/>
      <w:kern w:val="2"/>
      <w:sz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41E53"/>
    <w:pPr>
      <w:keepNext/>
      <w:keepLines/>
      <w:widowControl w:val="0"/>
      <w:spacing w:before="40" w:line="278" w:lineRule="auto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kern w:val="2"/>
      <w:sz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41E53"/>
    <w:pPr>
      <w:keepNext/>
      <w:keepLines/>
      <w:widowControl w:val="0"/>
      <w:spacing w:line="278" w:lineRule="auto"/>
      <w:outlineLvl w:val="7"/>
    </w:pPr>
    <w:rPr>
      <w:rFonts w:asciiTheme="minorHAnsi" w:eastAsiaTheme="minorEastAsia" w:hAnsiTheme="minorHAnsi" w:cstheme="majorBidi"/>
      <w:color w:val="595959" w:themeColor="text1" w:themeTint="A6"/>
      <w:kern w:val="2"/>
      <w:sz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41E53"/>
    <w:pPr>
      <w:keepNext/>
      <w:keepLines/>
      <w:widowControl w:val="0"/>
      <w:spacing w:line="278" w:lineRule="auto"/>
      <w:outlineLvl w:val="8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41E53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141E5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141E5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141E53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141E53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141E53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141E53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141E53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141E53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141E53"/>
    <w:pPr>
      <w:widowControl w:val="0"/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141E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41E53"/>
    <w:pPr>
      <w:widowControl w:val="0"/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141E5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41E53"/>
    <w:pPr>
      <w:widowControl w:val="0"/>
      <w:spacing w:before="160" w:after="160" w:line="278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kern w:val="2"/>
      <w:sz w:val="22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141E5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41E53"/>
    <w:pPr>
      <w:widowControl w:val="0"/>
      <w:spacing w:after="160" w:line="278" w:lineRule="auto"/>
      <w:ind w:left="720"/>
      <w:contextualSpacing/>
    </w:pPr>
    <w:rPr>
      <w:rFonts w:asciiTheme="minorHAnsi" w:eastAsiaTheme="minorEastAsia" w:hAnsiTheme="minorHAnsi" w:cstheme="minorBidi"/>
      <w:kern w:val="2"/>
      <w:sz w:val="22"/>
      <w14:ligatures w14:val="standardContextual"/>
    </w:rPr>
  </w:style>
  <w:style w:type="character" w:styleId="aa">
    <w:name w:val="Intense Emphasis"/>
    <w:basedOn w:val="a0"/>
    <w:uiPriority w:val="21"/>
    <w:qFormat/>
    <w:rsid w:val="00141E53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41E53"/>
    <w:pPr>
      <w:widowControl w:val="0"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kern w:val="2"/>
      <w:sz w:val="22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141E53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141E53"/>
    <w:rPr>
      <w:b/>
      <w:bCs/>
      <w:smallCaps/>
      <w:color w:val="0F4761" w:themeColor="accent1" w:themeShade="BF"/>
      <w:spacing w:val="5"/>
    </w:rPr>
  </w:style>
  <w:style w:type="character" w:styleId="ae">
    <w:name w:val="Strong"/>
    <w:basedOn w:val="a0"/>
    <w:uiPriority w:val="22"/>
    <w:qFormat/>
    <w:rsid w:val="00141E53"/>
    <w:rPr>
      <w:b/>
      <w:bCs/>
    </w:rPr>
  </w:style>
  <w:style w:type="character" w:customStyle="1" w:styleId="apple-converted-space">
    <w:name w:val="apple-converted-space"/>
    <w:basedOn w:val="a0"/>
    <w:qFormat/>
    <w:rsid w:val="00141E53"/>
  </w:style>
  <w:style w:type="paragraph" w:customStyle="1" w:styleId="ds-markdown-paragraph">
    <w:name w:val="ds-markdown-paragraph"/>
    <w:basedOn w:val="a"/>
    <w:qFormat/>
    <w:rsid w:val="00141E53"/>
    <w:pPr>
      <w:spacing w:before="100" w:beforeAutospacing="1" w:after="100" w:afterAutospacing="1"/>
    </w:pPr>
  </w:style>
  <w:style w:type="character" w:customStyle="1" w:styleId="katex-mathml">
    <w:name w:val="katex-mathml"/>
    <w:basedOn w:val="a0"/>
    <w:qFormat/>
    <w:rsid w:val="00141E53"/>
  </w:style>
  <w:style w:type="character" w:customStyle="1" w:styleId="mord">
    <w:name w:val="mord"/>
    <w:basedOn w:val="a0"/>
    <w:qFormat/>
    <w:rsid w:val="00141E53"/>
  </w:style>
  <w:style w:type="character" w:customStyle="1" w:styleId="mrel">
    <w:name w:val="mrel"/>
    <w:basedOn w:val="a0"/>
    <w:qFormat/>
    <w:rsid w:val="00141E53"/>
  </w:style>
  <w:style w:type="character" w:customStyle="1" w:styleId="mopen">
    <w:name w:val="mopen"/>
    <w:basedOn w:val="a0"/>
    <w:qFormat/>
    <w:rsid w:val="00141E53"/>
  </w:style>
  <w:style w:type="character" w:customStyle="1" w:styleId="vlist-s">
    <w:name w:val="vlist-s"/>
    <w:basedOn w:val="a0"/>
    <w:qFormat/>
    <w:rsid w:val="00141E53"/>
  </w:style>
  <w:style w:type="character" w:customStyle="1" w:styleId="mbin">
    <w:name w:val="mbin"/>
    <w:basedOn w:val="a0"/>
    <w:qFormat/>
    <w:rsid w:val="00141E53"/>
  </w:style>
  <w:style w:type="character" w:customStyle="1" w:styleId="mclose">
    <w:name w:val="mclose"/>
    <w:basedOn w:val="a0"/>
    <w:qFormat/>
    <w:rsid w:val="00141E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189</Words>
  <Characters>1079</Characters>
  <Application>Microsoft Office Word</Application>
  <DocSecurity>0</DocSecurity>
  <Lines>8</Lines>
  <Paragraphs>2</Paragraphs>
  <ScaleCrop>false</ScaleCrop>
  <Company/>
  <LinksUpToDate>false</LinksUpToDate>
  <CharactersWithSpaces>1266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Xiaona Huo</dc:creator>
  <cp:keywords/>
  <dc:description/>
  <cp:lastModifiedBy>Xiaona Huo</cp:lastModifiedBy>
  <cp:revision>2</cp:revision>
  <dcterms:created xsi:type="dcterms:W3CDTF">2025-11-14T10:08:00Z</dcterms:created>
  <dcterms:modified xsi:type="dcterms:W3CDTF">2025-11-14T10:17:00Z</dcterms:modified>
</cp:coreProperties>
</file>