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8B295" w14:textId="692D2077" w:rsidR="00E72146" w:rsidRPr="00A95AFA" w:rsidRDefault="00E72146" w:rsidP="00E72146">
      <w:pPr>
        <w:spacing w:after="120"/>
        <w:rPr>
          <w:rFonts w:ascii="Times New Roman" w:hAnsi="Times New Roman" w:cs="Times New Roman"/>
          <w:sz w:val="24"/>
          <w:szCs w:val="28"/>
        </w:rPr>
      </w:pPr>
      <w:r w:rsidRPr="00E01BE9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556B55" w:rsidRPr="00E01BE9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="00A95AFA">
        <w:rPr>
          <w:rFonts w:ascii="Times New Roman" w:hAnsi="Times New Roman" w:cs="Times New Roman" w:hint="eastAsia"/>
          <w:b/>
          <w:bCs/>
          <w:sz w:val="24"/>
          <w:szCs w:val="28"/>
        </w:rPr>
        <w:t>7</w:t>
      </w:r>
      <w:r w:rsidRPr="00E01BE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95AFA">
        <w:rPr>
          <w:rFonts w:ascii="Times New Roman" w:hAnsi="Times New Roman" w:cs="Times New Roman"/>
          <w:sz w:val="24"/>
          <w:szCs w:val="28"/>
        </w:rPr>
        <w:t>Variance component parameters for sensitivity analysis scenarios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2496"/>
        <w:gridCol w:w="2694"/>
        <w:gridCol w:w="6077"/>
      </w:tblGrid>
      <w:tr w:rsidR="00E72146" w:rsidRPr="00E72146" w14:paraId="09AE39D3" w14:textId="77777777" w:rsidTr="00802679">
        <w:trPr>
          <w:tblHeader/>
        </w:trPr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3197B86D" w14:textId="77777777" w:rsidR="00E72146" w:rsidRPr="00A95AFA" w:rsidRDefault="00E72146" w:rsidP="00E72146">
            <w:pPr>
              <w:rPr>
                <w:rFonts w:ascii="Times New Roman" w:hAnsi="Times New Roman" w:cs="Times New Roman"/>
                <w:b/>
                <w:bCs/>
              </w:rPr>
            </w:pPr>
            <w:r w:rsidRPr="00A95AFA">
              <w:rPr>
                <w:rFonts w:ascii="Times New Roman" w:hAnsi="Times New Roman" w:cs="Times New Roman"/>
                <w:b/>
                <w:bCs/>
              </w:rPr>
              <w:t>Scenario</w:t>
            </w:r>
          </w:p>
        </w:tc>
        <w:tc>
          <w:tcPr>
            <w:tcW w:w="894" w:type="pct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248AED37" w14:textId="33899DA3" w:rsidR="00E72146" w:rsidRPr="00A95AFA" w:rsidRDefault="00E72146" w:rsidP="00E72146">
            <w:pPr>
              <w:rPr>
                <w:rFonts w:ascii="Times New Roman" w:hAnsi="Times New Roman" w:cs="Times New Roman"/>
                <w:b/>
                <w:bCs/>
              </w:rPr>
            </w:pPr>
            <w:r w:rsidRPr="00A95AFA">
              <w:rPr>
                <w:rFonts w:ascii="Times New Roman" w:hAnsi="Times New Roman" w:cs="Times New Roman"/>
                <w:b/>
                <w:bCs/>
              </w:rPr>
              <w:t>Within-patient SD</w:t>
            </w:r>
          </w:p>
        </w:tc>
        <w:tc>
          <w:tcPr>
            <w:tcW w:w="965" w:type="pct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00BB12A1" w14:textId="2A0F5E80" w:rsidR="00E72146" w:rsidRPr="00A95AFA" w:rsidRDefault="00E72146" w:rsidP="00E72146">
            <w:pPr>
              <w:rPr>
                <w:rFonts w:ascii="Times New Roman" w:hAnsi="Times New Roman" w:cs="Times New Roman"/>
                <w:b/>
                <w:bCs/>
              </w:rPr>
            </w:pPr>
            <w:r w:rsidRPr="00A95AFA">
              <w:rPr>
                <w:rFonts w:ascii="Times New Roman" w:hAnsi="Times New Roman" w:cs="Times New Roman"/>
                <w:b/>
                <w:bCs/>
              </w:rPr>
              <w:t>Between-patient SD</w:t>
            </w:r>
          </w:p>
        </w:tc>
        <w:tc>
          <w:tcPr>
            <w:tcW w:w="2177" w:type="pct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23C64E15" w14:textId="3224A5C0" w:rsidR="00E72146" w:rsidRPr="00A95AFA" w:rsidRDefault="00E72146" w:rsidP="00E72146">
            <w:pPr>
              <w:rPr>
                <w:rFonts w:ascii="Times New Roman" w:hAnsi="Times New Roman" w:cs="Times New Roman"/>
                <w:b/>
                <w:bCs/>
              </w:rPr>
            </w:pPr>
            <w:r w:rsidRPr="00A95AFA">
              <w:rPr>
                <w:rFonts w:ascii="Times New Roman" w:hAnsi="Times New Roman" w:cs="Times New Roman"/>
                <w:b/>
                <w:bCs/>
              </w:rPr>
              <w:t>Clinical interpretation</w:t>
            </w:r>
          </w:p>
        </w:tc>
      </w:tr>
      <w:tr w:rsidR="00E72146" w:rsidRPr="00E72146" w14:paraId="3F431CB5" w14:textId="77777777" w:rsidTr="00802679">
        <w:tc>
          <w:tcPr>
            <w:tcW w:w="964" w:type="pc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7BED097C" w14:textId="2F221AA4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Base case</w:t>
            </w:r>
          </w:p>
        </w:tc>
        <w:tc>
          <w:tcPr>
            <w:tcW w:w="894" w:type="pct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4F91DA96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65" w:type="pct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297B8A61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177" w:type="pct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03787592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Parameters estimated from actual study data</w:t>
            </w:r>
          </w:p>
        </w:tc>
      </w:tr>
      <w:tr w:rsidR="00E72146" w:rsidRPr="00E72146" w14:paraId="7C54E739" w14:textId="77777777" w:rsidTr="00E01BE9">
        <w:tc>
          <w:tcPr>
            <w:tcW w:w="964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CB12E37" w14:textId="179D22EC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Low within variance</w:t>
            </w:r>
          </w:p>
        </w:tc>
        <w:tc>
          <w:tcPr>
            <w:tcW w:w="894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04469B06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65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23B5DAA5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177" w:type="pct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1291BEE4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Patients with highly consistent cycle-to-cycle outcomes</w:t>
            </w:r>
          </w:p>
        </w:tc>
      </w:tr>
      <w:tr w:rsidR="00E72146" w:rsidRPr="00E72146" w14:paraId="55811AD8" w14:textId="77777777" w:rsidTr="00E01BE9">
        <w:tc>
          <w:tcPr>
            <w:tcW w:w="964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603770F6" w14:textId="08BBA618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High within variance</w:t>
            </w:r>
          </w:p>
        </w:tc>
        <w:tc>
          <w:tcPr>
            <w:tcW w:w="894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49F585ED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965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6B1FB8E6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2177" w:type="pct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3B054DA9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Patients with substantial cycle-to-cycle fluctuation</w:t>
            </w:r>
          </w:p>
        </w:tc>
      </w:tr>
      <w:tr w:rsidR="00E72146" w:rsidRPr="00E72146" w14:paraId="1A10B0C6" w14:textId="77777777" w:rsidTr="00E01BE9">
        <w:tc>
          <w:tcPr>
            <w:tcW w:w="964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54EFB120" w14:textId="1B19EE19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Low between variance</w:t>
            </w:r>
          </w:p>
        </w:tc>
        <w:tc>
          <w:tcPr>
            <w:tcW w:w="894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0A6AFE9B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65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45B63BF4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177" w:type="pct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7B26C997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Reduced heterogeneity in patient population</w:t>
            </w:r>
          </w:p>
        </w:tc>
      </w:tr>
      <w:tr w:rsidR="00E72146" w:rsidRPr="00E72146" w14:paraId="644BC340" w14:textId="77777777" w:rsidTr="00E01BE9">
        <w:tc>
          <w:tcPr>
            <w:tcW w:w="964" w:type="pct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0D5A6CC8" w14:textId="619EDA96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High between variance</w:t>
            </w:r>
          </w:p>
        </w:tc>
        <w:tc>
          <w:tcPr>
            <w:tcW w:w="894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610BE7C1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65" w:type="pct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20C6D2AC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177" w:type="pct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068CD81F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Increased heterogeneity in patient population</w:t>
            </w:r>
          </w:p>
        </w:tc>
      </w:tr>
      <w:tr w:rsidR="00E72146" w:rsidRPr="00E72146" w14:paraId="5A65F4D1" w14:textId="77777777" w:rsidTr="00E01BE9">
        <w:tc>
          <w:tcPr>
            <w:tcW w:w="964" w:type="pct"/>
            <w:tcBorders>
              <w:bottom w:val="single" w:sz="12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14:paraId="498E4B9C" w14:textId="4A3743D9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Balanced variance</w:t>
            </w:r>
          </w:p>
        </w:tc>
        <w:tc>
          <w:tcPr>
            <w:tcW w:w="894" w:type="pct"/>
            <w:tcBorders>
              <w:bottom w:val="single" w:sz="12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72F785F2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965" w:type="pct"/>
            <w:tcBorders>
              <w:bottom w:val="single" w:sz="12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14:paraId="1CDA92CC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77" w:type="pct"/>
            <w:tcBorders>
              <w:bottom w:val="single" w:sz="12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14:paraId="083E5595" w14:textId="77777777" w:rsidR="00E72146" w:rsidRPr="00E72146" w:rsidRDefault="00E72146" w:rsidP="00E72146">
            <w:pPr>
              <w:rPr>
                <w:rFonts w:ascii="Times New Roman" w:hAnsi="Times New Roman" w:cs="Times New Roman"/>
              </w:rPr>
            </w:pPr>
            <w:r w:rsidRPr="00E72146">
              <w:rPr>
                <w:rFonts w:ascii="Times New Roman" w:hAnsi="Times New Roman" w:cs="Times New Roman"/>
              </w:rPr>
              <w:t>Equal within- and between-patient variability</w:t>
            </w:r>
          </w:p>
        </w:tc>
      </w:tr>
    </w:tbl>
    <w:p w14:paraId="70DD4A82" w14:textId="59F5A8A9" w:rsidR="00182956" w:rsidRPr="00E72146" w:rsidRDefault="00AB3533" w:rsidP="00E72146">
      <w:pPr>
        <w:rPr>
          <w:rFonts w:ascii="Times New Roman" w:hAnsi="Times New Roman" w:cs="Times New Roman"/>
          <w:sz w:val="24"/>
          <w:szCs w:val="28"/>
        </w:rPr>
      </w:pPr>
      <w:r w:rsidRPr="00AB3533">
        <w:rPr>
          <w:rFonts w:ascii="Times New Roman" w:hAnsi="Times New Roman" w:cs="Times New Roman" w:hint="eastAsia"/>
          <w:sz w:val="24"/>
          <w:szCs w:val="28"/>
        </w:rPr>
        <w:t>SD: Standard Deviation. The base case parameters were derived from empirical estimates of the study population. Alternative scenarios were selected to represent biologically plausible ranges of variance components</w:t>
      </w:r>
    </w:p>
    <w:sectPr w:rsidR="00182956" w:rsidRPr="00E72146" w:rsidSect="00E721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873C" w14:textId="77777777" w:rsidR="00146139" w:rsidRDefault="00146139" w:rsidP="00060CC2">
      <w:pPr>
        <w:rPr>
          <w:rFonts w:hint="eastAsia"/>
        </w:rPr>
      </w:pPr>
      <w:r>
        <w:separator/>
      </w:r>
    </w:p>
  </w:endnote>
  <w:endnote w:type="continuationSeparator" w:id="0">
    <w:p w14:paraId="525575CC" w14:textId="77777777" w:rsidR="00146139" w:rsidRDefault="00146139" w:rsidP="00060C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50DF" w14:textId="77777777" w:rsidR="00146139" w:rsidRDefault="00146139" w:rsidP="00060CC2">
      <w:pPr>
        <w:rPr>
          <w:rFonts w:hint="eastAsia"/>
        </w:rPr>
      </w:pPr>
      <w:r>
        <w:separator/>
      </w:r>
    </w:p>
  </w:footnote>
  <w:footnote w:type="continuationSeparator" w:id="0">
    <w:p w14:paraId="20D7878A" w14:textId="77777777" w:rsidR="00146139" w:rsidRDefault="00146139" w:rsidP="00060C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46"/>
    <w:rsid w:val="00014706"/>
    <w:rsid w:val="00060CC2"/>
    <w:rsid w:val="000C7160"/>
    <w:rsid w:val="000F6E32"/>
    <w:rsid w:val="00146139"/>
    <w:rsid w:val="00182956"/>
    <w:rsid w:val="001E397E"/>
    <w:rsid w:val="001E455E"/>
    <w:rsid w:val="00556B55"/>
    <w:rsid w:val="0070062A"/>
    <w:rsid w:val="007F2D7E"/>
    <w:rsid w:val="00802679"/>
    <w:rsid w:val="008E44ED"/>
    <w:rsid w:val="00A45C63"/>
    <w:rsid w:val="00A82825"/>
    <w:rsid w:val="00A95AFA"/>
    <w:rsid w:val="00A95E73"/>
    <w:rsid w:val="00AB3533"/>
    <w:rsid w:val="00C77CD5"/>
    <w:rsid w:val="00E01BE9"/>
    <w:rsid w:val="00E72146"/>
    <w:rsid w:val="00E7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A504B8"/>
  <w15:chartTrackingRefBased/>
  <w15:docId w15:val="{47F5C555-5AF5-4C35-8FF8-31E5F12A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1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1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1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1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14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1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1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1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1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2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2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21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214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721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21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21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21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21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2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1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21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21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2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2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21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2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21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7214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0C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60C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0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60C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709</Characters>
  <Application>Microsoft Office Word</Application>
  <DocSecurity>0</DocSecurity>
  <Lines>32</Lines>
  <Paragraphs>33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liujing huang</dc:creator>
  <cp:keywords/>
  <dc:description/>
  <cp:lastModifiedBy>liujing huang</cp:lastModifiedBy>
  <cp:revision>9</cp:revision>
  <dcterms:created xsi:type="dcterms:W3CDTF">2025-10-30T10:01:00Z</dcterms:created>
  <dcterms:modified xsi:type="dcterms:W3CDTF">2025-11-03T11:19:00Z</dcterms:modified>
</cp:coreProperties>
</file>