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BB08F">
      <w:pPr>
        <w:pStyle w:val="12"/>
        <w:widowControl/>
        <w:spacing w:line="15" w:lineRule="auto"/>
        <w:rPr>
          <w:rFonts w:ascii="Times New Roman" w:hAnsi="Times New Roman" w:cs="Times New Roman"/>
          <w:b/>
          <w:bCs/>
          <w:color w:val="0070C0"/>
          <w:sz w:val="20"/>
          <w:szCs w:val="20"/>
        </w:rPr>
      </w:pPr>
      <w:r>
        <w:rPr>
          <w:rFonts w:ascii="Times New Roman" w:hAnsi="Times New Roman" w:cs="Times New Roman"/>
          <w:b/>
          <w:bCs/>
          <w:color w:val="0070C0"/>
          <w:sz w:val="22"/>
        </w:rPr>
        <w:t>Supplementary Table 1. Stability validation of the RLR-selected gene via bootstrap resampling.</w:t>
      </w:r>
    </w:p>
    <w:tbl>
      <w:tblPr>
        <w:tblStyle w:val="14"/>
        <w:tblW w:w="8900" w:type="dxa"/>
        <w:tblInd w:w="0" w:type="dxa"/>
        <w:tblLayout w:type="autofit"/>
        <w:tblCellMar>
          <w:top w:w="0" w:type="dxa"/>
          <w:left w:w="0" w:type="dxa"/>
          <w:bottom w:w="0" w:type="dxa"/>
          <w:right w:w="0" w:type="dxa"/>
        </w:tblCellMar>
      </w:tblPr>
      <w:tblGrid>
        <w:gridCol w:w="3975"/>
        <w:gridCol w:w="1628"/>
        <w:gridCol w:w="1116"/>
        <w:gridCol w:w="2181"/>
      </w:tblGrid>
      <w:tr w14:paraId="63545DE9">
        <w:tblPrEx>
          <w:tblCellMar>
            <w:top w:w="0" w:type="dxa"/>
            <w:left w:w="0" w:type="dxa"/>
            <w:bottom w:w="0" w:type="dxa"/>
            <w:right w:w="0" w:type="dxa"/>
          </w:tblCellMar>
        </w:tblPrEx>
        <w:trPr>
          <w:trHeight w:val="4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361329E">
            <w:pPr>
              <w:pStyle w:val="12"/>
              <w:widowControl/>
              <w:jc w:val="center"/>
              <w:rPr>
                <w:rFonts w:ascii="Times New Roman" w:hAnsi="Times New Roman"/>
              </w:rPr>
            </w:pPr>
            <w:r>
              <w:rPr>
                <w:rFonts w:ascii="Times New Roman" w:hAnsi="Times New Roman" w:cs="Times New Roman"/>
                <w:b/>
                <w:bCs/>
                <w:color w:val="000000"/>
                <w:sz w:val="20"/>
                <w:szCs w:val="20"/>
              </w:rPr>
              <w:t>Feature Set</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2DFBAFA">
            <w:pPr>
              <w:pStyle w:val="12"/>
              <w:widowControl/>
              <w:jc w:val="center"/>
              <w:rPr>
                <w:rFonts w:ascii="Times New Roman" w:hAnsi="Times New Roman"/>
              </w:rPr>
            </w:pPr>
            <w:r>
              <w:rPr>
                <w:rFonts w:ascii="Times New Roman" w:hAnsi="Times New Roman" w:cs="Times New Roman"/>
                <w:b/>
                <w:bCs/>
                <w:color w:val="000000"/>
                <w:sz w:val="20"/>
                <w:szCs w:val="20"/>
              </w:rPr>
              <w:t>Gene Number</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C14F219">
            <w:pPr>
              <w:pStyle w:val="12"/>
              <w:widowControl/>
              <w:jc w:val="center"/>
              <w:rPr>
                <w:rFonts w:ascii="Times New Roman" w:hAnsi="Times New Roman"/>
              </w:rPr>
            </w:pPr>
            <w:r>
              <w:rPr>
                <w:rFonts w:ascii="Times New Roman" w:hAnsi="Times New Roman" w:cs="Times New Roman"/>
                <w:b/>
                <w:bCs/>
                <w:color w:val="000000"/>
                <w:sz w:val="20"/>
                <w:szCs w:val="20"/>
              </w:rPr>
              <w:t>AUROC</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A986481">
            <w:pPr>
              <w:pStyle w:val="12"/>
              <w:widowControl/>
              <w:jc w:val="center"/>
              <w:rPr>
                <w:rFonts w:ascii="Times New Roman" w:hAnsi="Times New Roman"/>
              </w:rPr>
            </w:pPr>
            <w:r>
              <w:rPr>
                <w:rFonts w:ascii="Times New Roman" w:hAnsi="Times New Roman" w:cs="Times New Roman"/>
                <w:b/>
                <w:bCs/>
                <w:color w:val="000000"/>
                <w:sz w:val="20"/>
                <w:szCs w:val="20"/>
              </w:rPr>
              <w:t>Frequency(%)</w:t>
            </w:r>
          </w:p>
        </w:tc>
      </w:tr>
      <w:tr w14:paraId="10CAD296">
        <w:tblPrEx>
          <w:tblCellMar>
            <w:top w:w="0" w:type="dxa"/>
            <w:left w:w="0" w:type="dxa"/>
            <w:bottom w:w="0" w:type="dxa"/>
            <w:right w:w="0" w:type="dxa"/>
          </w:tblCellMar>
        </w:tblPrEx>
        <w:trPr>
          <w:trHeight w:val="32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6A3A490">
            <w:pPr>
              <w:pStyle w:val="12"/>
              <w:widowControl/>
              <w:rPr>
                <w:rFonts w:ascii="Times New Roman" w:hAnsi="Times New Roman"/>
              </w:rPr>
            </w:pPr>
            <w:r>
              <w:rPr>
                <w:rFonts w:ascii="Times New Roman" w:hAnsi="Times New Roman" w:cs="Times New Roman"/>
                <w:color w:val="000000"/>
                <w:sz w:val="20"/>
                <w:szCs w:val="20"/>
              </w:rPr>
              <w:t>KIF20A,CHGB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EECF7E3">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3EE958F">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2EC5D7A">
            <w:pPr>
              <w:pStyle w:val="12"/>
              <w:widowControl/>
              <w:jc w:val="center"/>
              <w:rPr>
                <w:rFonts w:ascii="Times New Roman" w:hAnsi="Times New Roman"/>
              </w:rPr>
            </w:pPr>
            <w:r>
              <w:rPr>
                <w:rFonts w:ascii="Times New Roman" w:hAnsi="Times New Roman" w:cs="Times New Roman"/>
                <w:color w:val="000000"/>
                <w:sz w:val="20"/>
                <w:szCs w:val="20"/>
              </w:rPr>
              <w:t>38.0%</w:t>
            </w:r>
          </w:p>
        </w:tc>
      </w:tr>
      <w:tr w14:paraId="69C20CA6">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FFD7FFC">
            <w:pPr>
              <w:pStyle w:val="12"/>
              <w:widowControl/>
              <w:rPr>
                <w:rFonts w:ascii="Times New Roman" w:hAnsi="Times New Roman"/>
              </w:rPr>
            </w:pPr>
            <w:r>
              <w:rPr>
                <w:rFonts w:ascii="Times New Roman" w:hAnsi="Times New Roman" w:cs="Times New Roman"/>
                <w:color w:val="000000"/>
                <w:sz w:val="20"/>
                <w:szCs w:val="20"/>
              </w:rPr>
              <w:t>KIF20A,PYCR1,NBEA,PGR</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B23C8ED">
            <w:pPr>
              <w:pStyle w:val="12"/>
              <w:widowControl/>
              <w:jc w:val="center"/>
              <w:rPr>
                <w:rFonts w:ascii="Times New Roman" w:hAnsi="Times New Roman"/>
              </w:rPr>
            </w:pPr>
            <w:r>
              <w:rPr>
                <w:rFonts w:ascii="Times New Roman" w:hAnsi="Times New Roman" w:cs="Times New Roman"/>
                <w:color w:val="000000"/>
                <w:sz w:val="20"/>
                <w:szCs w:val="20"/>
              </w:rPr>
              <w:t>4</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6E018E5">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E27D924">
            <w:pPr>
              <w:pStyle w:val="12"/>
              <w:widowControl/>
              <w:jc w:val="center"/>
              <w:rPr>
                <w:rFonts w:ascii="Times New Roman" w:hAnsi="Times New Roman"/>
              </w:rPr>
            </w:pPr>
            <w:r>
              <w:rPr>
                <w:rFonts w:ascii="Times New Roman" w:hAnsi="Times New Roman" w:cs="Times New Roman"/>
                <w:color w:val="000000"/>
                <w:sz w:val="20"/>
                <w:szCs w:val="20"/>
              </w:rPr>
              <w:t>6.0%</w:t>
            </w:r>
          </w:p>
        </w:tc>
      </w:tr>
      <w:tr w14:paraId="12A39FA4">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46C1C96">
            <w:pPr>
              <w:pStyle w:val="12"/>
              <w:widowControl/>
              <w:rPr>
                <w:rFonts w:ascii="Times New Roman" w:hAnsi="Times New Roman"/>
              </w:rPr>
            </w:pPr>
            <w:r>
              <w:rPr>
                <w:rFonts w:ascii="Times New Roman" w:hAnsi="Times New Roman" w:cs="Times New Roman"/>
                <w:color w:val="000000"/>
                <w:sz w:val="20"/>
                <w:szCs w:val="20"/>
              </w:rPr>
              <w:t>ECT2,TTK,ABCA8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2918FFE">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54DD386">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5B883C4">
            <w:pPr>
              <w:pStyle w:val="12"/>
              <w:widowControl/>
              <w:jc w:val="center"/>
              <w:rPr>
                <w:rFonts w:ascii="Times New Roman" w:hAnsi="Times New Roman"/>
              </w:rPr>
            </w:pPr>
            <w:r>
              <w:rPr>
                <w:rFonts w:ascii="Times New Roman" w:hAnsi="Times New Roman" w:cs="Times New Roman"/>
                <w:color w:val="000000"/>
                <w:sz w:val="20"/>
                <w:szCs w:val="20"/>
              </w:rPr>
              <w:t>4.0%</w:t>
            </w:r>
          </w:p>
        </w:tc>
      </w:tr>
      <w:tr w14:paraId="6C38CDA0">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A301B37">
            <w:pPr>
              <w:pStyle w:val="12"/>
              <w:widowControl/>
              <w:rPr>
                <w:rFonts w:ascii="Times New Roman" w:hAnsi="Times New Roman"/>
              </w:rPr>
            </w:pPr>
            <w:r>
              <w:rPr>
                <w:rFonts w:ascii="Times New Roman" w:hAnsi="Times New Roman" w:cs="Times New Roman"/>
                <w:color w:val="000000"/>
                <w:sz w:val="20"/>
                <w:szCs w:val="20"/>
              </w:rPr>
              <w:t>DTL,PYCR1,CHGB,EPB41L3</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290CF25">
            <w:pPr>
              <w:pStyle w:val="12"/>
              <w:widowControl/>
              <w:jc w:val="center"/>
              <w:rPr>
                <w:rFonts w:ascii="Times New Roman" w:hAnsi="Times New Roman"/>
              </w:rPr>
            </w:pPr>
            <w:r>
              <w:rPr>
                <w:rFonts w:ascii="Times New Roman" w:hAnsi="Times New Roman" w:cs="Times New Roman"/>
                <w:color w:val="000000"/>
                <w:sz w:val="20"/>
                <w:szCs w:val="20"/>
              </w:rPr>
              <w:t>4</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86780D4">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5C61C4F">
            <w:pPr>
              <w:pStyle w:val="12"/>
              <w:widowControl/>
              <w:jc w:val="center"/>
              <w:rPr>
                <w:rFonts w:ascii="Times New Roman" w:hAnsi="Times New Roman"/>
              </w:rPr>
            </w:pPr>
            <w:r>
              <w:rPr>
                <w:rFonts w:ascii="Times New Roman" w:hAnsi="Times New Roman" w:cs="Times New Roman"/>
                <w:color w:val="000000"/>
                <w:sz w:val="20"/>
                <w:szCs w:val="20"/>
              </w:rPr>
              <w:t>4.0%</w:t>
            </w:r>
          </w:p>
        </w:tc>
      </w:tr>
      <w:tr w14:paraId="7B8FC695">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A35658A">
            <w:pPr>
              <w:pStyle w:val="12"/>
              <w:widowControl/>
              <w:rPr>
                <w:rFonts w:ascii="Times New Roman" w:hAnsi="Times New Roman"/>
              </w:rPr>
            </w:pPr>
            <w:r>
              <w:rPr>
                <w:rFonts w:ascii="Times New Roman" w:hAnsi="Times New Roman" w:cs="Times New Roman"/>
                <w:color w:val="000000"/>
                <w:sz w:val="20"/>
                <w:szCs w:val="20"/>
              </w:rPr>
              <w:t>PBK,TTK,OGN</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D85470F">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D03E1D2">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8FAE0D2">
            <w:pPr>
              <w:pStyle w:val="12"/>
              <w:widowControl/>
              <w:jc w:val="center"/>
              <w:rPr>
                <w:rFonts w:ascii="Times New Roman" w:hAnsi="Times New Roman"/>
              </w:rPr>
            </w:pPr>
            <w:r>
              <w:rPr>
                <w:rFonts w:ascii="Times New Roman" w:hAnsi="Times New Roman" w:cs="Times New Roman"/>
                <w:color w:val="000000"/>
                <w:sz w:val="20"/>
                <w:szCs w:val="20"/>
              </w:rPr>
              <w:t>4.0%</w:t>
            </w:r>
          </w:p>
        </w:tc>
      </w:tr>
      <w:tr w14:paraId="73FBC337">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5C22A5A">
            <w:pPr>
              <w:pStyle w:val="12"/>
              <w:widowControl/>
              <w:rPr>
                <w:rFonts w:ascii="Times New Roman" w:hAnsi="Times New Roman"/>
              </w:rPr>
            </w:pPr>
            <w:r>
              <w:rPr>
                <w:rFonts w:ascii="Times New Roman" w:hAnsi="Times New Roman" w:cs="Times New Roman"/>
                <w:color w:val="000000"/>
                <w:sz w:val="20"/>
                <w:szCs w:val="20"/>
              </w:rPr>
              <w:t>ECT2,PBK,ABCA8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4DFB203">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4BCE578">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DBC1844">
            <w:pPr>
              <w:pStyle w:val="12"/>
              <w:widowControl/>
              <w:jc w:val="center"/>
              <w:rPr>
                <w:rFonts w:ascii="Times New Roman" w:hAnsi="Times New Roman"/>
              </w:rPr>
            </w:pPr>
            <w:r>
              <w:rPr>
                <w:rFonts w:ascii="Times New Roman" w:hAnsi="Times New Roman" w:cs="Times New Roman"/>
                <w:color w:val="000000"/>
                <w:sz w:val="20"/>
                <w:szCs w:val="20"/>
              </w:rPr>
              <w:t>4.0%</w:t>
            </w:r>
          </w:p>
        </w:tc>
      </w:tr>
      <w:tr w14:paraId="34ABE50E">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C7CFF02">
            <w:pPr>
              <w:pStyle w:val="12"/>
              <w:widowControl/>
              <w:rPr>
                <w:rFonts w:ascii="Times New Roman" w:hAnsi="Times New Roman"/>
              </w:rPr>
            </w:pPr>
            <w:r>
              <w:rPr>
                <w:rFonts w:ascii="Times New Roman" w:hAnsi="Times New Roman" w:cs="Times New Roman"/>
                <w:color w:val="000000"/>
                <w:sz w:val="20"/>
                <w:szCs w:val="20"/>
              </w:rPr>
              <w:t>DTL,MAL,TNC,ABCA8,EPB41L3</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24FA41B">
            <w:pPr>
              <w:pStyle w:val="12"/>
              <w:widowControl/>
              <w:jc w:val="center"/>
              <w:rPr>
                <w:rFonts w:ascii="Times New Roman" w:hAnsi="Times New Roman"/>
              </w:rPr>
            </w:pPr>
            <w:r>
              <w:rPr>
                <w:rFonts w:ascii="Times New Roman" w:hAnsi="Times New Roman" w:cs="Times New Roman"/>
                <w:color w:val="000000"/>
                <w:sz w:val="20"/>
                <w:szCs w:val="20"/>
              </w:rPr>
              <w:t>5</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4575203">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4F20B64">
            <w:pPr>
              <w:pStyle w:val="12"/>
              <w:widowControl/>
              <w:jc w:val="center"/>
              <w:rPr>
                <w:rFonts w:ascii="Times New Roman" w:hAnsi="Times New Roman"/>
              </w:rPr>
            </w:pPr>
            <w:r>
              <w:rPr>
                <w:rFonts w:ascii="Times New Roman" w:hAnsi="Times New Roman" w:cs="Times New Roman"/>
                <w:color w:val="000000"/>
                <w:sz w:val="20"/>
                <w:szCs w:val="20"/>
              </w:rPr>
              <w:t>2.0%</w:t>
            </w:r>
          </w:p>
        </w:tc>
      </w:tr>
      <w:tr w14:paraId="13E549FB">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17F08E0">
            <w:pPr>
              <w:pStyle w:val="12"/>
              <w:widowControl/>
              <w:rPr>
                <w:rFonts w:ascii="Times New Roman" w:hAnsi="Times New Roman"/>
              </w:rPr>
            </w:pPr>
            <w:r>
              <w:rPr>
                <w:rFonts w:ascii="Times New Roman" w:hAnsi="Times New Roman" w:cs="Times New Roman"/>
                <w:color w:val="000000"/>
                <w:sz w:val="20"/>
                <w:szCs w:val="20"/>
              </w:rPr>
              <w:t>BUB1B,CHGB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1845B75">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DB5686E">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373FE09">
            <w:pPr>
              <w:pStyle w:val="12"/>
              <w:widowControl/>
              <w:jc w:val="center"/>
              <w:rPr>
                <w:rFonts w:ascii="Times New Roman" w:hAnsi="Times New Roman"/>
              </w:rPr>
            </w:pPr>
            <w:r>
              <w:rPr>
                <w:rFonts w:ascii="Times New Roman" w:hAnsi="Times New Roman" w:cs="Times New Roman"/>
                <w:color w:val="000000"/>
                <w:sz w:val="20"/>
                <w:szCs w:val="20"/>
              </w:rPr>
              <w:t>2.0%</w:t>
            </w:r>
          </w:p>
        </w:tc>
      </w:tr>
      <w:tr w14:paraId="57833FC6">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E53EA30">
            <w:pPr>
              <w:pStyle w:val="12"/>
              <w:widowControl/>
              <w:rPr>
                <w:rFonts w:ascii="Times New Roman" w:hAnsi="Times New Roman"/>
              </w:rPr>
            </w:pPr>
            <w:r>
              <w:rPr>
                <w:rFonts w:ascii="Times New Roman" w:hAnsi="Times New Roman" w:cs="Times New Roman"/>
                <w:color w:val="000000"/>
                <w:sz w:val="20"/>
                <w:szCs w:val="20"/>
              </w:rPr>
              <w:t>DTL,PODNL1,CHGB,PGR</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44C22A1">
            <w:pPr>
              <w:pStyle w:val="12"/>
              <w:widowControl/>
              <w:jc w:val="center"/>
              <w:rPr>
                <w:rFonts w:ascii="Times New Roman" w:hAnsi="Times New Roman"/>
              </w:rPr>
            </w:pPr>
            <w:r>
              <w:rPr>
                <w:rFonts w:ascii="Times New Roman" w:hAnsi="Times New Roman" w:cs="Times New Roman"/>
                <w:color w:val="000000"/>
                <w:sz w:val="20"/>
                <w:szCs w:val="20"/>
              </w:rPr>
              <w:t>4</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7D9699C">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AB54776">
            <w:pPr>
              <w:pStyle w:val="12"/>
              <w:widowControl/>
              <w:jc w:val="center"/>
              <w:rPr>
                <w:rFonts w:ascii="Times New Roman" w:hAnsi="Times New Roman"/>
              </w:rPr>
            </w:pPr>
            <w:r>
              <w:rPr>
                <w:rFonts w:ascii="Times New Roman" w:hAnsi="Times New Roman" w:cs="Times New Roman"/>
                <w:color w:val="000000"/>
                <w:sz w:val="20"/>
                <w:szCs w:val="20"/>
              </w:rPr>
              <w:t>2.0%</w:t>
            </w:r>
          </w:p>
        </w:tc>
      </w:tr>
      <w:tr w14:paraId="732DDA74">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1327AD3">
            <w:pPr>
              <w:pStyle w:val="12"/>
              <w:widowControl/>
              <w:rPr>
                <w:rFonts w:ascii="Times New Roman" w:hAnsi="Times New Roman"/>
              </w:rPr>
            </w:pPr>
            <w:r>
              <w:rPr>
                <w:rFonts w:ascii="Times New Roman" w:hAnsi="Times New Roman" w:cs="Times New Roman"/>
                <w:color w:val="000000"/>
                <w:sz w:val="20"/>
                <w:szCs w:val="20"/>
              </w:rPr>
              <w:t>NCAPD2,CHGB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89EE012">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206F033">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F39B050">
            <w:pPr>
              <w:pStyle w:val="12"/>
              <w:widowControl/>
              <w:jc w:val="center"/>
              <w:rPr>
                <w:rFonts w:ascii="Times New Roman" w:hAnsi="Times New Roman"/>
              </w:rPr>
            </w:pPr>
            <w:r>
              <w:rPr>
                <w:rFonts w:ascii="Times New Roman" w:hAnsi="Times New Roman" w:cs="Times New Roman"/>
                <w:color w:val="000000"/>
                <w:sz w:val="20"/>
                <w:szCs w:val="20"/>
              </w:rPr>
              <w:t>2.0%</w:t>
            </w:r>
          </w:p>
        </w:tc>
      </w:tr>
      <w:tr w14:paraId="485F43B8">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1229BD6">
            <w:pPr>
              <w:pStyle w:val="12"/>
              <w:widowControl/>
              <w:rPr>
                <w:rFonts w:ascii="Times New Roman" w:hAnsi="Times New Roman"/>
              </w:rPr>
            </w:pPr>
            <w:r>
              <w:rPr>
                <w:rFonts w:ascii="Times New Roman" w:hAnsi="Times New Roman" w:cs="Times New Roman"/>
                <w:color w:val="000000"/>
                <w:sz w:val="20"/>
                <w:szCs w:val="20"/>
              </w:rPr>
              <w:t>DTL,NCAPD2,TSPAN8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7C138C8">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AAC3AE7">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C5C9F7D">
            <w:pPr>
              <w:pStyle w:val="12"/>
              <w:widowControl/>
              <w:jc w:val="center"/>
              <w:rPr>
                <w:rFonts w:ascii="Times New Roman" w:hAnsi="Times New Roman"/>
              </w:rPr>
            </w:pPr>
            <w:r>
              <w:rPr>
                <w:rFonts w:ascii="Times New Roman" w:hAnsi="Times New Roman" w:cs="Times New Roman"/>
                <w:color w:val="000000"/>
                <w:sz w:val="20"/>
                <w:szCs w:val="20"/>
              </w:rPr>
              <w:t>2.0%</w:t>
            </w:r>
          </w:p>
        </w:tc>
      </w:tr>
      <w:tr w14:paraId="207C0BF8">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9B5C45C">
            <w:pPr>
              <w:pStyle w:val="12"/>
              <w:widowControl/>
              <w:rPr>
                <w:rFonts w:ascii="Times New Roman" w:hAnsi="Times New Roman"/>
              </w:rPr>
            </w:pPr>
            <w:r>
              <w:rPr>
                <w:rFonts w:ascii="Times New Roman" w:hAnsi="Times New Roman" w:cs="Times New Roman"/>
                <w:color w:val="000000"/>
                <w:sz w:val="20"/>
                <w:szCs w:val="20"/>
              </w:rPr>
              <w:t>APLP1,DTL,PYCR1,CHGB,CNN1</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D3AC116">
            <w:pPr>
              <w:pStyle w:val="12"/>
              <w:widowControl/>
              <w:jc w:val="center"/>
              <w:rPr>
                <w:rFonts w:ascii="Times New Roman" w:hAnsi="Times New Roman"/>
              </w:rPr>
            </w:pPr>
            <w:r>
              <w:rPr>
                <w:rFonts w:ascii="Times New Roman" w:hAnsi="Times New Roman" w:cs="Times New Roman"/>
                <w:color w:val="000000"/>
                <w:sz w:val="20"/>
                <w:szCs w:val="20"/>
              </w:rPr>
              <w:t>5</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20E1D4A">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28697D8">
            <w:pPr>
              <w:pStyle w:val="12"/>
              <w:widowControl/>
              <w:jc w:val="center"/>
              <w:rPr>
                <w:rFonts w:ascii="Times New Roman" w:hAnsi="Times New Roman"/>
              </w:rPr>
            </w:pPr>
            <w:r>
              <w:rPr>
                <w:rFonts w:ascii="Times New Roman" w:hAnsi="Times New Roman" w:cs="Times New Roman"/>
                <w:color w:val="000000"/>
                <w:sz w:val="20"/>
                <w:szCs w:val="20"/>
              </w:rPr>
              <w:t>2.0%</w:t>
            </w:r>
          </w:p>
        </w:tc>
      </w:tr>
      <w:tr w14:paraId="05F43C50">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1E3DC0B">
            <w:pPr>
              <w:pStyle w:val="12"/>
              <w:widowControl/>
              <w:rPr>
                <w:rFonts w:ascii="Times New Roman" w:hAnsi="Times New Roman"/>
              </w:rPr>
            </w:pPr>
            <w:r>
              <w:rPr>
                <w:rFonts w:ascii="Times New Roman" w:hAnsi="Times New Roman" w:cs="Times New Roman"/>
                <w:color w:val="000000"/>
                <w:sz w:val="20"/>
                <w:szCs w:val="20"/>
              </w:rPr>
              <w:t>FOXM1,TNC,ADH1B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D7D7F9E">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295A046">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1326909">
            <w:pPr>
              <w:pStyle w:val="12"/>
              <w:widowControl/>
              <w:jc w:val="center"/>
              <w:rPr>
                <w:rFonts w:ascii="Times New Roman" w:hAnsi="Times New Roman"/>
              </w:rPr>
            </w:pPr>
            <w:r>
              <w:rPr>
                <w:rFonts w:ascii="Times New Roman" w:hAnsi="Times New Roman" w:cs="Times New Roman"/>
                <w:color w:val="000000"/>
                <w:sz w:val="20"/>
                <w:szCs w:val="20"/>
              </w:rPr>
              <w:t>2.0%</w:t>
            </w:r>
          </w:p>
        </w:tc>
      </w:tr>
      <w:tr w14:paraId="3628A0BF">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5BA8BD4">
            <w:pPr>
              <w:pStyle w:val="12"/>
              <w:widowControl/>
              <w:rPr>
                <w:rFonts w:ascii="Times New Roman" w:hAnsi="Times New Roman"/>
              </w:rPr>
            </w:pPr>
            <w:r>
              <w:rPr>
                <w:rFonts w:ascii="Times New Roman" w:hAnsi="Times New Roman" w:cs="Times New Roman"/>
                <w:color w:val="000000"/>
                <w:sz w:val="20"/>
                <w:szCs w:val="20"/>
              </w:rPr>
              <w:t>MRPL19,CHGB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092FCEB">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1FDA715">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AFF7B43">
            <w:pPr>
              <w:pStyle w:val="12"/>
              <w:widowControl/>
              <w:jc w:val="center"/>
              <w:rPr>
                <w:rFonts w:ascii="Times New Roman" w:hAnsi="Times New Roman"/>
              </w:rPr>
            </w:pPr>
            <w:r>
              <w:rPr>
                <w:rFonts w:ascii="Times New Roman" w:hAnsi="Times New Roman" w:cs="Times New Roman"/>
                <w:color w:val="000000"/>
                <w:sz w:val="20"/>
                <w:szCs w:val="20"/>
              </w:rPr>
              <w:t>2.0%</w:t>
            </w:r>
          </w:p>
        </w:tc>
      </w:tr>
      <w:tr w14:paraId="2E1675CF">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FAB7D0D">
            <w:pPr>
              <w:pStyle w:val="12"/>
              <w:widowControl/>
              <w:rPr>
                <w:rFonts w:ascii="Times New Roman" w:hAnsi="Times New Roman"/>
              </w:rPr>
            </w:pPr>
            <w:r>
              <w:rPr>
                <w:rFonts w:ascii="Times New Roman" w:hAnsi="Times New Roman" w:cs="Times New Roman"/>
                <w:color w:val="000000"/>
                <w:sz w:val="20"/>
                <w:szCs w:val="20"/>
              </w:rPr>
              <w:t>DTL,PAK1IP1,TNC,ABCA8,EPB41L3</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0E9485F">
            <w:pPr>
              <w:pStyle w:val="12"/>
              <w:widowControl/>
              <w:jc w:val="center"/>
              <w:rPr>
                <w:rFonts w:ascii="Times New Roman" w:hAnsi="Times New Roman"/>
              </w:rPr>
            </w:pPr>
            <w:r>
              <w:rPr>
                <w:rFonts w:ascii="Times New Roman" w:hAnsi="Times New Roman" w:cs="Times New Roman"/>
                <w:color w:val="000000"/>
                <w:sz w:val="20"/>
                <w:szCs w:val="20"/>
              </w:rPr>
              <w:t>5</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08A2687">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EF4BD7F">
            <w:pPr>
              <w:pStyle w:val="12"/>
              <w:widowControl/>
              <w:jc w:val="center"/>
              <w:rPr>
                <w:rFonts w:ascii="Times New Roman" w:hAnsi="Times New Roman"/>
              </w:rPr>
            </w:pPr>
            <w:r>
              <w:rPr>
                <w:rFonts w:ascii="Times New Roman" w:hAnsi="Times New Roman" w:cs="Times New Roman"/>
                <w:color w:val="000000"/>
                <w:sz w:val="20"/>
                <w:szCs w:val="20"/>
              </w:rPr>
              <w:t>2.0%</w:t>
            </w:r>
          </w:p>
        </w:tc>
      </w:tr>
      <w:tr w14:paraId="215D616C">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EB25F07">
            <w:pPr>
              <w:pStyle w:val="12"/>
              <w:widowControl/>
              <w:rPr>
                <w:rFonts w:ascii="Times New Roman" w:hAnsi="Times New Roman"/>
              </w:rPr>
            </w:pPr>
            <w:r>
              <w:rPr>
                <w:rFonts w:ascii="Times New Roman" w:hAnsi="Times New Roman" w:cs="Times New Roman"/>
                <w:color w:val="000000"/>
                <w:sz w:val="20"/>
                <w:szCs w:val="20"/>
              </w:rPr>
              <w:t>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BF4630E">
            <w:pPr>
              <w:pStyle w:val="12"/>
              <w:widowControl/>
              <w:jc w:val="center"/>
              <w:rPr>
                <w:rFonts w:ascii="Times New Roman" w:hAnsi="Times New Roman"/>
              </w:rPr>
            </w:pPr>
            <w:r>
              <w:rPr>
                <w:rFonts w:ascii="Times New Roman" w:hAnsi="Times New Roman" w:cs="Times New Roman"/>
                <w:color w:val="000000"/>
                <w:sz w:val="20"/>
                <w:szCs w:val="20"/>
              </w:rPr>
              <w:t>1</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988C134">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E68B10F">
            <w:pPr>
              <w:pStyle w:val="12"/>
              <w:widowControl/>
              <w:jc w:val="center"/>
              <w:rPr>
                <w:rFonts w:ascii="Times New Roman" w:hAnsi="Times New Roman"/>
              </w:rPr>
            </w:pPr>
            <w:r>
              <w:rPr>
                <w:rFonts w:ascii="Times New Roman" w:hAnsi="Times New Roman" w:cs="Times New Roman"/>
                <w:color w:val="000000"/>
                <w:sz w:val="20"/>
                <w:szCs w:val="20"/>
              </w:rPr>
              <w:t>2.0%</w:t>
            </w:r>
          </w:p>
        </w:tc>
      </w:tr>
      <w:tr w14:paraId="46470298">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66F1EF7">
            <w:pPr>
              <w:pStyle w:val="12"/>
              <w:widowControl/>
              <w:rPr>
                <w:rFonts w:ascii="Times New Roman" w:hAnsi="Times New Roman"/>
              </w:rPr>
            </w:pPr>
            <w:r>
              <w:rPr>
                <w:rFonts w:ascii="Times New Roman" w:hAnsi="Times New Roman" w:cs="Times New Roman"/>
                <w:color w:val="000000"/>
                <w:sz w:val="20"/>
                <w:szCs w:val="20"/>
              </w:rPr>
              <w:t>ECT2,ABCA8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0039C15">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587ADDD">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125E821">
            <w:pPr>
              <w:pStyle w:val="12"/>
              <w:widowControl/>
              <w:jc w:val="center"/>
              <w:rPr>
                <w:rFonts w:ascii="Times New Roman" w:hAnsi="Times New Roman"/>
              </w:rPr>
            </w:pPr>
            <w:r>
              <w:rPr>
                <w:rFonts w:ascii="Times New Roman" w:hAnsi="Times New Roman" w:cs="Times New Roman"/>
                <w:color w:val="000000"/>
                <w:sz w:val="20"/>
                <w:szCs w:val="20"/>
              </w:rPr>
              <w:t>2.0%</w:t>
            </w:r>
          </w:p>
        </w:tc>
      </w:tr>
      <w:tr w14:paraId="61F0E3CA">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D3B5B6F">
            <w:pPr>
              <w:pStyle w:val="12"/>
              <w:widowControl/>
              <w:rPr>
                <w:rFonts w:ascii="Times New Roman" w:hAnsi="Times New Roman"/>
              </w:rPr>
            </w:pPr>
            <w:r>
              <w:rPr>
                <w:rFonts w:ascii="Times New Roman" w:hAnsi="Times New Roman" w:cs="Times New Roman"/>
                <w:color w:val="000000"/>
                <w:sz w:val="20"/>
                <w:szCs w:val="20"/>
              </w:rPr>
              <w:t>SMC4,NBEA</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92F7F79">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E3A301C">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9544BE8">
            <w:pPr>
              <w:pStyle w:val="12"/>
              <w:widowControl/>
              <w:jc w:val="center"/>
              <w:rPr>
                <w:rFonts w:ascii="Times New Roman" w:hAnsi="Times New Roman"/>
              </w:rPr>
            </w:pPr>
            <w:r>
              <w:rPr>
                <w:rFonts w:ascii="Times New Roman" w:hAnsi="Times New Roman" w:cs="Times New Roman"/>
                <w:color w:val="000000"/>
                <w:sz w:val="20"/>
                <w:szCs w:val="20"/>
              </w:rPr>
              <w:t>2.0%</w:t>
            </w:r>
          </w:p>
        </w:tc>
      </w:tr>
      <w:tr w14:paraId="1DEA6508">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15F946C">
            <w:pPr>
              <w:pStyle w:val="12"/>
              <w:widowControl/>
              <w:rPr>
                <w:rFonts w:ascii="Times New Roman" w:hAnsi="Times New Roman"/>
              </w:rPr>
            </w:pPr>
            <w:r>
              <w:rPr>
                <w:rFonts w:ascii="Times New Roman" w:hAnsi="Times New Roman" w:cs="Times New Roman"/>
                <w:color w:val="000000"/>
                <w:sz w:val="20"/>
                <w:szCs w:val="20"/>
              </w:rPr>
              <w:t>DTL,CHGB</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ACDDD7B">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6B6A767">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840EDA9">
            <w:pPr>
              <w:pStyle w:val="12"/>
              <w:widowControl/>
              <w:jc w:val="center"/>
              <w:rPr>
                <w:rFonts w:ascii="Times New Roman" w:hAnsi="Times New Roman"/>
              </w:rPr>
            </w:pPr>
            <w:r>
              <w:rPr>
                <w:rFonts w:ascii="Times New Roman" w:hAnsi="Times New Roman" w:cs="Times New Roman"/>
                <w:color w:val="000000"/>
                <w:sz w:val="20"/>
                <w:szCs w:val="20"/>
              </w:rPr>
              <w:t>2.0%</w:t>
            </w:r>
          </w:p>
        </w:tc>
      </w:tr>
      <w:tr w14:paraId="4FC8753F">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432A851">
            <w:pPr>
              <w:pStyle w:val="12"/>
              <w:widowControl/>
              <w:rPr>
                <w:rFonts w:ascii="Times New Roman" w:hAnsi="Times New Roman"/>
              </w:rPr>
            </w:pPr>
            <w:r>
              <w:rPr>
                <w:rFonts w:ascii="Times New Roman" w:hAnsi="Times New Roman" w:cs="Times New Roman"/>
                <w:color w:val="000000"/>
                <w:sz w:val="20"/>
                <w:szCs w:val="20"/>
              </w:rPr>
              <w:t>DTL,PODNL1,PYCR1,CCDC69,CHGB,PGR</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66FFF0B">
            <w:pPr>
              <w:pStyle w:val="12"/>
              <w:widowControl/>
              <w:jc w:val="center"/>
              <w:rPr>
                <w:rFonts w:ascii="Times New Roman" w:hAnsi="Times New Roman"/>
              </w:rPr>
            </w:pPr>
            <w:r>
              <w:rPr>
                <w:rFonts w:ascii="Times New Roman" w:hAnsi="Times New Roman" w:cs="Times New Roman"/>
                <w:color w:val="000000"/>
                <w:sz w:val="20"/>
                <w:szCs w:val="20"/>
              </w:rPr>
              <w:t>6</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1983E1B">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8938E56">
            <w:pPr>
              <w:pStyle w:val="12"/>
              <w:widowControl/>
              <w:jc w:val="center"/>
              <w:rPr>
                <w:rFonts w:ascii="Times New Roman" w:hAnsi="Times New Roman"/>
              </w:rPr>
            </w:pPr>
            <w:r>
              <w:rPr>
                <w:rFonts w:ascii="Times New Roman" w:hAnsi="Times New Roman" w:cs="Times New Roman"/>
                <w:color w:val="000000"/>
                <w:sz w:val="20"/>
                <w:szCs w:val="20"/>
              </w:rPr>
              <w:t>2.0%</w:t>
            </w:r>
          </w:p>
        </w:tc>
      </w:tr>
      <w:tr w14:paraId="20E25027">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846E367">
            <w:pPr>
              <w:pStyle w:val="12"/>
              <w:widowControl/>
              <w:rPr>
                <w:rFonts w:ascii="Times New Roman" w:hAnsi="Times New Roman"/>
              </w:rPr>
            </w:pPr>
            <w:r>
              <w:rPr>
                <w:rFonts w:ascii="Times New Roman" w:hAnsi="Times New Roman" w:cs="Times New Roman"/>
                <w:color w:val="000000"/>
                <w:sz w:val="20"/>
                <w:szCs w:val="20"/>
              </w:rPr>
              <w:t>DTL,PODNL1,ABCA8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28EC760">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A83895D">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339864F">
            <w:pPr>
              <w:pStyle w:val="12"/>
              <w:widowControl/>
              <w:jc w:val="center"/>
              <w:rPr>
                <w:rFonts w:ascii="Times New Roman" w:hAnsi="Times New Roman"/>
              </w:rPr>
            </w:pPr>
            <w:r>
              <w:rPr>
                <w:rFonts w:ascii="Times New Roman" w:hAnsi="Times New Roman" w:cs="Times New Roman"/>
                <w:color w:val="000000"/>
                <w:sz w:val="20"/>
                <w:szCs w:val="20"/>
              </w:rPr>
              <w:t>2.0%</w:t>
            </w:r>
          </w:p>
        </w:tc>
      </w:tr>
      <w:tr w14:paraId="0B74A4BB">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529BEA3">
            <w:pPr>
              <w:pStyle w:val="12"/>
              <w:widowControl/>
              <w:rPr>
                <w:rFonts w:ascii="Times New Roman" w:hAnsi="Times New Roman"/>
              </w:rPr>
            </w:pPr>
            <w:r>
              <w:rPr>
                <w:rFonts w:ascii="Times New Roman" w:hAnsi="Times New Roman" w:cs="Times New Roman"/>
                <w:color w:val="000000"/>
                <w:sz w:val="20"/>
                <w:szCs w:val="20"/>
              </w:rPr>
              <w:t>DTL,PYCR1,TNC,CHGB,CNN1,DPT,PGR</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D833E38">
            <w:pPr>
              <w:pStyle w:val="12"/>
              <w:widowControl/>
              <w:jc w:val="center"/>
              <w:rPr>
                <w:rFonts w:ascii="Times New Roman" w:hAnsi="Times New Roman"/>
              </w:rPr>
            </w:pPr>
            <w:r>
              <w:rPr>
                <w:rFonts w:ascii="Times New Roman" w:hAnsi="Times New Roman" w:cs="Times New Roman"/>
                <w:color w:val="000000"/>
                <w:sz w:val="20"/>
                <w:szCs w:val="20"/>
              </w:rPr>
              <w:t>7</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EF6BD5D">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ACB7C84">
            <w:pPr>
              <w:pStyle w:val="12"/>
              <w:widowControl/>
              <w:jc w:val="center"/>
              <w:rPr>
                <w:rFonts w:ascii="Times New Roman" w:hAnsi="Times New Roman"/>
              </w:rPr>
            </w:pPr>
            <w:r>
              <w:rPr>
                <w:rFonts w:ascii="Times New Roman" w:hAnsi="Times New Roman" w:cs="Times New Roman"/>
                <w:color w:val="000000"/>
                <w:sz w:val="20"/>
                <w:szCs w:val="20"/>
              </w:rPr>
              <w:t>2.0%</w:t>
            </w:r>
          </w:p>
        </w:tc>
      </w:tr>
      <w:tr w14:paraId="1AA92E22">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4E04612">
            <w:pPr>
              <w:pStyle w:val="12"/>
              <w:widowControl/>
              <w:rPr>
                <w:rFonts w:ascii="Times New Roman" w:hAnsi="Times New Roman"/>
              </w:rPr>
            </w:pPr>
            <w:r>
              <w:rPr>
                <w:rFonts w:ascii="Times New Roman" w:hAnsi="Times New Roman" w:cs="Times New Roman"/>
                <w:color w:val="000000"/>
                <w:sz w:val="20"/>
                <w:szCs w:val="20"/>
              </w:rPr>
              <w:t>GLDC,TTK,ABCA8</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AECD37D">
            <w:pPr>
              <w:pStyle w:val="12"/>
              <w:widowControl/>
              <w:jc w:val="center"/>
              <w:rPr>
                <w:rFonts w:ascii="Times New Roman" w:hAnsi="Times New Roman"/>
              </w:rPr>
            </w:pPr>
            <w:r>
              <w:rPr>
                <w:rFonts w:ascii="Times New Roman" w:hAnsi="Times New Roman" w:cs="Times New Roman"/>
                <w:color w:val="000000"/>
                <w:sz w:val="20"/>
                <w:szCs w:val="20"/>
              </w:rPr>
              <w:t>3</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A7A5007">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15D12DA">
            <w:pPr>
              <w:pStyle w:val="12"/>
              <w:widowControl/>
              <w:jc w:val="center"/>
              <w:rPr>
                <w:rFonts w:ascii="Times New Roman" w:hAnsi="Times New Roman"/>
              </w:rPr>
            </w:pPr>
            <w:r>
              <w:rPr>
                <w:rFonts w:ascii="Times New Roman" w:hAnsi="Times New Roman" w:cs="Times New Roman"/>
                <w:color w:val="000000"/>
                <w:sz w:val="20"/>
                <w:szCs w:val="20"/>
              </w:rPr>
              <w:t>2.0%</w:t>
            </w:r>
          </w:p>
        </w:tc>
      </w:tr>
      <w:tr w14:paraId="1F0FA140">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75B886B">
            <w:pPr>
              <w:pStyle w:val="12"/>
              <w:widowControl/>
              <w:rPr>
                <w:rFonts w:ascii="Times New Roman" w:hAnsi="Times New Roman"/>
              </w:rPr>
            </w:pPr>
            <w:r>
              <w:rPr>
                <w:rFonts w:ascii="Times New Roman" w:hAnsi="Times New Roman" w:cs="Times New Roman"/>
                <w:color w:val="000000"/>
                <w:sz w:val="20"/>
                <w:szCs w:val="20"/>
              </w:rPr>
              <w:t>ASPM,C1orf106,TTK,ABCA8,OGN</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D8D684F">
            <w:pPr>
              <w:pStyle w:val="12"/>
              <w:widowControl/>
              <w:jc w:val="center"/>
              <w:rPr>
                <w:rFonts w:ascii="Times New Roman" w:hAnsi="Times New Roman"/>
              </w:rPr>
            </w:pPr>
            <w:r>
              <w:rPr>
                <w:rFonts w:ascii="Times New Roman" w:hAnsi="Times New Roman" w:cs="Times New Roman"/>
                <w:color w:val="000000"/>
                <w:sz w:val="20"/>
                <w:szCs w:val="20"/>
              </w:rPr>
              <w:t>5</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74E766B4">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6C5BF695">
            <w:pPr>
              <w:pStyle w:val="12"/>
              <w:widowControl/>
              <w:jc w:val="center"/>
              <w:rPr>
                <w:rFonts w:ascii="Times New Roman" w:hAnsi="Times New Roman"/>
              </w:rPr>
            </w:pPr>
            <w:r>
              <w:rPr>
                <w:rFonts w:ascii="Times New Roman" w:hAnsi="Times New Roman" w:cs="Times New Roman"/>
                <w:color w:val="000000"/>
                <w:sz w:val="20"/>
                <w:szCs w:val="20"/>
              </w:rPr>
              <w:t>2.0%</w:t>
            </w:r>
          </w:p>
        </w:tc>
      </w:tr>
      <w:tr w14:paraId="7C2DBA65">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35A9D61D">
            <w:pPr>
              <w:pStyle w:val="12"/>
              <w:widowControl/>
              <w:rPr>
                <w:rFonts w:ascii="Times New Roman" w:hAnsi="Times New Roman"/>
              </w:rPr>
            </w:pPr>
            <w:r>
              <w:rPr>
                <w:rFonts w:ascii="Times New Roman" w:hAnsi="Times New Roman" w:cs="Times New Roman"/>
                <w:color w:val="000000"/>
                <w:sz w:val="20"/>
                <w:szCs w:val="20"/>
              </w:rPr>
              <w:t>TTK,ABCB1</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4F87E369">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B2C1AEC">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5611992A">
            <w:pPr>
              <w:pStyle w:val="12"/>
              <w:widowControl/>
              <w:jc w:val="center"/>
              <w:rPr>
                <w:rFonts w:ascii="Times New Roman" w:hAnsi="Times New Roman"/>
              </w:rPr>
            </w:pPr>
            <w:r>
              <w:rPr>
                <w:rFonts w:ascii="Times New Roman" w:hAnsi="Times New Roman" w:cs="Times New Roman"/>
                <w:color w:val="000000"/>
                <w:sz w:val="20"/>
                <w:szCs w:val="20"/>
              </w:rPr>
              <w:t>2.0%</w:t>
            </w:r>
          </w:p>
        </w:tc>
      </w:tr>
      <w:tr w14:paraId="68448254">
        <w:tblPrEx>
          <w:tblCellMar>
            <w:top w:w="0" w:type="dxa"/>
            <w:left w:w="0" w:type="dxa"/>
            <w:bottom w:w="0" w:type="dxa"/>
            <w:right w:w="0" w:type="dxa"/>
          </w:tblCellMar>
        </w:tblPrEx>
        <w:trPr>
          <w:trHeight w:val="260" w:hRule="atLeast"/>
        </w:trPr>
        <w:tc>
          <w:tcPr>
            <w:tcW w:w="3975"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154A23E">
            <w:pPr>
              <w:pStyle w:val="12"/>
              <w:widowControl/>
              <w:rPr>
                <w:rFonts w:ascii="Times New Roman" w:hAnsi="Times New Roman"/>
              </w:rPr>
            </w:pPr>
            <w:r>
              <w:rPr>
                <w:rFonts w:ascii="Times New Roman" w:hAnsi="Times New Roman" w:cs="Times New Roman"/>
                <w:color w:val="000000"/>
                <w:sz w:val="20"/>
                <w:szCs w:val="20"/>
              </w:rPr>
              <w:t>CHGB,PGR</w:t>
            </w:r>
          </w:p>
        </w:tc>
        <w:tc>
          <w:tcPr>
            <w:tcW w:w="1628"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26E0C738">
            <w:pPr>
              <w:pStyle w:val="12"/>
              <w:widowControl/>
              <w:jc w:val="center"/>
              <w:rPr>
                <w:rFonts w:ascii="Times New Roman" w:hAnsi="Times New Roman"/>
              </w:rPr>
            </w:pPr>
            <w:r>
              <w:rPr>
                <w:rFonts w:ascii="Times New Roman" w:hAnsi="Times New Roman" w:cs="Times New Roman"/>
                <w:color w:val="000000"/>
                <w:sz w:val="20"/>
                <w:szCs w:val="20"/>
              </w:rPr>
              <w:t>2</w:t>
            </w:r>
          </w:p>
        </w:tc>
        <w:tc>
          <w:tcPr>
            <w:tcW w:w="1116"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184766A5">
            <w:pPr>
              <w:pStyle w:val="12"/>
              <w:widowControl/>
              <w:jc w:val="center"/>
              <w:rPr>
                <w:rFonts w:ascii="Times New Roman" w:hAnsi="Times New Roman"/>
              </w:rPr>
            </w:pPr>
            <w:r>
              <w:rPr>
                <w:rFonts w:ascii="Times New Roman" w:hAnsi="Times New Roman" w:cs="Times New Roman"/>
                <w:color w:val="000000"/>
                <w:sz w:val="20"/>
                <w:szCs w:val="20"/>
              </w:rPr>
              <w:t>1</w:t>
            </w:r>
          </w:p>
        </w:tc>
        <w:tc>
          <w:tcPr>
            <w:tcW w:w="2181" w:type="dxa"/>
            <w:tcBorders>
              <w:top w:val="single" w:color="000000" w:sz="6" w:space="0"/>
              <w:left w:val="single" w:color="000000" w:sz="6" w:space="0"/>
              <w:bottom w:val="single" w:color="000000" w:sz="6" w:space="0"/>
            </w:tcBorders>
            <w:shd w:val="clear" w:color="auto" w:fill="auto"/>
            <w:tcMar>
              <w:top w:w="15" w:type="dxa"/>
              <w:left w:w="15" w:type="dxa"/>
              <w:bottom w:w="72" w:type="dxa"/>
              <w:right w:w="15" w:type="dxa"/>
            </w:tcMar>
            <w:vAlign w:val="center"/>
          </w:tcPr>
          <w:p w14:paraId="063988DF">
            <w:pPr>
              <w:pStyle w:val="12"/>
              <w:widowControl/>
              <w:jc w:val="center"/>
              <w:rPr>
                <w:rFonts w:ascii="Times New Roman" w:hAnsi="Times New Roman"/>
              </w:rPr>
            </w:pPr>
            <w:r>
              <w:rPr>
                <w:rFonts w:ascii="Times New Roman" w:hAnsi="Times New Roman" w:cs="Times New Roman"/>
                <w:color w:val="000000"/>
                <w:sz w:val="20"/>
                <w:szCs w:val="20"/>
              </w:rPr>
              <w:t>2.0%</w:t>
            </w:r>
          </w:p>
        </w:tc>
      </w:tr>
    </w:tbl>
    <w:p w14:paraId="2748B243">
      <w:pPr>
        <w:spacing w:line="360" w:lineRule="auto"/>
      </w:pPr>
    </w:p>
    <w:p w14:paraId="2AEB7920">
      <w:r>
        <w:br w:type="page"/>
      </w:r>
    </w:p>
    <w:p w14:paraId="269290BA">
      <w:pPr>
        <w:spacing w:line="360" w:lineRule="auto"/>
      </w:pPr>
      <w:r>
        <w:drawing>
          <wp:inline distT="0" distB="0" distL="114300" distR="114300">
            <wp:extent cx="5274310" cy="2290445"/>
            <wp:effectExtent l="0" t="0" r="2540" b="146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274310" cy="2290445"/>
                    </a:xfrm>
                    <a:prstGeom prst="rect">
                      <a:avLst/>
                    </a:prstGeom>
                    <a:noFill/>
                    <a:ln>
                      <a:noFill/>
                    </a:ln>
                  </pic:spPr>
                </pic:pic>
              </a:graphicData>
            </a:graphic>
          </wp:inline>
        </w:drawing>
      </w:r>
    </w:p>
    <w:p w14:paraId="5FC6E9B7">
      <w:pPr>
        <w:spacing w:line="360" w:lineRule="auto"/>
      </w:pPr>
    </w:p>
    <w:p w14:paraId="6D00E985">
      <w:pPr>
        <w:spacing w:line="360" w:lineRule="auto"/>
        <w:rPr>
          <w:rFonts w:ascii="Times New Roman" w:hAnsi="Times New Roman" w:cs="Times New Roman"/>
          <w:bCs/>
          <w:sz w:val="22"/>
        </w:rPr>
      </w:pPr>
      <w:r>
        <w:rPr>
          <w:rFonts w:hint="eastAsia" w:ascii="Times New Roman" w:hAnsi="Times New Roman" w:cs="Times New Roman"/>
          <w:b/>
          <w:sz w:val="22"/>
        </w:rPr>
        <w:t xml:space="preserve">Supplementary Figure 1. Performance evaluation of KCP. </w:t>
      </w:r>
      <w:r>
        <w:rPr>
          <w:rFonts w:hint="eastAsia" w:ascii="Times New Roman" w:hAnsi="Times New Roman" w:cs="Times New Roman"/>
          <w:bCs/>
          <w:sz w:val="22"/>
        </w:rPr>
        <w:t>AUROC and AUPRC of KCP in the Discovery Set I and II, respectively.</w:t>
      </w:r>
    </w:p>
    <w:p w14:paraId="570B7D90">
      <w:pPr>
        <w:rPr>
          <w:rFonts w:ascii="Times New Roman" w:hAnsi="Times New Roman" w:cs="Times New Roman"/>
          <w:bCs/>
          <w:sz w:val="22"/>
        </w:rPr>
      </w:pPr>
      <w:r>
        <w:rPr>
          <w:rFonts w:hint="eastAsia" w:ascii="Times New Roman" w:hAnsi="Times New Roman" w:cs="Times New Roman"/>
          <w:bCs/>
          <w:sz w:val="22"/>
        </w:rPr>
        <w:br w:type="page"/>
      </w:r>
    </w:p>
    <w:p w14:paraId="6EDCED07">
      <w:pPr>
        <w:spacing w:line="360" w:lineRule="auto"/>
        <w:rPr>
          <w:rFonts w:ascii="Times New Roman" w:hAnsi="Times New Roman" w:cs="Times New Roman"/>
          <w:bCs/>
          <w:sz w:val="22"/>
        </w:rPr>
      </w:pPr>
    </w:p>
    <w:p w14:paraId="2C7E1F14">
      <w:pPr>
        <w:spacing w:line="360" w:lineRule="auto"/>
      </w:pPr>
      <w:r>
        <w:drawing>
          <wp:inline distT="0" distB="0" distL="114300" distR="114300">
            <wp:extent cx="5272405" cy="2603500"/>
            <wp:effectExtent l="0" t="0" r="4445" b="6350"/>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7"/>
                    <a:stretch>
                      <a:fillRect/>
                    </a:stretch>
                  </pic:blipFill>
                  <pic:spPr>
                    <a:xfrm>
                      <a:off x="0" y="0"/>
                      <a:ext cx="5272405" cy="2603500"/>
                    </a:xfrm>
                    <a:prstGeom prst="rect">
                      <a:avLst/>
                    </a:prstGeom>
                    <a:noFill/>
                    <a:ln>
                      <a:noFill/>
                    </a:ln>
                  </pic:spPr>
                </pic:pic>
              </a:graphicData>
            </a:graphic>
          </wp:inline>
        </w:drawing>
      </w:r>
    </w:p>
    <w:p w14:paraId="7D7B0DB7">
      <w:pPr>
        <w:spacing w:line="360" w:lineRule="auto"/>
        <w:rPr>
          <w:rFonts w:ascii="Times New Roman" w:hAnsi="Times New Roman" w:cs="楷体"/>
          <w:b/>
          <w:sz w:val="22"/>
        </w:rPr>
      </w:pPr>
      <w:r>
        <w:rPr>
          <w:rFonts w:hint="eastAsia" w:ascii="Times New Roman" w:hAnsi="Times New Roman" w:cs="楷体"/>
          <w:b/>
          <w:sz w:val="22"/>
        </w:rPr>
        <w:t xml:space="preserve">Supplementary Figure 2. PAGE plot of KIF20A and CHGB in the external validation sets. </w:t>
      </w:r>
      <w:r>
        <w:rPr>
          <w:rFonts w:hint="eastAsia" w:ascii="Times New Roman" w:hAnsi="Times New Roman" w:cs="楷体"/>
          <w:bCs/>
          <w:sz w:val="22"/>
        </w:rPr>
        <w:t>X axis and Y axis represent the ranking of KIF20A and CHGB, respectively, between the HGSOC (orange) and normal (blue) samples.</w:t>
      </w:r>
    </w:p>
    <w:p w14:paraId="74CA224F">
      <w:pPr>
        <w:spacing w:line="360" w:lineRule="auto"/>
      </w:pPr>
      <w:r>
        <w:drawing>
          <wp:inline distT="0" distB="0" distL="0" distR="0">
            <wp:extent cx="5274310" cy="6764655"/>
            <wp:effectExtent l="0" t="0" r="0" b="0"/>
            <wp:docPr id="398"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7"/>
                    <pic:cNvPicPr>
                      <a:picLocks noChangeAspect="1"/>
                    </pic:cNvPicPr>
                  </pic:nvPicPr>
                  <pic:blipFill>
                    <a:blip r:embed="rId8"/>
                    <a:stretch>
                      <a:fillRect/>
                    </a:stretch>
                  </pic:blipFill>
                  <pic:spPr>
                    <a:xfrm>
                      <a:off x="0" y="0"/>
                      <a:ext cx="5274310" cy="6764655"/>
                    </a:xfrm>
                    <a:prstGeom prst="rect">
                      <a:avLst/>
                    </a:prstGeom>
                  </pic:spPr>
                </pic:pic>
              </a:graphicData>
            </a:graphic>
          </wp:inline>
        </w:drawing>
      </w:r>
    </w:p>
    <w:p w14:paraId="09932238">
      <w:pPr>
        <w:spacing w:line="360" w:lineRule="auto"/>
        <w:rPr>
          <w:rFonts w:ascii="Times New Roman" w:hAnsi="Times New Roman" w:cs="Times New Roman"/>
          <w:bCs/>
          <w:color w:val="0070C0"/>
          <w:sz w:val="22"/>
        </w:rPr>
      </w:pPr>
      <w:r>
        <w:rPr>
          <w:rFonts w:hint="eastAsia" w:ascii="Times New Roman" w:hAnsi="Times New Roman" w:cs="Times New Roman"/>
          <w:b/>
          <w:color w:val="0070C0"/>
          <w:sz w:val="22"/>
        </w:rPr>
        <w:t xml:space="preserve">Supplementary Figure 3. The effect of KIF20A and CHGB knockdown combined with drugs on chemotherapy sensitivity of ovarian cancer cells. </w:t>
      </w:r>
      <w:r>
        <w:rPr>
          <w:rFonts w:hint="eastAsia" w:ascii="Times New Roman" w:hAnsi="Times New Roman" w:cs="Times New Roman"/>
          <w:bCs/>
          <w:color w:val="0070C0"/>
          <w:sz w:val="22"/>
        </w:rPr>
        <w:t xml:space="preserve">(A) Effect of different concentrations of Paclitaxel, Gemcitabine, Docetaxel, and Olaparib on cell viability in two ovarian cancer cell lines before and after siKIF20A and siCHGB treatment. (B) Synergy score plot for siKIF20A and siCHGB combined with Paclitaxel, Gemcitabine, Docetaxel, and Olaparib in the two ovarian cancer cell lines. </w:t>
      </w:r>
    </w:p>
    <w:p w14:paraId="6C947903">
      <w:pPr>
        <w:spacing w:line="360" w:lineRule="auto"/>
        <w:rPr>
          <w:sz w:val="22"/>
        </w:rPr>
      </w:pPr>
    </w:p>
    <w:p w14:paraId="16F34A8C">
      <w:pPr>
        <w:spacing w:line="360" w:lineRule="auto"/>
        <w:jc w:val="center"/>
      </w:pPr>
      <w:r>
        <w:drawing>
          <wp:inline distT="0" distB="0" distL="114300" distR="114300">
            <wp:extent cx="5269865" cy="1964055"/>
            <wp:effectExtent l="0" t="0" r="698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269865" cy="1964055"/>
                    </a:xfrm>
                    <a:prstGeom prst="rect">
                      <a:avLst/>
                    </a:prstGeom>
                    <a:noFill/>
                    <a:ln>
                      <a:noFill/>
                    </a:ln>
                  </pic:spPr>
                </pic:pic>
              </a:graphicData>
            </a:graphic>
          </wp:inline>
        </w:drawing>
      </w:r>
    </w:p>
    <w:p w14:paraId="0E7FAA6A">
      <w:pPr>
        <w:spacing w:line="360" w:lineRule="auto"/>
        <w:rPr>
          <w:rFonts w:ascii="Times New Roman" w:hAnsi="Times New Roman" w:cs="Times New Roman"/>
          <w:color w:val="0070C0"/>
          <w:sz w:val="22"/>
        </w:rPr>
      </w:pPr>
      <w:r>
        <w:rPr>
          <w:rFonts w:ascii="Times New Roman" w:hAnsi="Times New Roman" w:eastAsia="Segoe UI" w:cs="Times New Roman"/>
          <w:b/>
          <w:bCs/>
          <w:color w:val="000000" w:themeColor="text1"/>
          <w:sz w:val="22"/>
          <w:shd w:val="clear" w:color="auto" w:fill="FFFFFF"/>
          <w14:textFill>
            <w14:solidFill>
              <w14:schemeClr w14:val="tx1"/>
            </w14:solidFill>
          </w14:textFill>
        </w:rPr>
        <w:t>Supplementary Figure 4. Kaplan</w:t>
      </w:r>
      <w:r>
        <w:rPr>
          <w:rFonts w:ascii="Times New Roman" w:hAnsi="Times New Roman" w:eastAsia="Segoe UI" w:cs="Times New Roman"/>
          <w:b/>
          <w:bCs/>
          <w:color w:val="000000" w:themeColor="text1"/>
          <w:sz w:val="22"/>
          <w:shd w:val="clear" w:color="auto" w:fill="FFFFFF"/>
          <w14:textFill>
            <w14:solidFill>
              <w14:schemeClr w14:val="tx1"/>
            </w14:solidFill>
          </w14:textFill>
        </w:rPr>
        <w:noBreakHyphen/>
      </w:r>
      <w:r>
        <w:rPr>
          <w:rFonts w:ascii="Times New Roman" w:hAnsi="Times New Roman" w:eastAsia="Segoe UI" w:cs="Times New Roman"/>
          <w:b/>
          <w:bCs/>
          <w:color w:val="000000" w:themeColor="text1"/>
          <w:sz w:val="22"/>
          <w:shd w:val="clear" w:color="auto" w:fill="FFFFFF"/>
          <w14:textFill>
            <w14:solidFill>
              <w14:schemeClr w14:val="tx1"/>
            </w14:solidFill>
          </w14:textFill>
        </w:rPr>
        <w:t>Meier survival analysis of CHGB</w:t>
      </w:r>
      <w:r>
        <w:rPr>
          <w:rFonts w:ascii="Times New Roman" w:hAnsi="Times New Roman" w:eastAsia="Segoe UI" w:cs="Times New Roman"/>
          <w:b/>
          <w:bCs/>
          <w:color w:val="0070C0"/>
          <w:sz w:val="22"/>
          <w:shd w:val="clear" w:color="auto" w:fill="FFFFFF"/>
        </w:rPr>
        <w:t xml:space="preserve"> and the combined KCP signature (KIF20A::CHGB).</w:t>
      </w:r>
      <w:r>
        <w:rPr>
          <w:rFonts w:ascii="Times New Roman" w:hAnsi="Times New Roman" w:eastAsia="Segoe UI" w:cs="Times New Roman"/>
          <w:color w:val="0070C0"/>
          <w:sz w:val="22"/>
          <w:shd w:val="clear" w:color="auto" w:fill="FFFFFF"/>
        </w:rPr>
        <w:br w:type="textWrapping"/>
      </w:r>
      <w:r>
        <w:rPr>
          <w:rFonts w:ascii="Times New Roman" w:hAnsi="Times New Roman" w:eastAsia="Segoe UI" w:cs="Times New Roman"/>
          <w:color w:val="000000" w:themeColor="text1"/>
          <w:sz w:val="22"/>
          <w:shd w:val="clear" w:color="auto" w:fill="FFFFFF"/>
          <w14:textFill>
            <w14:solidFill>
              <w14:schemeClr w14:val="tx1"/>
            </w14:solidFill>
          </w14:textFill>
        </w:rPr>
        <w:t>(A) Kaplan</w:t>
      </w:r>
      <w:r>
        <w:rPr>
          <w:rFonts w:ascii="Times New Roman" w:hAnsi="Times New Roman" w:eastAsia="Segoe UI" w:cs="Times New Roman"/>
          <w:color w:val="000000" w:themeColor="text1"/>
          <w:sz w:val="22"/>
          <w:shd w:val="clear" w:color="auto" w:fill="FFFFFF"/>
          <w14:textFill>
            <w14:solidFill>
              <w14:schemeClr w14:val="tx1"/>
            </w14:solidFill>
          </w14:textFill>
        </w:rPr>
        <w:noBreakHyphen/>
      </w:r>
      <w:r>
        <w:rPr>
          <w:rFonts w:ascii="Times New Roman" w:hAnsi="Times New Roman" w:eastAsia="Segoe UI" w:cs="Times New Roman"/>
          <w:color w:val="000000" w:themeColor="text1"/>
          <w:sz w:val="22"/>
          <w:shd w:val="clear" w:color="auto" w:fill="FFFFFF"/>
          <w14:textFill>
            <w14:solidFill>
              <w14:schemeClr w14:val="tx1"/>
            </w14:solidFill>
          </w14:textFill>
        </w:rPr>
        <w:t>Meier plot comparing five</w:t>
      </w:r>
      <w:r>
        <w:rPr>
          <w:rFonts w:ascii="Times New Roman" w:hAnsi="Times New Roman" w:eastAsia="Segoe UI" w:cs="Times New Roman"/>
          <w:color w:val="000000" w:themeColor="text1"/>
          <w:sz w:val="22"/>
          <w:shd w:val="clear" w:color="auto" w:fill="FFFFFF"/>
          <w14:textFill>
            <w14:solidFill>
              <w14:schemeClr w14:val="tx1"/>
            </w14:solidFill>
          </w14:textFill>
        </w:rPr>
        <w:noBreakHyphen/>
      </w:r>
      <w:r>
        <w:rPr>
          <w:rFonts w:ascii="Times New Roman" w:hAnsi="Times New Roman" w:eastAsia="Segoe UI" w:cs="Times New Roman"/>
          <w:color w:val="000000" w:themeColor="text1"/>
          <w:sz w:val="22"/>
          <w:shd w:val="clear" w:color="auto" w:fill="FFFFFF"/>
          <w14:textFill>
            <w14:solidFill>
              <w14:schemeClr w14:val="tx1"/>
            </w14:solidFill>
          </w14:textFill>
        </w:rPr>
        <w:t>year overall survival between high</w:t>
      </w:r>
      <w:r>
        <w:rPr>
          <w:rFonts w:ascii="Times New Roman" w:hAnsi="Times New Roman" w:eastAsia="Segoe UI" w:cs="Times New Roman"/>
          <w:color w:val="000000" w:themeColor="text1"/>
          <w:sz w:val="22"/>
          <w:shd w:val="clear" w:color="auto" w:fill="FFFFFF"/>
          <w14:textFill>
            <w14:solidFill>
              <w14:schemeClr w14:val="tx1"/>
            </w14:solidFill>
          </w14:textFill>
        </w:rPr>
        <w:noBreakHyphen/>
      </w:r>
      <w:r>
        <w:rPr>
          <w:rFonts w:ascii="Times New Roman" w:hAnsi="Times New Roman" w:eastAsia="Segoe UI" w:cs="Times New Roman"/>
          <w:color w:val="000000" w:themeColor="text1"/>
          <w:sz w:val="22"/>
          <w:shd w:val="clear" w:color="auto" w:fill="FFFFFF"/>
          <w14:textFill>
            <w14:solidFill>
              <w14:schemeClr w14:val="tx1"/>
            </w14:solidFill>
          </w14:textFill>
        </w:rPr>
        <w:t>risk and low</w:t>
      </w:r>
      <w:r>
        <w:rPr>
          <w:rFonts w:ascii="Times New Roman" w:hAnsi="Times New Roman" w:eastAsia="Segoe UI" w:cs="Times New Roman"/>
          <w:color w:val="000000" w:themeColor="text1"/>
          <w:sz w:val="22"/>
          <w:shd w:val="clear" w:color="auto" w:fill="FFFFFF"/>
          <w14:textFill>
            <w14:solidFill>
              <w14:schemeClr w14:val="tx1"/>
            </w14:solidFill>
          </w14:textFill>
        </w:rPr>
        <w:noBreakHyphen/>
      </w:r>
      <w:r>
        <w:rPr>
          <w:rFonts w:ascii="Times New Roman" w:hAnsi="Times New Roman" w:eastAsia="Segoe UI" w:cs="Times New Roman"/>
          <w:color w:val="000000" w:themeColor="text1"/>
          <w:sz w:val="22"/>
          <w:shd w:val="clear" w:color="auto" w:fill="FFFFFF"/>
          <w14:textFill>
            <w14:solidFill>
              <w14:schemeClr w14:val="tx1"/>
            </w14:solidFill>
          </w14:textFill>
        </w:rPr>
        <w:t xml:space="preserve">risk groups in the combined TCGA and GSE18520 cohort, stratified by the optimal expression </w:t>
      </w:r>
      <w:bookmarkStart w:id="0" w:name="_GoBack"/>
      <w:r>
        <w:rPr>
          <w:rFonts w:ascii="Times New Roman" w:hAnsi="Times New Roman" w:eastAsia="Segoe UI" w:cs="Times New Roman"/>
          <w:color w:val="000000" w:themeColor="text1"/>
          <w:sz w:val="22"/>
          <w:shd w:val="clear" w:color="auto" w:fill="FFFFFF"/>
          <w14:textFill>
            <w14:solidFill>
              <w14:schemeClr w14:val="tx1"/>
            </w14:solidFill>
          </w14:textFill>
        </w:rPr>
        <w:t>threshold of CHGB.</w:t>
      </w:r>
      <w:r>
        <w:rPr>
          <w:rFonts w:ascii="Times New Roman" w:hAnsi="Times New Roman" w:eastAsia="Segoe UI" w:cs="Times New Roman"/>
          <w:color w:val="0070C0"/>
          <w:sz w:val="22"/>
          <w:shd w:val="clear" w:color="auto" w:fill="FFFFFF"/>
        </w:rPr>
        <w:br w:type="textWrapping"/>
      </w:r>
      <w:bookmarkEnd w:id="0"/>
      <w:r>
        <w:rPr>
          <w:rFonts w:ascii="Times New Roman" w:hAnsi="Times New Roman" w:eastAsia="Segoe UI" w:cs="Times New Roman"/>
          <w:color w:val="0070C0"/>
          <w:sz w:val="22"/>
          <w:shd w:val="clear" w:color="auto" w:fill="FFFFFF"/>
        </w:rPr>
        <w:t>(B</w:t>
      </w:r>
      <w:r>
        <w:rPr>
          <w:rFonts w:hint="eastAsia" w:ascii="Times New Roman" w:hAnsi="Times New Roman" w:eastAsia="宋体" w:cs="Times New Roman"/>
          <w:color w:val="0070C0"/>
          <w:sz w:val="22"/>
          <w:shd w:val="clear" w:color="auto" w:fill="FFFFFF"/>
        </w:rPr>
        <w:t>-C</w:t>
      </w:r>
      <w:r>
        <w:rPr>
          <w:rFonts w:ascii="Times New Roman" w:hAnsi="Times New Roman" w:eastAsia="Segoe UI" w:cs="Times New Roman"/>
          <w:color w:val="0070C0"/>
          <w:sz w:val="22"/>
          <w:shd w:val="clear" w:color="auto" w:fill="FFFFFF"/>
        </w:rPr>
        <w:t>) Expression levels of KIF20A and CHGB were each dichotomized into high</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risk and low</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risk groups using optimal cutoffs. Samples with low expression of both genes were defined as the low</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risk group, while all other combinations were assigned to the Other group. The Kaplan</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Meier curves show the comparison of five</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year overall survival between the low</w:t>
      </w:r>
      <w:r>
        <w:rPr>
          <w:rFonts w:ascii="Times New Roman" w:hAnsi="Times New Roman" w:eastAsia="Segoe UI" w:cs="Times New Roman"/>
          <w:color w:val="0070C0"/>
          <w:sz w:val="22"/>
          <w:shd w:val="clear" w:color="auto" w:fill="FFFFFF"/>
        </w:rPr>
        <w:noBreakHyphen/>
      </w:r>
      <w:r>
        <w:rPr>
          <w:rFonts w:ascii="Times New Roman" w:hAnsi="Times New Roman" w:eastAsia="Segoe UI" w:cs="Times New Roman"/>
          <w:color w:val="0070C0"/>
          <w:sz w:val="22"/>
          <w:shd w:val="clear" w:color="auto" w:fill="FFFFFF"/>
        </w:rPr>
        <w:t>risk and Other groups. This combined stratification yielded significantly more pronounced prognostic separation than using either KIF20A or CHGB alone.</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B6977">
    <w:pPr>
      <w:pStyle w:val="9"/>
      <w:jc w:val="center"/>
      <w:rPr>
        <w:sz w:val="21"/>
      </w:rPr>
    </w:pPr>
    <w:r>
      <w:rPr>
        <w:sz w:val="21"/>
      </w:rPr>
      <w:fldChar w:fldCharType="begin"/>
    </w:r>
    <w:r>
      <w:rPr>
        <w:sz w:val="21"/>
      </w:rPr>
      <w:instrText xml:space="preserve">PAGE   \* MERGEFORMAT</w:instrText>
    </w:r>
    <w:r>
      <w:rPr>
        <w:sz w:val="21"/>
      </w:rPr>
      <w:fldChar w:fldCharType="separate"/>
    </w:r>
    <w:r>
      <w:rPr>
        <w:sz w:val="21"/>
        <w:lang w:val="zh-CN"/>
      </w:rPr>
      <w:t>1</w:t>
    </w:r>
    <w:r>
      <w:rPr>
        <w:sz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0B1D0">
    <w:pPr>
      <w:pStyle w:val="10"/>
      <w:pBdr>
        <w:bottom w:val="single" w:color="auto" w:sz="8" w:space="1"/>
      </w:pBdr>
      <w:rPr>
        <w:sz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5ZmRhMTk5YWM1NWE5YTNjYTYzODVjZWVmZmJhZTAifQ=="/>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1&lt;/EnableBibliographyCategories&gt;&lt;/ENLayout&gt;"/>
    <w:docVar w:name="EN.Libraries" w:val="&lt;Libraries&gt;&lt;item db-id=&quot;vezs9ewec0x2zie29z5ve003rdreppzfesed&quot;&gt;Cheng lab&lt;record-ids&gt;&lt;item&gt;1&lt;/item&gt;&lt;item&gt;6&lt;/item&gt;&lt;item&gt;7&lt;/item&gt;&lt;item&gt;8&lt;/item&gt;&lt;item&gt;9&lt;/item&gt;&lt;item&gt;12&lt;/item&gt;&lt;item&gt;15&lt;/item&gt;&lt;item&gt;16&lt;/item&gt;&lt;item&gt;18&lt;/item&gt;&lt;item&gt;23&lt;/item&gt;&lt;item&gt;24&lt;/item&gt;&lt;item&gt;26&lt;/item&gt;&lt;item&gt;30&lt;/item&gt;&lt;item&gt;31&lt;/item&gt;&lt;item&gt;36&lt;/item&gt;&lt;item&gt;37&lt;/item&gt;&lt;item&gt;44&lt;/item&gt;&lt;item&gt;45&lt;/item&gt;&lt;item&gt;46&lt;/item&gt;&lt;item&gt;60&lt;/item&gt;&lt;item&gt;65&lt;/item&gt;&lt;item&gt;66&lt;/item&gt;&lt;item&gt;67&lt;/item&gt;&lt;item&gt;69&lt;/item&gt;&lt;item&gt;70&lt;/item&gt;&lt;item&gt;71&lt;/item&gt;&lt;item&gt;72&lt;/item&gt;&lt;item&gt;73&lt;/item&gt;&lt;item&gt;74&lt;/item&gt;&lt;item&gt;75&lt;/item&gt;&lt;item&gt;76&lt;/item&gt;&lt;item&gt;77&lt;/item&gt;&lt;item&gt;78&lt;/item&gt;&lt;item&gt;79&lt;/item&gt;&lt;item&gt;80&lt;/item&gt;&lt;item&gt;82&lt;/item&gt;&lt;item&gt;83&lt;/item&gt;&lt;item&gt;84&lt;/item&gt;&lt;item&gt;85&lt;/item&gt;&lt;item&gt;86&lt;/item&gt;&lt;item&gt;87&lt;/item&gt;&lt;item&gt;88&lt;/item&gt;&lt;item&gt;89&lt;/item&gt;&lt;item&gt;90&lt;/item&gt;&lt;item&gt;91&lt;/item&gt;&lt;item&gt;92&lt;/item&gt;&lt;item&gt;93&lt;/item&gt;&lt;item&gt;94&lt;/item&gt;&lt;item&gt;95&lt;/item&gt;&lt;/record-ids&gt;&lt;/item&gt;&lt;/Libraries&gt;"/>
    <w:docVar w:name="EN.ReferenceGroups" w:val="&lt;reference-groups&gt;&lt;reference-group&gt;&lt;kind&gt;1&lt;/kind&gt;&lt;heading&gt;主要来源&lt;/heading&gt;&lt;alignment&gt;-1&lt;/alignment&gt;&lt;records&gt;&lt;/records&gt;&lt;/reference-group&gt;&lt;reference-group&gt;&lt;kind&gt;1&lt;/kind&gt;&lt;heading&gt;次要来源&lt;/heading&gt;&lt;alignment&gt;-1&lt;/alignment&gt;&lt;records&gt;&lt;/records&gt;&lt;/reference-group&gt;&lt;/reference-groups&gt;"/>
  </w:docVars>
  <w:rsids>
    <w:rsidRoot w:val="0021216C"/>
    <w:rsid w:val="00002D54"/>
    <w:rsid w:val="00002F47"/>
    <w:rsid w:val="00003CB6"/>
    <w:rsid w:val="000078E1"/>
    <w:rsid w:val="00010F63"/>
    <w:rsid w:val="00017F5E"/>
    <w:rsid w:val="000201BB"/>
    <w:rsid w:val="000309E0"/>
    <w:rsid w:val="000315C5"/>
    <w:rsid w:val="00034077"/>
    <w:rsid w:val="000351F3"/>
    <w:rsid w:val="0003590F"/>
    <w:rsid w:val="00037C6E"/>
    <w:rsid w:val="0004282B"/>
    <w:rsid w:val="00045BC3"/>
    <w:rsid w:val="00045DB5"/>
    <w:rsid w:val="00051DC7"/>
    <w:rsid w:val="000526C8"/>
    <w:rsid w:val="00052FBF"/>
    <w:rsid w:val="00055622"/>
    <w:rsid w:val="00057380"/>
    <w:rsid w:val="000576D8"/>
    <w:rsid w:val="0006026B"/>
    <w:rsid w:val="00064629"/>
    <w:rsid w:val="00071655"/>
    <w:rsid w:val="00072AD6"/>
    <w:rsid w:val="00082743"/>
    <w:rsid w:val="00086088"/>
    <w:rsid w:val="00086849"/>
    <w:rsid w:val="000868D3"/>
    <w:rsid w:val="0009119B"/>
    <w:rsid w:val="00095C1D"/>
    <w:rsid w:val="000969F9"/>
    <w:rsid w:val="00097F19"/>
    <w:rsid w:val="000B462B"/>
    <w:rsid w:val="000B5FDB"/>
    <w:rsid w:val="000B7717"/>
    <w:rsid w:val="000C19F8"/>
    <w:rsid w:val="000C30EF"/>
    <w:rsid w:val="000C3BEE"/>
    <w:rsid w:val="000D14CE"/>
    <w:rsid w:val="000D5536"/>
    <w:rsid w:val="000D7727"/>
    <w:rsid w:val="000E1189"/>
    <w:rsid w:val="000E756C"/>
    <w:rsid w:val="000F6B7A"/>
    <w:rsid w:val="00100D39"/>
    <w:rsid w:val="001109C4"/>
    <w:rsid w:val="00110A40"/>
    <w:rsid w:val="001139EB"/>
    <w:rsid w:val="00114CB7"/>
    <w:rsid w:val="0011567E"/>
    <w:rsid w:val="0011641F"/>
    <w:rsid w:val="00122C08"/>
    <w:rsid w:val="00123455"/>
    <w:rsid w:val="00125505"/>
    <w:rsid w:val="00127EA9"/>
    <w:rsid w:val="00130899"/>
    <w:rsid w:val="001313C8"/>
    <w:rsid w:val="00134F33"/>
    <w:rsid w:val="001360BF"/>
    <w:rsid w:val="00136774"/>
    <w:rsid w:val="001412EE"/>
    <w:rsid w:val="00143241"/>
    <w:rsid w:val="00147D55"/>
    <w:rsid w:val="001516CE"/>
    <w:rsid w:val="0015401C"/>
    <w:rsid w:val="00155286"/>
    <w:rsid w:val="001553A3"/>
    <w:rsid w:val="00155BFE"/>
    <w:rsid w:val="001573DD"/>
    <w:rsid w:val="00164253"/>
    <w:rsid w:val="00166669"/>
    <w:rsid w:val="001678C0"/>
    <w:rsid w:val="00176CAD"/>
    <w:rsid w:val="00180DAD"/>
    <w:rsid w:val="00181FB7"/>
    <w:rsid w:val="00182794"/>
    <w:rsid w:val="00183146"/>
    <w:rsid w:val="00186C9D"/>
    <w:rsid w:val="00190A5B"/>
    <w:rsid w:val="00193258"/>
    <w:rsid w:val="00193818"/>
    <w:rsid w:val="00194EA2"/>
    <w:rsid w:val="00195D48"/>
    <w:rsid w:val="001968B2"/>
    <w:rsid w:val="001A0405"/>
    <w:rsid w:val="001A22A1"/>
    <w:rsid w:val="001A3D1A"/>
    <w:rsid w:val="001A52AC"/>
    <w:rsid w:val="001A5489"/>
    <w:rsid w:val="001A611C"/>
    <w:rsid w:val="001A617A"/>
    <w:rsid w:val="001A6249"/>
    <w:rsid w:val="001B08F9"/>
    <w:rsid w:val="001B0B2D"/>
    <w:rsid w:val="001B56F4"/>
    <w:rsid w:val="001C221E"/>
    <w:rsid w:val="001C2C03"/>
    <w:rsid w:val="001C493D"/>
    <w:rsid w:val="001C53D1"/>
    <w:rsid w:val="001C5F71"/>
    <w:rsid w:val="001D0A4C"/>
    <w:rsid w:val="001D3011"/>
    <w:rsid w:val="001D3885"/>
    <w:rsid w:val="001D79DF"/>
    <w:rsid w:val="001F14FD"/>
    <w:rsid w:val="001F5192"/>
    <w:rsid w:val="00201665"/>
    <w:rsid w:val="00203FA5"/>
    <w:rsid w:val="0020416B"/>
    <w:rsid w:val="00204A47"/>
    <w:rsid w:val="00204DBD"/>
    <w:rsid w:val="00210BC9"/>
    <w:rsid w:val="0021216C"/>
    <w:rsid w:val="00214145"/>
    <w:rsid w:val="0021735D"/>
    <w:rsid w:val="00220C61"/>
    <w:rsid w:val="002225B9"/>
    <w:rsid w:val="00223E34"/>
    <w:rsid w:val="00225EC9"/>
    <w:rsid w:val="00227EFD"/>
    <w:rsid w:val="00234D43"/>
    <w:rsid w:val="0023713E"/>
    <w:rsid w:val="00240425"/>
    <w:rsid w:val="002421F4"/>
    <w:rsid w:val="002442EB"/>
    <w:rsid w:val="002555FE"/>
    <w:rsid w:val="00256AD9"/>
    <w:rsid w:val="00256D20"/>
    <w:rsid w:val="00260E3A"/>
    <w:rsid w:val="002616AF"/>
    <w:rsid w:val="00266B75"/>
    <w:rsid w:val="00267369"/>
    <w:rsid w:val="00270569"/>
    <w:rsid w:val="00270698"/>
    <w:rsid w:val="002815D5"/>
    <w:rsid w:val="00283EFB"/>
    <w:rsid w:val="002854B1"/>
    <w:rsid w:val="00290113"/>
    <w:rsid w:val="002922C2"/>
    <w:rsid w:val="00293016"/>
    <w:rsid w:val="002941A5"/>
    <w:rsid w:val="00294D2F"/>
    <w:rsid w:val="00297B3F"/>
    <w:rsid w:val="002A0245"/>
    <w:rsid w:val="002A117B"/>
    <w:rsid w:val="002A18F1"/>
    <w:rsid w:val="002A2760"/>
    <w:rsid w:val="002A4454"/>
    <w:rsid w:val="002B0ED3"/>
    <w:rsid w:val="002B1C61"/>
    <w:rsid w:val="002C111C"/>
    <w:rsid w:val="002C14D3"/>
    <w:rsid w:val="002C460B"/>
    <w:rsid w:val="002D2A4E"/>
    <w:rsid w:val="002D5507"/>
    <w:rsid w:val="002D6244"/>
    <w:rsid w:val="002E10F6"/>
    <w:rsid w:val="002E1CD5"/>
    <w:rsid w:val="002E45E7"/>
    <w:rsid w:val="002E7F1B"/>
    <w:rsid w:val="002F22AF"/>
    <w:rsid w:val="002F2F94"/>
    <w:rsid w:val="002F4B48"/>
    <w:rsid w:val="002F7536"/>
    <w:rsid w:val="00302356"/>
    <w:rsid w:val="00303B79"/>
    <w:rsid w:val="0031140E"/>
    <w:rsid w:val="00312EA2"/>
    <w:rsid w:val="00320097"/>
    <w:rsid w:val="00324473"/>
    <w:rsid w:val="00327448"/>
    <w:rsid w:val="00330D76"/>
    <w:rsid w:val="00334D3E"/>
    <w:rsid w:val="00347A6B"/>
    <w:rsid w:val="003502F7"/>
    <w:rsid w:val="0035229E"/>
    <w:rsid w:val="003601D5"/>
    <w:rsid w:val="003622FD"/>
    <w:rsid w:val="003638A7"/>
    <w:rsid w:val="003650BF"/>
    <w:rsid w:val="00371E9F"/>
    <w:rsid w:val="00371ED5"/>
    <w:rsid w:val="00374387"/>
    <w:rsid w:val="0038264B"/>
    <w:rsid w:val="00390FD2"/>
    <w:rsid w:val="0039279B"/>
    <w:rsid w:val="00393021"/>
    <w:rsid w:val="0039351E"/>
    <w:rsid w:val="0039369D"/>
    <w:rsid w:val="00394C16"/>
    <w:rsid w:val="003B0426"/>
    <w:rsid w:val="003B20B2"/>
    <w:rsid w:val="003B6F64"/>
    <w:rsid w:val="003C2FDA"/>
    <w:rsid w:val="003C4C20"/>
    <w:rsid w:val="003D04F5"/>
    <w:rsid w:val="003D3EED"/>
    <w:rsid w:val="003D71D2"/>
    <w:rsid w:val="003D748F"/>
    <w:rsid w:val="003E2189"/>
    <w:rsid w:val="003E6E4D"/>
    <w:rsid w:val="003F06E4"/>
    <w:rsid w:val="003F39A7"/>
    <w:rsid w:val="003F4747"/>
    <w:rsid w:val="003F551D"/>
    <w:rsid w:val="003F5EFD"/>
    <w:rsid w:val="004022F4"/>
    <w:rsid w:val="004043D5"/>
    <w:rsid w:val="00405374"/>
    <w:rsid w:val="00407304"/>
    <w:rsid w:val="00410860"/>
    <w:rsid w:val="00413487"/>
    <w:rsid w:val="00417C19"/>
    <w:rsid w:val="00420217"/>
    <w:rsid w:val="004205D5"/>
    <w:rsid w:val="00423A6E"/>
    <w:rsid w:val="0042618F"/>
    <w:rsid w:val="0042633D"/>
    <w:rsid w:val="00426A1C"/>
    <w:rsid w:val="00431B38"/>
    <w:rsid w:val="00436FBF"/>
    <w:rsid w:val="00442B7F"/>
    <w:rsid w:val="00442C12"/>
    <w:rsid w:val="004438BD"/>
    <w:rsid w:val="0045049A"/>
    <w:rsid w:val="00450BB9"/>
    <w:rsid w:val="00455426"/>
    <w:rsid w:val="00457558"/>
    <w:rsid w:val="004600EB"/>
    <w:rsid w:val="00465B05"/>
    <w:rsid w:val="00472234"/>
    <w:rsid w:val="00476D90"/>
    <w:rsid w:val="004800BD"/>
    <w:rsid w:val="00482B1C"/>
    <w:rsid w:val="00483D23"/>
    <w:rsid w:val="00485595"/>
    <w:rsid w:val="00487A26"/>
    <w:rsid w:val="00496103"/>
    <w:rsid w:val="00497EDB"/>
    <w:rsid w:val="004A2881"/>
    <w:rsid w:val="004B0C47"/>
    <w:rsid w:val="004B6452"/>
    <w:rsid w:val="004C206B"/>
    <w:rsid w:val="004C2261"/>
    <w:rsid w:val="004C4093"/>
    <w:rsid w:val="004C46A1"/>
    <w:rsid w:val="004C61E7"/>
    <w:rsid w:val="004C7EF2"/>
    <w:rsid w:val="004D1D09"/>
    <w:rsid w:val="004D2AF5"/>
    <w:rsid w:val="004D4D97"/>
    <w:rsid w:val="004D50AF"/>
    <w:rsid w:val="004D6F65"/>
    <w:rsid w:val="004E32C5"/>
    <w:rsid w:val="004E3EE0"/>
    <w:rsid w:val="004E6773"/>
    <w:rsid w:val="004F1AA4"/>
    <w:rsid w:val="004F53A5"/>
    <w:rsid w:val="00500BF7"/>
    <w:rsid w:val="00513B96"/>
    <w:rsid w:val="005144AF"/>
    <w:rsid w:val="005172D7"/>
    <w:rsid w:val="00517867"/>
    <w:rsid w:val="00520713"/>
    <w:rsid w:val="005234DB"/>
    <w:rsid w:val="005235D3"/>
    <w:rsid w:val="00524CEC"/>
    <w:rsid w:val="00525EA0"/>
    <w:rsid w:val="005344A2"/>
    <w:rsid w:val="00536D59"/>
    <w:rsid w:val="005403ED"/>
    <w:rsid w:val="005433BE"/>
    <w:rsid w:val="00544D75"/>
    <w:rsid w:val="00551A72"/>
    <w:rsid w:val="00552CC7"/>
    <w:rsid w:val="00552E28"/>
    <w:rsid w:val="00552E8D"/>
    <w:rsid w:val="00561B80"/>
    <w:rsid w:val="0056462F"/>
    <w:rsid w:val="00564DD8"/>
    <w:rsid w:val="0056540E"/>
    <w:rsid w:val="005658B7"/>
    <w:rsid w:val="00567088"/>
    <w:rsid w:val="00570558"/>
    <w:rsid w:val="00580949"/>
    <w:rsid w:val="00581C5D"/>
    <w:rsid w:val="005837B2"/>
    <w:rsid w:val="00585572"/>
    <w:rsid w:val="005903D6"/>
    <w:rsid w:val="005927A5"/>
    <w:rsid w:val="00594187"/>
    <w:rsid w:val="005948B6"/>
    <w:rsid w:val="00596D41"/>
    <w:rsid w:val="005A5233"/>
    <w:rsid w:val="005C04F8"/>
    <w:rsid w:val="005C464F"/>
    <w:rsid w:val="005C4EBA"/>
    <w:rsid w:val="005D19C2"/>
    <w:rsid w:val="005D26B4"/>
    <w:rsid w:val="005D27AE"/>
    <w:rsid w:val="005D5399"/>
    <w:rsid w:val="005D688C"/>
    <w:rsid w:val="005E0073"/>
    <w:rsid w:val="005E0FBB"/>
    <w:rsid w:val="005E38B6"/>
    <w:rsid w:val="005E3B79"/>
    <w:rsid w:val="005E4826"/>
    <w:rsid w:val="005E653B"/>
    <w:rsid w:val="005E7254"/>
    <w:rsid w:val="005F1062"/>
    <w:rsid w:val="006004A0"/>
    <w:rsid w:val="00604F4D"/>
    <w:rsid w:val="00607C47"/>
    <w:rsid w:val="00615CF2"/>
    <w:rsid w:val="0061685E"/>
    <w:rsid w:val="006234D5"/>
    <w:rsid w:val="0062542C"/>
    <w:rsid w:val="00626319"/>
    <w:rsid w:val="00626FF8"/>
    <w:rsid w:val="00630B4F"/>
    <w:rsid w:val="00630DAB"/>
    <w:rsid w:val="00643CF6"/>
    <w:rsid w:val="00643E39"/>
    <w:rsid w:val="0064445A"/>
    <w:rsid w:val="00646F80"/>
    <w:rsid w:val="0065478B"/>
    <w:rsid w:val="0065733D"/>
    <w:rsid w:val="00663CA6"/>
    <w:rsid w:val="0066644A"/>
    <w:rsid w:val="00666C10"/>
    <w:rsid w:val="0067194B"/>
    <w:rsid w:val="006740AA"/>
    <w:rsid w:val="00674513"/>
    <w:rsid w:val="0068060F"/>
    <w:rsid w:val="006848B0"/>
    <w:rsid w:val="00686824"/>
    <w:rsid w:val="0069030B"/>
    <w:rsid w:val="0069211A"/>
    <w:rsid w:val="00694A35"/>
    <w:rsid w:val="006A3A04"/>
    <w:rsid w:val="006B069B"/>
    <w:rsid w:val="006B3E58"/>
    <w:rsid w:val="006B5049"/>
    <w:rsid w:val="006B5FC2"/>
    <w:rsid w:val="006B6DBA"/>
    <w:rsid w:val="006C02AA"/>
    <w:rsid w:val="006C0B2A"/>
    <w:rsid w:val="006C107E"/>
    <w:rsid w:val="006C1AC4"/>
    <w:rsid w:val="006C39D9"/>
    <w:rsid w:val="006D3A29"/>
    <w:rsid w:val="006D3DDA"/>
    <w:rsid w:val="006D476E"/>
    <w:rsid w:val="006E1205"/>
    <w:rsid w:val="006E125C"/>
    <w:rsid w:val="006E3CB9"/>
    <w:rsid w:val="006F2872"/>
    <w:rsid w:val="006F5133"/>
    <w:rsid w:val="006F5606"/>
    <w:rsid w:val="006F5BC4"/>
    <w:rsid w:val="006F6DB6"/>
    <w:rsid w:val="006F7D8B"/>
    <w:rsid w:val="006F7DBD"/>
    <w:rsid w:val="006F7E87"/>
    <w:rsid w:val="00701499"/>
    <w:rsid w:val="007039EE"/>
    <w:rsid w:val="00704224"/>
    <w:rsid w:val="007051BC"/>
    <w:rsid w:val="00705636"/>
    <w:rsid w:val="007111F6"/>
    <w:rsid w:val="00716D4C"/>
    <w:rsid w:val="00720395"/>
    <w:rsid w:val="00726C9B"/>
    <w:rsid w:val="0073342A"/>
    <w:rsid w:val="007335C6"/>
    <w:rsid w:val="0073401E"/>
    <w:rsid w:val="007356CB"/>
    <w:rsid w:val="007359E2"/>
    <w:rsid w:val="00735B48"/>
    <w:rsid w:val="00737311"/>
    <w:rsid w:val="00737649"/>
    <w:rsid w:val="0074367E"/>
    <w:rsid w:val="00746A44"/>
    <w:rsid w:val="00746CA1"/>
    <w:rsid w:val="007519A0"/>
    <w:rsid w:val="00752801"/>
    <w:rsid w:val="007560ED"/>
    <w:rsid w:val="00762B48"/>
    <w:rsid w:val="007652BB"/>
    <w:rsid w:val="0076540B"/>
    <w:rsid w:val="00765983"/>
    <w:rsid w:val="00766476"/>
    <w:rsid w:val="0076668D"/>
    <w:rsid w:val="00767C54"/>
    <w:rsid w:val="00772625"/>
    <w:rsid w:val="00774F9B"/>
    <w:rsid w:val="0078017A"/>
    <w:rsid w:val="00782FD8"/>
    <w:rsid w:val="00791C35"/>
    <w:rsid w:val="00792D30"/>
    <w:rsid w:val="00793D68"/>
    <w:rsid w:val="00794340"/>
    <w:rsid w:val="00796CF9"/>
    <w:rsid w:val="007A144F"/>
    <w:rsid w:val="007A3B88"/>
    <w:rsid w:val="007B3E9C"/>
    <w:rsid w:val="007B46CB"/>
    <w:rsid w:val="007B7F0A"/>
    <w:rsid w:val="007C5913"/>
    <w:rsid w:val="007D1C3D"/>
    <w:rsid w:val="007D21C1"/>
    <w:rsid w:val="007D68B3"/>
    <w:rsid w:val="007E2535"/>
    <w:rsid w:val="007E28D7"/>
    <w:rsid w:val="007E34C5"/>
    <w:rsid w:val="007E364E"/>
    <w:rsid w:val="007F0D97"/>
    <w:rsid w:val="007F1FDB"/>
    <w:rsid w:val="007F312F"/>
    <w:rsid w:val="00800B8D"/>
    <w:rsid w:val="00801C74"/>
    <w:rsid w:val="008030B8"/>
    <w:rsid w:val="00803B8F"/>
    <w:rsid w:val="00805CB3"/>
    <w:rsid w:val="0080770D"/>
    <w:rsid w:val="00813C3F"/>
    <w:rsid w:val="00820FEC"/>
    <w:rsid w:val="00831864"/>
    <w:rsid w:val="00837A73"/>
    <w:rsid w:val="00841831"/>
    <w:rsid w:val="00846A58"/>
    <w:rsid w:val="0085382C"/>
    <w:rsid w:val="00854157"/>
    <w:rsid w:val="00855358"/>
    <w:rsid w:val="00862CB7"/>
    <w:rsid w:val="00862D4E"/>
    <w:rsid w:val="00863975"/>
    <w:rsid w:val="00866F69"/>
    <w:rsid w:val="00872482"/>
    <w:rsid w:val="008728D7"/>
    <w:rsid w:val="00872E52"/>
    <w:rsid w:val="008732FB"/>
    <w:rsid w:val="008757FA"/>
    <w:rsid w:val="008803CC"/>
    <w:rsid w:val="0088072C"/>
    <w:rsid w:val="00880EE3"/>
    <w:rsid w:val="008819A2"/>
    <w:rsid w:val="0088327F"/>
    <w:rsid w:val="008851FB"/>
    <w:rsid w:val="00891BB9"/>
    <w:rsid w:val="00891EE3"/>
    <w:rsid w:val="0089371D"/>
    <w:rsid w:val="008A120F"/>
    <w:rsid w:val="008A2F96"/>
    <w:rsid w:val="008A3CE8"/>
    <w:rsid w:val="008A3DB6"/>
    <w:rsid w:val="008A4170"/>
    <w:rsid w:val="008A61ED"/>
    <w:rsid w:val="008A73DD"/>
    <w:rsid w:val="008B046C"/>
    <w:rsid w:val="008B1B37"/>
    <w:rsid w:val="008B5333"/>
    <w:rsid w:val="008B70EB"/>
    <w:rsid w:val="008C005B"/>
    <w:rsid w:val="008C51F9"/>
    <w:rsid w:val="008D4B62"/>
    <w:rsid w:val="008D6CD9"/>
    <w:rsid w:val="008D7E2B"/>
    <w:rsid w:val="008E60B9"/>
    <w:rsid w:val="00900AE4"/>
    <w:rsid w:val="00904D57"/>
    <w:rsid w:val="00912301"/>
    <w:rsid w:val="009137F9"/>
    <w:rsid w:val="009142B3"/>
    <w:rsid w:val="00921B76"/>
    <w:rsid w:val="00925F87"/>
    <w:rsid w:val="009266B3"/>
    <w:rsid w:val="009266F5"/>
    <w:rsid w:val="00930131"/>
    <w:rsid w:val="0093039E"/>
    <w:rsid w:val="00930DBB"/>
    <w:rsid w:val="00931A7E"/>
    <w:rsid w:val="0094263E"/>
    <w:rsid w:val="0094347F"/>
    <w:rsid w:val="009446B6"/>
    <w:rsid w:val="00944ADB"/>
    <w:rsid w:val="00950656"/>
    <w:rsid w:val="00955594"/>
    <w:rsid w:val="009572FA"/>
    <w:rsid w:val="00963A0A"/>
    <w:rsid w:val="00970A15"/>
    <w:rsid w:val="00973418"/>
    <w:rsid w:val="00973745"/>
    <w:rsid w:val="00976B46"/>
    <w:rsid w:val="00977879"/>
    <w:rsid w:val="0098049E"/>
    <w:rsid w:val="009875EE"/>
    <w:rsid w:val="009921D0"/>
    <w:rsid w:val="00993DD8"/>
    <w:rsid w:val="00994B29"/>
    <w:rsid w:val="00996C0F"/>
    <w:rsid w:val="009A0799"/>
    <w:rsid w:val="009A083C"/>
    <w:rsid w:val="009A20F5"/>
    <w:rsid w:val="009A4691"/>
    <w:rsid w:val="009A4731"/>
    <w:rsid w:val="009B38D9"/>
    <w:rsid w:val="009B468C"/>
    <w:rsid w:val="009B7104"/>
    <w:rsid w:val="009B7B45"/>
    <w:rsid w:val="009C3B02"/>
    <w:rsid w:val="009D1345"/>
    <w:rsid w:val="009D3C50"/>
    <w:rsid w:val="009D3F85"/>
    <w:rsid w:val="009D768B"/>
    <w:rsid w:val="009E0658"/>
    <w:rsid w:val="009E2FE5"/>
    <w:rsid w:val="009E450C"/>
    <w:rsid w:val="009E68DC"/>
    <w:rsid w:val="009F0C92"/>
    <w:rsid w:val="009F277B"/>
    <w:rsid w:val="009F317E"/>
    <w:rsid w:val="00A000A2"/>
    <w:rsid w:val="00A041C6"/>
    <w:rsid w:val="00A041FE"/>
    <w:rsid w:val="00A04A68"/>
    <w:rsid w:val="00A07183"/>
    <w:rsid w:val="00A1088D"/>
    <w:rsid w:val="00A12192"/>
    <w:rsid w:val="00A1288A"/>
    <w:rsid w:val="00A1621C"/>
    <w:rsid w:val="00A2064C"/>
    <w:rsid w:val="00A2357B"/>
    <w:rsid w:val="00A24B14"/>
    <w:rsid w:val="00A33407"/>
    <w:rsid w:val="00A33DF6"/>
    <w:rsid w:val="00A400BB"/>
    <w:rsid w:val="00A42D11"/>
    <w:rsid w:val="00A45288"/>
    <w:rsid w:val="00A45325"/>
    <w:rsid w:val="00A509CC"/>
    <w:rsid w:val="00A5169F"/>
    <w:rsid w:val="00A5381C"/>
    <w:rsid w:val="00A53BA6"/>
    <w:rsid w:val="00A5465B"/>
    <w:rsid w:val="00A559C1"/>
    <w:rsid w:val="00A559C7"/>
    <w:rsid w:val="00A56EEE"/>
    <w:rsid w:val="00A64BF5"/>
    <w:rsid w:val="00A712E3"/>
    <w:rsid w:val="00A74588"/>
    <w:rsid w:val="00A75BB4"/>
    <w:rsid w:val="00A800FE"/>
    <w:rsid w:val="00A801F0"/>
    <w:rsid w:val="00A82808"/>
    <w:rsid w:val="00A82C4A"/>
    <w:rsid w:val="00A85776"/>
    <w:rsid w:val="00A86DD5"/>
    <w:rsid w:val="00A939E8"/>
    <w:rsid w:val="00A9452B"/>
    <w:rsid w:val="00AA0F9F"/>
    <w:rsid w:val="00AB08E6"/>
    <w:rsid w:val="00AB421B"/>
    <w:rsid w:val="00AB4D4F"/>
    <w:rsid w:val="00AB51B2"/>
    <w:rsid w:val="00AC0D1D"/>
    <w:rsid w:val="00AC5662"/>
    <w:rsid w:val="00AC7856"/>
    <w:rsid w:val="00AD06F3"/>
    <w:rsid w:val="00AD11D6"/>
    <w:rsid w:val="00AD633A"/>
    <w:rsid w:val="00AE330E"/>
    <w:rsid w:val="00AE49A5"/>
    <w:rsid w:val="00AE4AFD"/>
    <w:rsid w:val="00AE4E50"/>
    <w:rsid w:val="00AE7CC7"/>
    <w:rsid w:val="00AE7DCB"/>
    <w:rsid w:val="00AF06EA"/>
    <w:rsid w:val="00AF0AB6"/>
    <w:rsid w:val="00AF705A"/>
    <w:rsid w:val="00B00441"/>
    <w:rsid w:val="00B01BA5"/>
    <w:rsid w:val="00B0530E"/>
    <w:rsid w:val="00B070B6"/>
    <w:rsid w:val="00B11A05"/>
    <w:rsid w:val="00B13F31"/>
    <w:rsid w:val="00B279D4"/>
    <w:rsid w:val="00B32F26"/>
    <w:rsid w:val="00B369F1"/>
    <w:rsid w:val="00B42F6E"/>
    <w:rsid w:val="00B46AE8"/>
    <w:rsid w:val="00B47213"/>
    <w:rsid w:val="00B473D5"/>
    <w:rsid w:val="00B47CA7"/>
    <w:rsid w:val="00B50A81"/>
    <w:rsid w:val="00B50B80"/>
    <w:rsid w:val="00B5210B"/>
    <w:rsid w:val="00B55034"/>
    <w:rsid w:val="00B604BD"/>
    <w:rsid w:val="00B61C0D"/>
    <w:rsid w:val="00B6231B"/>
    <w:rsid w:val="00B66527"/>
    <w:rsid w:val="00B706C0"/>
    <w:rsid w:val="00B74059"/>
    <w:rsid w:val="00B7628A"/>
    <w:rsid w:val="00B763CA"/>
    <w:rsid w:val="00B81E7F"/>
    <w:rsid w:val="00B851C7"/>
    <w:rsid w:val="00B916B5"/>
    <w:rsid w:val="00B928D6"/>
    <w:rsid w:val="00B92AA2"/>
    <w:rsid w:val="00B94515"/>
    <w:rsid w:val="00B95F9A"/>
    <w:rsid w:val="00B96B7D"/>
    <w:rsid w:val="00BA2292"/>
    <w:rsid w:val="00BA22F1"/>
    <w:rsid w:val="00BB31A7"/>
    <w:rsid w:val="00BC1E53"/>
    <w:rsid w:val="00BC343E"/>
    <w:rsid w:val="00BC58DA"/>
    <w:rsid w:val="00BC5AF9"/>
    <w:rsid w:val="00BC7B12"/>
    <w:rsid w:val="00BE1A9E"/>
    <w:rsid w:val="00BF0076"/>
    <w:rsid w:val="00BF02D9"/>
    <w:rsid w:val="00BF63EA"/>
    <w:rsid w:val="00C04F83"/>
    <w:rsid w:val="00C17E6D"/>
    <w:rsid w:val="00C207E6"/>
    <w:rsid w:val="00C21C95"/>
    <w:rsid w:val="00C27A6C"/>
    <w:rsid w:val="00C27DCE"/>
    <w:rsid w:val="00C3011E"/>
    <w:rsid w:val="00C31A50"/>
    <w:rsid w:val="00C37271"/>
    <w:rsid w:val="00C3768D"/>
    <w:rsid w:val="00C46929"/>
    <w:rsid w:val="00C47333"/>
    <w:rsid w:val="00C50D08"/>
    <w:rsid w:val="00C50F4E"/>
    <w:rsid w:val="00C512DB"/>
    <w:rsid w:val="00C665C6"/>
    <w:rsid w:val="00C66958"/>
    <w:rsid w:val="00C67514"/>
    <w:rsid w:val="00C67F86"/>
    <w:rsid w:val="00C7356D"/>
    <w:rsid w:val="00C770D0"/>
    <w:rsid w:val="00C771A4"/>
    <w:rsid w:val="00C80966"/>
    <w:rsid w:val="00C80BFC"/>
    <w:rsid w:val="00C81F02"/>
    <w:rsid w:val="00C839E1"/>
    <w:rsid w:val="00C83F5D"/>
    <w:rsid w:val="00C84AF1"/>
    <w:rsid w:val="00C87DCA"/>
    <w:rsid w:val="00C902FD"/>
    <w:rsid w:val="00C9313F"/>
    <w:rsid w:val="00C97F3E"/>
    <w:rsid w:val="00CA056B"/>
    <w:rsid w:val="00CA0C37"/>
    <w:rsid w:val="00CA1C27"/>
    <w:rsid w:val="00CA5CFD"/>
    <w:rsid w:val="00CB3FB0"/>
    <w:rsid w:val="00CB4CD4"/>
    <w:rsid w:val="00CB548A"/>
    <w:rsid w:val="00CB5FF8"/>
    <w:rsid w:val="00CB740A"/>
    <w:rsid w:val="00CC11E4"/>
    <w:rsid w:val="00CC1BF4"/>
    <w:rsid w:val="00CC2C01"/>
    <w:rsid w:val="00CC32A2"/>
    <w:rsid w:val="00CD2E20"/>
    <w:rsid w:val="00CD2E5D"/>
    <w:rsid w:val="00CD3066"/>
    <w:rsid w:val="00CD6CC6"/>
    <w:rsid w:val="00CE2C94"/>
    <w:rsid w:val="00CE31F0"/>
    <w:rsid w:val="00CE4612"/>
    <w:rsid w:val="00CE65A7"/>
    <w:rsid w:val="00CE6D49"/>
    <w:rsid w:val="00CE7955"/>
    <w:rsid w:val="00CF2060"/>
    <w:rsid w:val="00CF5A0A"/>
    <w:rsid w:val="00CF6774"/>
    <w:rsid w:val="00CF6E36"/>
    <w:rsid w:val="00D066A1"/>
    <w:rsid w:val="00D107B4"/>
    <w:rsid w:val="00D14B1A"/>
    <w:rsid w:val="00D17665"/>
    <w:rsid w:val="00D21639"/>
    <w:rsid w:val="00D35A4D"/>
    <w:rsid w:val="00D4194E"/>
    <w:rsid w:val="00D41AA4"/>
    <w:rsid w:val="00D41FE9"/>
    <w:rsid w:val="00D42DDB"/>
    <w:rsid w:val="00D43085"/>
    <w:rsid w:val="00D4346C"/>
    <w:rsid w:val="00D43A4E"/>
    <w:rsid w:val="00D448B1"/>
    <w:rsid w:val="00D45945"/>
    <w:rsid w:val="00D47B44"/>
    <w:rsid w:val="00D5006E"/>
    <w:rsid w:val="00D51F29"/>
    <w:rsid w:val="00D53393"/>
    <w:rsid w:val="00D558FB"/>
    <w:rsid w:val="00D65679"/>
    <w:rsid w:val="00D65FBC"/>
    <w:rsid w:val="00D67439"/>
    <w:rsid w:val="00D71B04"/>
    <w:rsid w:val="00D7360A"/>
    <w:rsid w:val="00D817AE"/>
    <w:rsid w:val="00D81C84"/>
    <w:rsid w:val="00D82404"/>
    <w:rsid w:val="00D841ED"/>
    <w:rsid w:val="00D90477"/>
    <w:rsid w:val="00DA0CDF"/>
    <w:rsid w:val="00DA1ECC"/>
    <w:rsid w:val="00DA22D1"/>
    <w:rsid w:val="00DA2FBD"/>
    <w:rsid w:val="00DB55C5"/>
    <w:rsid w:val="00DB6A99"/>
    <w:rsid w:val="00DC177B"/>
    <w:rsid w:val="00DC22F4"/>
    <w:rsid w:val="00DD06A3"/>
    <w:rsid w:val="00DD0FDA"/>
    <w:rsid w:val="00DD1A2E"/>
    <w:rsid w:val="00DD2805"/>
    <w:rsid w:val="00DD3339"/>
    <w:rsid w:val="00DD426B"/>
    <w:rsid w:val="00DD5CF1"/>
    <w:rsid w:val="00DE47C3"/>
    <w:rsid w:val="00DE7843"/>
    <w:rsid w:val="00DF2094"/>
    <w:rsid w:val="00E001E5"/>
    <w:rsid w:val="00E00E29"/>
    <w:rsid w:val="00E01059"/>
    <w:rsid w:val="00E01EF5"/>
    <w:rsid w:val="00E01FE4"/>
    <w:rsid w:val="00E04C25"/>
    <w:rsid w:val="00E06E71"/>
    <w:rsid w:val="00E10E0F"/>
    <w:rsid w:val="00E11BCB"/>
    <w:rsid w:val="00E21D0A"/>
    <w:rsid w:val="00E3291A"/>
    <w:rsid w:val="00E347F7"/>
    <w:rsid w:val="00E3607C"/>
    <w:rsid w:val="00E37374"/>
    <w:rsid w:val="00E41B6D"/>
    <w:rsid w:val="00E439DB"/>
    <w:rsid w:val="00E43A17"/>
    <w:rsid w:val="00E43A40"/>
    <w:rsid w:val="00E447A1"/>
    <w:rsid w:val="00E45972"/>
    <w:rsid w:val="00E628D7"/>
    <w:rsid w:val="00E671C5"/>
    <w:rsid w:val="00E71304"/>
    <w:rsid w:val="00E744C3"/>
    <w:rsid w:val="00E765B3"/>
    <w:rsid w:val="00E8084C"/>
    <w:rsid w:val="00E82E9E"/>
    <w:rsid w:val="00E843E7"/>
    <w:rsid w:val="00E86983"/>
    <w:rsid w:val="00E92F3F"/>
    <w:rsid w:val="00E92FAF"/>
    <w:rsid w:val="00EA1F4C"/>
    <w:rsid w:val="00EA5097"/>
    <w:rsid w:val="00EA6B3D"/>
    <w:rsid w:val="00EA6F57"/>
    <w:rsid w:val="00EB5BC1"/>
    <w:rsid w:val="00EC27EE"/>
    <w:rsid w:val="00EE1A7F"/>
    <w:rsid w:val="00EE3161"/>
    <w:rsid w:val="00EE5434"/>
    <w:rsid w:val="00EE6902"/>
    <w:rsid w:val="00EF0611"/>
    <w:rsid w:val="00EF1A10"/>
    <w:rsid w:val="00F00257"/>
    <w:rsid w:val="00F02AA5"/>
    <w:rsid w:val="00F04B8E"/>
    <w:rsid w:val="00F07E3C"/>
    <w:rsid w:val="00F1000B"/>
    <w:rsid w:val="00F1353F"/>
    <w:rsid w:val="00F146D3"/>
    <w:rsid w:val="00F14A95"/>
    <w:rsid w:val="00F15AF7"/>
    <w:rsid w:val="00F211D5"/>
    <w:rsid w:val="00F22232"/>
    <w:rsid w:val="00F22ACB"/>
    <w:rsid w:val="00F334BC"/>
    <w:rsid w:val="00F37F59"/>
    <w:rsid w:val="00F40D92"/>
    <w:rsid w:val="00F40EBC"/>
    <w:rsid w:val="00F506CA"/>
    <w:rsid w:val="00F50D2A"/>
    <w:rsid w:val="00F53E63"/>
    <w:rsid w:val="00F56364"/>
    <w:rsid w:val="00F56B5D"/>
    <w:rsid w:val="00F56E4A"/>
    <w:rsid w:val="00F63FE7"/>
    <w:rsid w:val="00F654ED"/>
    <w:rsid w:val="00F7066C"/>
    <w:rsid w:val="00F70AAB"/>
    <w:rsid w:val="00F73AF7"/>
    <w:rsid w:val="00F77659"/>
    <w:rsid w:val="00F8154F"/>
    <w:rsid w:val="00F83047"/>
    <w:rsid w:val="00F874CE"/>
    <w:rsid w:val="00F91272"/>
    <w:rsid w:val="00F93A7A"/>
    <w:rsid w:val="00F96A99"/>
    <w:rsid w:val="00FA64EE"/>
    <w:rsid w:val="00FA6D1C"/>
    <w:rsid w:val="00FA7227"/>
    <w:rsid w:val="00FA7ABC"/>
    <w:rsid w:val="00FB3DBA"/>
    <w:rsid w:val="00FB49D3"/>
    <w:rsid w:val="00FB654B"/>
    <w:rsid w:val="00FB67E0"/>
    <w:rsid w:val="00FB7869"/>
    <w:rsid w:val="00FC076D"/>
    <w:rsid w:val="00FD1FCA"/>
    <w:rsid w:val="00FD2835"/>
    <w:rsid w:val="00FD4101"/>
    <w:rsid w:val="00FD48BC"/>
    <w:rsid w:val="00FD5A0D"/>
    <w:rsid w:val="00FD6576"/>
    <w:rsid w:val="00FE2395"/>
    <w:rsid w:val="00FE419F"/>
    <w:rsid w:val="01205D5C"/>
    <w:rsid w:val="01E439E3"/>
    <w:rsid w:val="020E6AD8"/>
    <w:rsid w:val="02117D9A"/>
    <w:rsid w:val="02735455"/>
    <w:rsid w:val="02897931"/>
    <w:rsid w:val="029315FC"/>
    <w:rsid w:val="02E356AE"/>
    <w:rsid w:val="02F4136E"/>
    <w:rsid w:val="03266BB8"/>
    <w:rsid w:val="03281EB4"/>
    <w:rsid w:val="035641F1"/>
    <w:rsid w:val="039E0759"/>
    <w:rsid w:val="03E967D2"/>
    <w:rsid w:val="041820EB"/>
    <w:rsid w:val="04801CC7"/>
    <w:rsid w:val="04A83FDA"/>
    <w:rsid w:val="054162F4"/>
    <w:rsid w:val="05E509F9"/>
    <w:rsid w:val="06110369"/>
    <w:rsid w:val="06523298"/>
    <w:rsid w:val="06F0206A"/>
    <w:rsid w:val="07855FB3"/>
    <w:rsid w:val="0797574B"/>
    <w:rsid w:val="07CE7DC1"/>
    <w:rsid w:val="07ED0962"/>
    <w:rsid w:val="08B6781C"/>
    <w:rsid w:val="08E5697A"/>
    <w:rsid w:val="0997183B"/>
    <w:rsid w:val="0A053D41"/>
    <w:rsid w:val="0A193C90"/>
    <w:rsid w:val="0A80255A"/>
    <w:rsid w:val="0A9F110D"/>
    <w:rsid w:val="0AD252B2"/>
    <w:rsid w:val="0B0B182B"/>
    <w:rsid w:val="0B0E5E0E"/>
    <w:rsid w:val="0B315F12"/>
    <w:rsid w:val="0B5D195B"/>
    <w:rsid w:val="0B7D5814"/>
    <w:rsid w:val="0B893B8B"/>
    <w:rsid w:val="0BAE53B8"/>
    <w:rsid w:val="0C442FE8"/>
    <w:rsid w:val="0CA735F1"/>
    <w:rsid w:val="0CD10852"/>
    <w:rsid w:val="0D9E6986"/>
    <w:rsid w:val="0DD35EFE"/>
    <w:rsid w:val="0E16595C"/>
    <w:rsid w:val="0E2A021A"/>
    <w:rsid w:val="0E8F2773"/>
    <w:rsid w:val="0ED558F6"/>
    <w:rsid w:val="0F0547E3"/>
    <w:rsid w:val="0F6A63E1"/>
    <w:rsid w:val="0FCD5301"/>
    <w:rsid w:val="101210C7"/>
    <w:rsid w:val="103D460F"/>
    <w:rsid w:val="10545A22"/>
    <w:rsid w:val="106D3C24"/>
    <w:rsid w:val="108772B0"/>
    <w:rsid w:val="10A919EE"/>
    <w:rsid w:val="10EE1DD4"/>
    <w:rsid w:val="11030202"/>
    <w:rsid w:val="110450EB"/>
    <w:rsid w:val="11967974"/>
    <w:rsid w:val="12B31F4B"/>
    <w:rsid w:val="12E73A3A"/>
    <w:rsid w:val="131D034D"/>
    <w:rsid w:val="132F62D2"/>
    <w:rsid w:val="1387702A"/>
    <w:rsid w:val="14207245"/>
    <w:rsid w:val="145621C9"/>
    <w:rsid w:val="14657FA4"/>
    <w:rsid w:val="14757D15"/>
    <w:rsid w:val="14E804E7"/>
    <w:rsid w:val="15E2587E"/>
    <w:rsid w:val="15F657E9"/>
    <w:rsid w:val="16A071F3"/>
    <w:rsid w:val="16E50C58"/>
    <w:rsid w:val="17190E2C"/>
    <w:rsid w:val="173F7F67"/>
    <w:rsid w:val="17595A4D"/>
    <w:rsid w:val="17A02F3F"/>
    <w:rsid w:val="192C753C"/>
    <w:rsid w:val="195B397D"/>
    <w:rsid w:val="195E6FCA"/>
    <w:rsid w:val="196327C9"/>
    <w:rsid w:val="19EC5296"/>
    <w:rsid w:val="1A2C77DE"/>
    <w:rsid w:val="1A447076"/>
    <w:rsid w:val="1A530AF8"/>
    <w:rsid w:val="1A5605E9"/>
    <w:rsid w:val="1C3B3099"/>
    <w:rsid w:val="1C7A0F4E"/>
    <w:rsid w:val="1CE1063D"/>
    <w:rsid w:val="1D505B51"/>
    <w:rsid w:val="1F01666F"/>
    <w:rsid w:val="1FB2006F"/>
    <w:rsid w:val="1FC2201E"/>
    <w:rsid w:val="20101181"/>
    <w:rsid w:val="217F21D3"/>
    <w:rsid w:val="21FA16FB"/>
    <w:rsid w:val="2236180E"/>
    <w:rsid w:val="22431452"/>
    <w:rsid w:val="226761A6"/>
    <w:rsid w:val="22682327"/>
    <w:rsid w:val="22AB1BF2"/>
    <w:rsid w:val="230D784D"/>
    <w:rsid w:val="237B69A7"/>
    <w:rsid w:val="23BB3D61"/>
    <w:rsid w:val="23FD01D9"/>
    <w:rsid w:val="24123354"/>
    <w:rsid w:val="242641B0"/>
    <w:rsid w:val="242E56AA"/>
    <w:rsid w:val="24303C58"/>
    <w:rsid w:val="243510EC"/>
    <w:rsid w:val="24704055"/>
    <w:rsid w:val="25FF38E2"/>
    <w:rsid w:val="26310DAA"/>
    <w:rsid w:val="2705317A"/>
    <w:rsid w:val="2714160F"/>
    <w:rsid w:val="272D447F"/>
    <w:rsid w:val="27564F4F"/>
    <w:rsid w:val="282835C4"/>
    <w:rsid w:val="285861CA"/>
    <w:rsid w:val="28F11C08"/>
    <w:rsid w:val="298505A2"/>
    <w:rsid w:val="299101A6"/>
    <w:rsid w:val="29FB5D12"/>
    <w:rsid w:val="2A191742"/>
    <w:rsid w:val="2A1C0B2C"/>
    <w:rsid w:val="2A625794"/>
    <w:rsid w:val="2A925212"/>
    <w:rsid w:val="2AA07E0D"/>
    <w:rsid w:val="2AAE58D7"/>
    <w:rsid w:val="2ABD0FAC"/>
    <w:rsid w:val="2B3378A9"/>
    <w:rsid w:val="2B754A67"/>
    <w:rsid w:val="2B9278DC"/>
    <w:rsid w:val="2BA515BF"/>
    <w:rsid w:val="2BD650E5"/>
    <w:rsid w:val="2C210F74"/>
    <w:rsid w:val="2C360683"/>
    <w:rsid w:val="2C4544E2"/>
    <w:rsid w:val="2D6C7495"/>
    <w:rsid w:val="2D7B41F9"/>
    <w:rsid w:val="2DAE5947"/>
    <w:rsid w:val="2E206AEC"/>
    <w:rsid w:val="2EC300A8"/>
    <w:rsid w:val="2EF938AC"/>
    <w:rsid w:val="2F884949"/>
    <w:rsid w:val="31642F06"/>
    <w:rsid w:val="317A4765"/>
    <w:rsid w:val="31F77C77"/>
    <w:rsid w:val="32C91500"/>
    <w:rsid w:val="33460DA3"/>
    <w:rsid w:val="341903C8"/>
    <w:rsid w:val="34F32360"/>
    <w:rsid w:val="358776F1"/>
    <w:rsid w:val="36517E35"/>
    <w:rsid w:val="367775AD"/>
    <w:rsid w:val="36910996"/>
    <w:rsid w:val="36CE2327"/>
    <w:rsid w:val="375021F0"/>
    <w:rsid w:val="377B6F5E"/>
    <w:rsid w:val="37A44F3C"/>
    <w:rsid w:val="382A2A41"/>
    <w:rsid w:val="382B0567"/>
    <w:rsid w:val="393D49F6"/>
    <w:rsid w:val="3991089E"/>
    <w:rsid w:val="3A120D2D"/>
    <w:rsid w:val="3A611FB0"/>
    <w:rsid w:val="3B5E2A01"/>
    <w:rsid w:val="3B8A14D2"/>
    <w:rsid w:val="3B9C3C56"/>
    <w:rsid w:val="3C1001A0"/>
    <w:rsid w:val="3C252BF5"/>
    <w:rsid w:val="3D054875"/>
    <w:rsid w:val="3D070942"/>
    <w:rsid w:val="3D363C36"/>
    <w:rsid w:val="3E06552C"/>
    <w:rsid w:val="3EA13331"/>
    <w:rsid w:val="3F6A05CF"/>
    <w:rsid w:val="3F7F34F6"/>
    <w:rsid w:val="3FD17C46"/>
    <w:rsid w:val="400605A6"/>
    <w:rsid w:val="40DF0D69"/>
    <w:rsid w:val="41772819"/>
    <w:rsid w:val="41B70282"/>
    <w:rsid w:val="41C51A2C"/>
    <w:rsid w:val="427A45C5"/>
    <w:rsid w:val="439B7746"/>
    <w:rsid w:val="44295A66"/>
    <w:rsid w:val="44775260"/>
    <w:rsid w:val="449971D9"/>
    <w:rsid w:val="45A02594"/>
    <w:rsid w:val="46787D24"/>
    <w:rsid w:val="467D3AD3"/>
    <w:rsid w:val="46CB5068"/>
    <w:rsid w:val="47017063"/>
    <w:rsid w:val="47542AFA"/>
    <w:rsid w:val="4801244A"/>
    <w:rsid w:val="483D61D2"/>
    <w:rsid w:val="488A3088"/>
    <w:rsid w:val="49256E56"/>
    <w:rsid w:val="494A2A8C"/>
    <w:rsid w:val="49553696"/>
    <w:rsid w:val="49BF2E2C"/>
    <w:rsid w:val="49ED3086"/>
    <w:rsid w:val="49F50E8B"/>
    <w:rsid w:val="4A2D43AB"/>
    <w:rsid w:val="4A900A37"/>
    <w:rsid w:val="4B370F2C"/>
    <w:rsid w:val="4B695010"/>
    <w:rsid w:val="4BE13F29"/>
    <w:rsid w:val="4BE74342"/>
    <w:rsid w:val="4C4F0870"/>
    <w:rsid w:val="4D550108"/>
    <w:rsid w:val="4D840B28"/>
    <w:rsid w:val="4D8B1FBB"/>
    <w:rsid w:val="4D940410"/>
    <w:rsid w:val="4DA75071"/>
    <w:rsid w:val="4DC75607"/>
    <w:rsid w:val="4DC97D33"/>
    <w:rsid w:val="4E102281"/>
    <w:rsid w:val="4E232F27"/>
    <w:rsid w:val="4F1413A1"/>
    <w:rsid w:val="4FB058A2"/>
    <w:rsid w:val="5084105B"/>
    <w:rsid w:val="519F1317"/>
    <w:rsid w:val="520F403F"/>
    <w:rsid w:val="5244129E"/>
    <w:rsid w:val="524E3378"/>
    <w:rsid w:val="527C1C93"/>
    <w:rsid w:val="533B6FFD"/>
    <w:rsid w:val="53B10C27"/>
    <w:rsid w:val="5409797C"/>
    <w:rsid w:val="54354CE5"/>
    <w:rsid w:val="543F4C25"/>
    <w:rsid w:val="547A0454"/>
    <w:rsid w:val="548F53A9"/>
    <w:rsid w:val="55384597"/>
    <w:rsid w:val="55452FDF"/>
    <w:rsid w:val="5569512F"/>
    <w:rsid w:val="556A70BB"/>
    <w:rsid w:val="55AA4D69"/>
    <w:rsid w:val="55CD4B1F"/>
    <w:rsid w:val="56D6198C"/>
    <w:rsid w:val="56F75D8C"/>
    <w:rsid w:val="57D83E10"/>
    <w:rsid w:val="58B35EB8"/>
    <w:rsid w:val="58D02D39"/>
    <w:rsid w:val="58E10AA2"/>
    <w:rsid w:val="58EF1808"/>
    <w:rsid w:val="59723489"/>
    <w:rsid w:val="59B40DC7"/>
    <w:rsid w:val="59BE0DE3"/>
    <w:rsid w:val="59BF4E88"/>
    <w:rsid w:val="5A076E80"/>
    <w:rsid w:val="5A551748"/>
    <w:rsid w:val="5B3F7D02"/>
    <w:rsid w:val="5BEE5E2C"/>
    <w:rsid w:val="5C763BF7"/>
    <w:rsid w:val="5CA95D7B"/>
    <w:rsid w:val="5CE45005"/>
    <w:rsid w:val="5D184973"/>
    <w:rsid w:val="5DDC717D"/>
    <w:rsid w:val="5E166D58"/>
    <w:rsid w:val="5E6830F0"/>
    <w:rsid w:val="5E7F69EC"/>
    <w:rsid w:val="5E8611A0"/>
    <w:rsid w:val="5EFD6D69"/>
    <w:rsid w:val="5F0D68E3"/>
    <w:rsid w:val="5F2150E3"/>
    <w:rsid w:val="5F8B7996"/>
    <w:rsid w:val="5FBC5CAB"/>
    <w:rsid w:val="600C6BEC"/>
    <w:rsid w:val="604014F1"/>
    <w:rsid w:val="60681CFC"/>
    <w:rsid w:val="60C54572"/>
    <w:rsid w:val="60DE44DD"/>
    <w:rsid w:val="60EE50B5"/>
    <w:rsid w:val="61AD38FB"/>
    <w:rsid w:val="62065A1D"/>
    <w:rsid w:val="622D2D78"/>
    <w:rsid w:val="634B193A"/>
    <w:rsid w:val="635D166D"/>
    <w:rsid w:val="63A87F7A"/>
    <w:rsid w:val="63D40E32"/>
    <w:rsid w:val="642820CA"/>
    <w:rsid w:val="64A74A34"/>
    <w:rsid w:val="64F6723F"/>
    <w:rsid w:val="65030B3F"/>
    <w:rsid w:val="65BD2897"/>
    <w:rsid w:val="66603150"/>
    <w:rsid w:val="672755CB"/>
    <w:rsid w:val="677D278D"/>
    <w:rsid w:val="67C73559"/>
    <w:rsid w:val="68207415"/>
    <w:rsid w:val="68B62710"/>
    <w:rsid w:val="68F6187A"/>
    <w:rsid w:val="68FE38A5"/>
    <w:rsid w:val="693767B4"/>
    <w:rsid w:val="698976BF"/>
    <w:rsid w:val="69C81E79"/>
    <w:rsid w:val="6A0740E0"/>
    <w:rsid w:val="6A22132D"/>
    <w:rsid w:val="6B1F56CE"/>
    <w:rsid w:val="6B8A1C13"/>
    <w:rsid w:val="6C0E0F9E"/>
    <w:rsid w:val="6C79122E"/>
    <w:rsid w:val="6CBF6EF4"/>
    <w:rsid w:val="6D0E5786"/>
    <w:rsid w:val="6D1158FA"/>
    <w:rsid w:val="6D7E290C"/>
    <w:rsid w:val="6D877A12"/>
    <w:rsid w:val="6DC96001"/>
    <w:rsid w:val="6E492E0C"/>
    <w:rsid w:val="6E5A6ED5"/>
    <w:rsid w:val="6EB072A6"/>
    <w:rsid w:val="6EC16F54"/>
    <w:rsid w:val="6F70004A"/>
    <w:rsid w:val="6F7B1CB6"/>
    <w:rsid w:val="6FF02FF0"/>
    <w:rsid w:val="70413DE4"/>
    <w:rsid w:val="70700F6A"/>
    <w:rsid w:val="709E1CDF"/>
    <w:rsid w:val="711D5B6D"/>
    <w:rsid w:val="718F3339"/>
    <w:rsid w:val="719B1CDE"/>
    <w:rsid w:val="72060E42"/>
    <w:rsid w:val="72404633"/>
    <w:rsid w:val="72D00CF5"/>
    <w:rsid w:val="72E651DB"/>
    <w:rsid w:val="73CD6579"/>
    <w:rsid w:val="74EA69C3"/>
    <w:rsid w:val="7544268D"/>
    <w:rsid w:val="75567F48"/>
    <w:rsid w:val="756A5A1A"/>
    <w:rsid w:val="757D656B"/>
    <w:rsid w:val="76186748"/>
    <w:rsid w:val="768E503A"/>
    <w:rsid w:val="76A21661"/>
    <w:rsid w:val="76B15B00"/>
    <w:rsid w:val="76C05D43"/>
    <w:rsid w:val="775F2824"/>
    <w:rsid w:val="779969FD"/>
    <w:rsid w:val="779A6594"/>
    <w:rsid w:val="77A05E8A"/>
    <w:rsid w:val="782C2A5C"/>
    <w:rsid w:val="78A05419"/>
    <w:rsid w:val="78B42360"/>
    <w:rsid w:val="78E87052"/>
    <w:rsid w:val="790A14F7"/>
    <w:rsid w:val="79107B87"/>
    <w:rsid w:val="791F027F"/>
    <w:rsid w:val="79386064"/>
    <w:rsid w:val="79D833A4"/>
    <w:rsid w:val="7A356702"/>
    <w:rsid w:val="7A4B626B"/>
    <w:rsid w:val="7A6354C5"/>
    <w:rsid w:val="7A6C33C1"/>
    <w:rsid w:val="7A9360AB"/>
    <w:rsid w:val="7AF64429"/>
    <w:rsid w:val="7B747B2E"/>
    <w:rsid w:val="7B933826"/>
    <w:rsid w:val="7C352F07"/>
    <w:rsid w:val="7C3A64F7"/>
    <w:rsid w:val="7D4319D1"/>
    <w:rsid w:val="7E005E46"/>
    <w:rsid w:val="7E14658A"/>
    <w:rsid w:val="7E5C27F5"/>
    <w:rsid w:val="7E795155"/>
    <w:rsid w:val="7EE747B5"/>
    <w:rsid w:val="7F593D39"/>
    <w:rsid w:val="7F735751"/>
    <w:rsid w:val="7FA53D28"/>
    <w:rsid w:val="7FFF8C69"/>
    <w:rsid w:val="ABFBEBDB"/>
    <w:rsid w:val="D5FF1719"/>
    <w:rsid w:val="DE3CDAA2"/>
    <w:rsid w:val="DFC75262"/>
    <w:rsid w:val="F3DFC97A"/>
    <w:rsid w:val="FA78A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caption"/>
    <w:basedOn w:val="1"/>
    <w:next w:val="1"/>
    <w:semiHidden/>
    <w:unhideWhenUsed/>
    <w:qFormat/>
    <w:uiPriority w:val="0"/>
    <w:rPr>
      <w:rFonts w:ascii="Arial" w:hAnsi="Arial" w:eastAsia="黑体"/>
      <w:sz w:val="20"/>
    </w:rPr>
  </w:style>
  <w:style w:type="paragraph" w:styleId="6">
    <w:name w:val="annotation text"/>
    <w:basedOn w:val="1"/>
    <w:link w:val="33"/>
    <w:qFormat/>
    <w:uiPriority w:val="0"/>
    <w:pPr>
      <w:jc w:val="left"/>
    </w:pPr>
  </w:style>
  <w:style w:type="paragraph" w:styleId="7">
    <w:name w:val="Body Text"/>
    <w:basedOn w:val="1"/>
    <w:qFormat/>
    <w:uiPriority w:val="1"/>
    <w:pPr>
      <w:ind w:left="131"/>
    </w:pPr>
    <w:rPr>
      <w:rFonts w:ascii="Cambria" w:hAnsi="Cambria" w:eastAsia="Cambria" w:cs="Cambria"/>
      <w:sz w:val="16"/>
      <w:szCs w:val="16"/>
    </w:rPr>
  </w:style>
  <w:style w:type="paragraph" w:styleId="8">
    <w:name w:val="Balloon Text"/>
    <w:basedOn w:val="1"/>
    <w:link w:val="30"/>
    <w:qFormat/>
    <w:uiPriority w:val="0"/>
    <w:rPr>
      <w:sz w:val="18"/>
      <w:szCs w:val="18"/>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annotation subject"/>
    <w:basedOn w:val="6"/>
    <w:next w:val="6"/>
    <w:link w:val="34"/>
    <w:qFormat/>
    <w:uiPriority w:val="0"/>
    <w:rPr>
      <w:b/>
      <w:bCs/>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Emphasis"/>
    <w:basedOn w:val="16"/>
    <w:qFormat/>
    <w:uiPriority w:val="0"/>
    <w:rPr>
      <w:i/>
    </w:rPr>
  </w:style>
  <w:style w:type="character" w:styleId="19">
    <w:name w:val="Hyperlink"/>
    <w:basedOn w:val="16"/>
    <w:qFormat/>
    <w:uiPriority w:val="0"/>
    <w:rPr>
      <w:color w:val="0000FF"/>
      <w:u w:val="single"/>
    </w:rPr>
  </w:style>
  <w:style w:type="character" w:styleId="20">
    <w:name w:val="HTML Code"/>
    <w:basedOn w:val="16"/>
    <w:qFormat/>
    <w:uiPriority w:val="0"/>
    <w:rPr>
      <w:rFonts w:ascii="Courier New" w:hAnsi="Courier New"/>
      <w:sz w:val="20"/>
    </w:rPr>
  </w:style>
  <w:style w:type="character" w:styleId="21">
    <w:name w:val="annotation reference"/>
    <w:basedOn w:val="16"/>
    <w:qFormat/>
    <w:uiPriority w:val="0"/>
    <w:rPr>
      <w:sz w:val="21"/>
      <w:szCs w:val="21"/>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4">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5">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6">
    <w:name w:val="ql-long-31278906"/>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7">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8">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9">
    <w:name w:val="修订5"/>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0">
    <w:name w:val="批注框文本 字符"/>
    <w:basedOn w:val="16"/>
    <w:link w:val="8"/>
    <w:qFormat/>
    <w:uiPriority w:val="0"/>
    <w:rPr>
      <w:rFonts w:asciiTheme="minorHAnsi" w:hAnsiTheme="minorHAnsi" w:eastAsiaTheme="minorEastAsia" w:cstheme="minorBidi"/>
      <w:kern w:val="2"/>
      <w:sz w:val="18"/>
      <w:szCs w:val="18"/>
    </w:rPr>
  </w:style>
  <w:style w:type="paragraph" w:customStyle="1" w:styleId="31">
    <w:name w:val="修订6"/>
    <w:hidden/>
    <w:semiHidden/>
    <w:qFormat/>
    <w:uiPriority w:val="99"/>
    <w:rPr>
      <w:rFonts w:asciiTheme="minorHAnsi" w:hAnsiTheme="minorHAnsi" w:eastAsiaTheme="minorEastAsia" w:cstheme="minorBidi"/>
      <w:kern w:val="2"/>
      <w:sz w:val="21"/>
      <w:szCs w:val="22"/>
      <w:lang w:val="en-US" w:eastAsia="zh-CN" w:bidi="ar-SA"/>
    </w:rPr>
  </w:style>
  <w:style w:type="paragraph" w:styleId="32">
    <w:name w:val="List Paragraph"/>
    <w:basedOn w:val="1"/>
    <w:qFormat/>
    <w:uiPriority w:val="99"/>
    <w:pPr>
      <w:ind w:firstLine="420" w:firstLineChars="200"/>
    </w:pPr>
  </w:style>
  <w:style w:type="character" w:customStyle="1" w:styleId="33">
    <w:name w:val="批注文字 字符"/>
    <w:basedOn w:val="16"/>
    <w:link w:val="6"/>
    <w:qFormat/>
    <w:uiPriority w:val="0"/>
    <w:rPr>
      <w:rFonts w:asciiTheme="minorHAnsi" w:hAnsiTheme="minorHAnsi" w:eastAsiaTheme="minorEastAsia" w:cstheme="minorBidi"/>
      <w:kern w:val="2"/>
      <w:sz w:val="21"/>
      <w:szCs w:val="22"/>
    </w:rPr>
  </w:style>
  <w:style w:type="character" w:customStyle="1" w:styleId="34">
    <w:name w:val="批注主题 字符"/>
    <w:basedOn w:val="33"/>
    <w:link w:val="13"/>
    <w:qFormat/>
    <w:uiPriority w:val="0"/>
    <w:rPr>
      <w:rFonts w:asciiTheme="minorHAnsi" w:hAnsiTheme="minorHAnsi" w:eastAsiaTheme="minorEastAsia" w:cstheme="minorBidi"/>
      <w:b/>
      <w:bCs/>
      <w:kern w:val="2"/>
      <w:sz w:val="21"/>
      <w:szCs w:val="22"/>
    </w:rPr>
  </w:style>
  <w:style w:type="paragraph" w:customStyle="1" w:styleId="35">
    <w:name w:val="修订7"/>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6">
    <w:name w:val="EndNote Bibliography Title"/>
    <w:basedOn w:val="1"/>
    <w:link w:val="37"/>
    <w:qFormat/>
    <w:uiPriority w:val="0"/>
    <w:pPr>
      <w:jc w:val="center"/>
    </w:pPr>
    <w:rPr>
      <w:rFonts w:ascii="Calibri" w:hAnsi="Calibri" w:cs="Calibri"/>
      <w:sz w:val="20"/>
    </w:rPr>
  </w:style>
  <w:style w:type="character" w:customStyle="1" w:styleId="37">
    <w:name w:val="EndNote Bibliography Title 字符"/>
    <w:basedOn w:val="16"/>
    <w:link w:val="36"/>
    <w:qFormat/>
    <w:uiPriority w:val="0"/>
    <w:rPr>
      <w:rFonts w:ascii="Calibri" w:hAnsi="Calibri" w:cs="Calibri" w:eastAsiaTheme="minorEastAsia"/>
      <w:kern w:val="2"/>
      <w:szCs w:val="22"/>
    </w:rPr>
  </w:style>
  <w:style w:type="paragraph" w:customStyle="1" w:styleId="38">
    <w:name w:val="EndNote Bibliography"/>
    <w:basedOn w:val="1"/>
    <w:link w:val="39"/>
    <w:qFormat/>
    <w:uiPriority w:val="0"/>
    <w:rPr>
      <w:rFonts w:ascii="Calibri" w:hAnsi="Calibri" w:cs="Calibri"/>
      <w:sz w:val="20"/>
    </w:rPr>
  </w:style>
  <w:style w:type="character" w:customStyle="1" w:styleId="39">
    <w:name w:val="EndNote Bibliography 字符"/>
    <w:basedOn w:val="16"/>
    <w:link w:val="38"/>
    <w:qFormat/>
    <w:uiPriority w:val="0"/>
    <w:rPr>
      <w:rFonts w:ascii="Calibri" w:hAnsi="Calibri" w:cs="Calibri" w:eastAsiaTheme="minorEastAsia"/>
      <w:kern w:val="2"/>
      <w:szCs w:val="22"/>
    </w:rPr>
  </w:style>
  <w:style w:type="paragraph" w:customStyle="1" w:styleId="40">
    <w:name w:val="EndNote Category Heading"/>
    <w:basedOn w:val="1"/>
    <w:link w:val="41"/>
    <w:qFormat/>
    <w:uiPriority w:val="0"/>
    <w:pPr>
      <w:spacing w:before="120" w:after="120"/>
      <w:jc w:val="left"/>
    </w:pPr>
    <w:rPr>
      <w:b/>
    </w:rPr>
  </w:style>
  <w:style w:type="character" w:customStyle="1" w:styleId="41">
    <w:name w:val="EndNote Category Heading 字符"/>
    <w:basedOn w:val="16"/>
    <w:link w:val="40"/>
    <w:qFormat/>
    <w:uiPriority w:val="0"/>
    <w:rPr>
      <w:rFonts w:asciiTheme="minorHAnsi" w:hAnsiTheme="minorHAnsi" w:eastAsiaTheme="minorEastAsia" w:cstheme="minorBidi"/>
      <w:b/>
      <w:kern w:val="2"/>
      <w:sz w:val="21"/>
      <w:szCs w:val="22"/>
    </w:rPr>
  </w:style>
  <w:style w:type="paragraph" w:customStyle="1" w:styleId="42">
    <w:name w:val="修订8"/>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43">
    <w:name w:val="修订9"/>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4">
    <w:name w:val="未处理的提及1"/>
    <w:basedOn w:val="16"/>
    <w:semiHidden/>
    <w:unhideWhenUsed/>
    <w:qFormat/>
    <w:uiPriority w:val="99"/>
    <w:rPr>
      <w:color w:val="605E5C"/>
      <w:shd w:val="clear" w:color="auto" w:fill="E1DFDD"/>
    </w:rPr>
  </w:style>
  <w:style w:type="paragraph" w:customStyle="1" w:styleId="45">
    <w:name w:val="修订10"/>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46">
    <w:name w:val="未处理的提及2"/>
    <w:basedOn w:val="16"/>
    <w:semiHidden/>
    <w:unhideWhenUsed/>
    <w:qFormat/>
    <w:uiPriority w:val="99"/>
    <w:rPr>
      <w:color w:val="605E5C"/>
      <w:shd w:val="clear" w:color="auto" w:fill="E1DFDD"/>
    </w:rPr>
  </w:style>
  <w:style w:type="paragraph" w:customStyle="1" w:styleId="47">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emf"/><Relationship Id="rId6" Type="http://schemas.openxmlformats.org/officeDocument/2006/relationships/image" Target="media/image1.em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AE6B1-5E9E-40FE-BFF3-E6E5B7F4B292}">
  <ds:schemaRefs/>
</ds:datastoreItem>
</file>

<file path=docProps/app.xml><?xml version="1.0" encoding="utf-8"?>
<Properties xmlns="http://schemas.openxmlformats.org/officeDocument/2006/extended-properties" xmlns:vt="http://schemas.openxmlformats.org/officeDocument/2006/docPropsVTypes">
  <Template>Normal.dotm</Template>
  <Pages>5</Pages>
  <Words>360</Words>
  <Characters>2086</Characters>
  <Lines>17</Lines>
  <Paragraphs>4</Paragraphs>
  <TotalTime>16</TotalTime>
  <ScaleCrop>false</ScaleCrop>
  <LinksUpToDate>false</LinksUpToDate>
  <CharactersWithSpaces>2332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2025-05-09T02:21:00Z</dcterms:created>
  <dc:creator>Lenovo</dc:creator>
  <cp:lastModifiedBy>111</cp:lastModifiedBy>
  <dcterms:modified xsi:type="dcterms:W3CDTF">2026-05-27T06:50:05Z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E227DB6E7F6E4E5480F0976065C3692C_13</vt:lpwstr>
  </property>
  <property fmtid="{D5CDD505-2E9C-101B-9397-08002B2CF9AE}" pid="4" name="GrammarlyDocumentId">
    <vt:lpwstr>5f49f64d89c48f527ab335c53dac61fbf7efde5060fdee9465996acee6310ea1</vt:lpwstr>
  </property>
  <property fmtid="{D5CDD505-2E9C-101B-9397-08002B2CF9AE}" pid="5" name="KSOTemplateDocerSaveRecord">
    <vt:lpwstr>eyJoZGlkIjoiODRjOTY1OTFjMDMwMDQ4YTg0ODY5MDI2YzMzNjYxOTYiLCJ1c2VySWQiOiIzNzU0NTc5ODIifQ==</vt:lpwstr>
  </property>
</Properties>
</file>