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B6702" w14:textId="2F8BC198" w:rsidR="00720B68" w:rsidRPr="00C50129" w:rsidRDefault="00C50129">
      <w:pPr>
        <w:rPr>
          <w:rFonts w:ascii="Times New Roman" w:hAnsi="Times New Roman" w:cs="Times New Roman"/>
          <w:sz w:val="21"/>
          <w:szCs w:val="21"/>
        </w:rPr>
      </w:pPr>
      <w:r w:rsidRPr="00C50129">
        <w:rPr>
          <w:rFonts w:ascii="Times New Roman" w:hAnsi="Times New Roman" w:cs="Times New Roman"/>
          <w:b/>
          <w:bCs/>
          <w:sz w:val="21"/>
          <w:szCs w:val="21"/>
        </w:rPr>
        <w:t>Supplementary Table S1.</w:t>
      </w:r>
      <w:r w:rsidRPr="00C50129">
        <w:rPr>
          <w:rFonts w:ascii="Times New Roman" w:hAnsi="Times New Roman" w:cs="Times New Roman"/>
          <w:sz w:val="21"/>
          <w:szCs w:val="21"/>
        </w:rPr>
        <w:t xml:space="preserve"> Postoperative endocrine recovery, menstrual status, and fertility intentions in patients undergoing fertility-sparing surgery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"/>
        <w:gridCol w:w="923"/>
        <w:gridCol w:w="1554"/>
        <w:gridCol w:w="1588"/>
        <w:gridCol w:w="1491"/>
        <w:gridCol w:w="1565"/>
        <w:gridCol w:w="2266"/>
        <w:gridCol w:w="888"/>
        <w:gridCol w:w="1345"/>
        <w:gridCol w:w="1579"/>
      </w:tblGrid>
      <w:tr w:rsidR="00A95422" w:rsidRPr="00C50129" w14:paraId="5DA5B9FF" w14:textId="77777777" w:rsidTr="00C50129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519E95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Patient 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3D8283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Age at surgery,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C4A0E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Gravidity/Parity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5D7211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Preoperative menstrual status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EDE033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Preoperative serum testosterone, ng/mL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BEDF30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Postoperative serum testosterone, ng/mL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852C65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Postoperative menstrual/endocrine recovery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05177A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Age at last follow-up,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6275A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Fertility intention at last follow-up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48EC7F" w14:textId="2041ECEE" w:rsidR="00C50129" w:rsidRPr="00C50129" w:rsidRDefault="00A95422" w:rsidP="00C501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P</w:t>
            </w:r>
            <w:r w:rsidR="00C50129" w:rsidRPr="00C5012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ost-surgical reproductive event(s)</w:t>
            </w:r>
          </w:p>
        </w:tc>
      </w:tr>
      <w:tr w:rsidR="00C50129" w:rsidRPr="00C50129" w14:paraId="2EEA3C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D6120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E3DB4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4C5FCD51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G0P0</w:t>
            </w:r>
          </w:p>
        </w:tc>
        <w:tc>
          <w:tcPr>
            <w:tcW w:w="0" w:type="auto"/>
            <w:vAlign w:val="center"/>
            <w:hideMark/>
          </w:tcPr>
          <w:p w14:paraId="125481F5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Oligomenorrhea</w:t>
            </w:r>
          </w:p>
        </w:tc>
        <w:tc>
          <w:tcPr>
            <w:tcW w:w="0" w:type="auto"/>
            <w:vAlign w:val="center"/>
            <w:hideMark/>
          </w:tcPr>
          <w:p w14:paraId="4F0A4C33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14:paraId="591A2335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0.31</w:t>
            </w:r>
          </w:p>
        </w:tc>
        <w:tc>
          <w:tcPr>
            <w:tcW w:w="0" w:type="auto"/>
            <w:vAlign w:val="center"/>
            <w:hideMark/>
          </w:tcPr>
          <w:p w14:paraId="5AC58A8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</w:t>
            </w:r>
          </w:p>
        </w:tc>
        <w:tc>
          <w:tcPr>
            <w:tcW w:w="0" w:type="auto"/>
            <w:vAlign w:val="center"/>
            <w:hideMark/>
          </w:tcPr>
          <w:p w14:paraId="676175C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20F0275D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Single</w:t>
            </w:r>
          </w:p>
        </w:tc>
        <w:tc>
          <w:tcPr>
            <w:tcW w:w="0" w:type="auto"/>
            <w:vAlign w:val="center"/>
            <w:hideMark/>
          </w:tcPr>
          <w:p w14:paraId="3822ECF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307C63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28DA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D710E0C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453495D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G1P0</w:t>
            </w:r>
          </w:p>
        </w:tc>
        <w:tc>
          <w:tcPr>
            <w:tcW w:w="0" w:type="auto"/>
            <w:vAlign w:val="center"/>
            <w:hideMark/>
          </w:tcPr>
          <w:p w14:paraId="0D65046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77672FE5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6.35</w:t>
            </w:r>
          </w:p>
        </w:tc>
        <w:tc>
          <w:tcPr>
            <w:tcW w:w="0" w:type="auto"/>
            <w:vAlign w:val="center"/>
            <w:hideMark/>
          </w:tcPr>
          <w:p w14:paraId="4CA558C8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0.27</w:t>
            </w:r>
          </w:p>
        </w:tc>
        <w:tc>
          <w:tcPr>
            <w:tcW w:w="0" w:type="auto"/>
            <w:vAlign w:val="center"/>
            <w:hideMark/>
          </w:tcPr>
          <w:p w14:paraId="7E4BBC68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resumed; later perimenopausal</w:t>
            </w:r>
          </w:p>
        </w:tc>
        <w:tc>
          <w:tcPr>
            <w:tcW w:w="0" w:type="auto"/>
            <w:vAlign w:val="center"/>
            <w:hideMark/>
          </w:tcPr>
          <w:p w14:paraId="3A87D41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07E18A4C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 desire for childbearing</w:t>
            </w:r>
          </w:p>
        </w:tc>
        <w:tc>
          <w:tcPr>
            <w:tcW w:w="0" w:type="auto"/>
            <w:vAlign w:val="center"/>
            <w:hideMark/>
          </w:tcPr>
          <w:p w14:paraId="728341B3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7154DB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D2EA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7C37038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0FB4ECFD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G0P0</w:t>
            </w:r>
          </w:p>
        </w:tc>
        <w:tc>
          <w:tcPr>
            <w:tcW w:w="0" w:type="auto"/>
            <w:vAlign w:val="center"/>
            <w:hideMark/>
          </w:tcPr>
          <w:p w14:paraId="2AF454D1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7A66A48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9.04</w:t>
            </w:r>
          </w:p>
        </w:tc>
        <w:tc>
          <w:tcPr>
            <w:tcW w:w="0" w:type="auto"/>
            <w:vAlign w:val="center"/>
            <w:hideMark/>
          </w:tcPr>
          <w:p w14:paraId="4EC2974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0.36</w:t>
            </w:r>
          </w:p>
        </w:tc>
        <w:tc>
          <w:tcPr>
            <w:tcW w:w="0" w:type="auto"/>
            <w:vAlign w:val="center"/>
            <w:hideMark/>
          </w:tcPr>
          <w:p w14:paraId="1A32362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</w:t>
            </w:r>
          </w:p>
        </w:tc>
        <w:tc>
          <w:tcPr>
            <w:tcW w:w="0" w:type="auto"/>
            <w:vAlign w:val="center"/>
            <w:hideMark/>
          </w:tcPr>
          <w:p w14:paraId="1354CC0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3723785D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Single; no desire for childbearing</w:t>
            </w:r>
          </w:p>
        </w:tc>
        <w:tc>
          <w:tcPr>
            <w:tcW w:w="0" w:type="auto"/>
            <w:vAlign w:val="center"/>
            <w:hideMark/>
          </w:tcPr>
          <w:p w14:paraId="66CD697D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4252EB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AC20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DA2092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6C4677C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G5P2</w:t>
            </w:r>
          </w:p>
        </w:tc>
        <w:tc>
          <w:tcPr>
            <w:tcW w:w="0" w:type="auto"/>
            <w:vAlign w:val="center"/>
            <w:hideMark/>
          </w:tcPr>
          <w:p w14:paraId="666F1B1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4F6F019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6.49</w:t>
            </w:r>
          </w:p>
        </w:tc>
        <w:tc>
          <w:tcPr>
            <w:tcW w:w="0" w:type="auto"/>
            <w:vAlign w:val="center"/>
            <w:hideMark/>
          </w:tcPr>
          <w:p w14:paraId="709C0B10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0.39</w:t>
            </w:r>
          </w:p>
        </w:tc>
        <w:tc>
          <w:tcPr>
            <w:tcW w:w="0" w:type="auto"/>
            <w:vAlign w:val="center"/>
            <w:hideMark/>
          </w:tcPr>
          <w:p w14:paraId="2D615A8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resumed; later perimenopausal</w:t>
            </w:r>
          </w:p>
        </w:tc>
        <w:tc>
          <w:tcPr>
            <w:tcW w:w="0" w:type="auto"/>
            <w:vAlign w:val="center"/>
            <w:hideMark/>
          </w:tcPr>
          <w:p w14:paraId="0ADAAE4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025DC83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 desire for childbearing</w:t>
            </w:r>
          </w:p>
        </w:tc>
        <w:tc>
          <w:tcPr>
            <w:tcW w:w="0" w:type="auto"/>
            <w:vAlign w:val="center"/>
            <w:hideMark/>
          </w:tcPr>
          <w:p w14:paraId="62D5E22E" w14:textId="0D0DEEE5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 xml:space="preserve">Induced abortion </w:t>
            </w:r>
          </w:p>
        </w:tc>
      </w:tr>
      <w:tr w:rsidR="00C50129" w:rsidRPr="00C50129" w14:paraId="118CE0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21C12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3FCCB3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740CDE1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G0P0</w:t>
            </w:r>
          </w:p>
        </w:tc>
        <w:tc>
          <w:tcPr>
            <w:tcW w:w="0" w:type="auto"/>
            <w:vAlign w:val="center"/>
            <w:hideMark/>
          </w:tcPr>
          <w:p w14:paraId="2CB0F26C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1B50D99A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9.45</w:t>
            </w:r>
          </w:p>
        </w:tc>
        <w:tc>
          <w:tcPr>
            <w:tcW w:w="0" w:type="auto"/>
            <w:vAlign w:val="center"/>
            <w:hideMark/>
          </w:tcPr>
          <w:p w14:paraId="07B89D8C" w14:textId="066D24CC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111117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080CAF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</w:t>
            </w:r>
          </w:p>
        </w:tc>
        <w:tc>
          <w:tcPr>
            <w:tcW w:w="0" w:type="auto"/>
            <w:vAlign w:val="center"/>
            <w:hideMark/>
          </w:tcPr>
          <w:p w14:paraId="77F74E0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65795CC0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Desires future childbearing</w:t>
            </w:r>
          </w:p>
        </w:tc>
        <w:tc>
          <w:tcPr>
            <w:tcW w:w="0" w:type="auto"/>
            <w:vAlign w:val="center"/>
            <w:hideMark/>
          </w:tcPr>
          <w:p w14:paraId="7BE8157A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5C6E28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BBB2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F97880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534B667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G0</w:t>
            </w:r>
          </w:p>
        </w:tc>
        <w:tc>
          <w:tcPr>
            <w:tcW w:w="0" w:type="auto"/>
            <w:vAlign w:val="center"/>
            <w:hideMark/>
          </w:tcPr>
          <w:p w14:paraId="0EA6B3D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2C4E9D1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3.15</w:t>
            </w:r>
          </w:p>
        </w:tc>
        <w:tc>
          <w:tcPr>
            <w:tcW w:w="0" w:type="auto"/>
            <w:vAlign w:val="center"/>
            <w:hideMark/>
          </w:tcPr>
          <w:p w14:paraId="5EEE697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0.53</w:t>
            </w:r>
          </w:p>
        </w:tc>
        <w:tc>
          <w:tcPr>
            <w:tcW w:w="0" w:type="auto"/>
            <w:vAlign w:val="center"/>
            <w:hideMark/>
          </w:tcPr>
          <w:p w14:paraId="7B50740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</w:t>
            </w:r>
          </w:p>
        </w:tc>
        <w:tc>
          <w:tcPr>
            <w:tcW w:w="0" w:type="auto"/>
            <w:vAlign w:val="center"/>
            <w:hideMark/>
          </w:tcPr>
          <w:p w14:paraId="587F6E01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2BAC112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 desire for childbearing</w:t>
            </w:r>
          </w:p>
        </w:tc>
        <w:tc>
          <w:tcPr>
            <w:tcW w:w="0" w:type="auto"/>
            <w:vAlign w:val="center"/>
            <w:hideMark/>
          </w:tcPr>
          <w:p w14:paraId="031BCC0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4BEF5C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E739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A762EF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72F5A1C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G0</w:t>
            </w:r>
          </w:p>
        </w:tc>
        <w:tc>
          <w:tcPr>
            <w:tcW w:w="0" w:type="auto"/>
            <w:vAlign w:val="center"/>
            <w:hideMark/>
          </w:tcPr>
          <w:p w14:paraId="544B875C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7094C63C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3.19</w:t>
            </w:r>
          </w:p>
        </w:tc>
        <w:tc>
          <w:tcPr>
            <w:tcW w:w="0" w:type="auto"/>
            <w:vAlign w:val="center"/>
            <w:hideMark/>
          </w:tcPr>
          <w:p w14:paraId="1685E8A1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0.55</w:t>
            </w:r>
          </w:p>
        </w:tc>
        <w:tc>
          <w:tcPr>
            <w:tcW w:w="0" w:type="auto"/>
            <w:vAlign w:val="center"/>
            <w:hideMark/>
          </w:tcPr>
          <w:p w14:paraId="2A3A33A5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</w:t>
            </w:r>
          </w:p>
        </w:tc>
        <w:tc>
          <w:tcPr>
            <w:tcW w:w="0" w:type="auto"/>
            <w:vAlign w:val="center"/>
            <w:hideMark/>
          </w:tcPr>
          <w:p w14:paraId="15DBFB8A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334D924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Not sexually active</w:t>
            </w:r>
          </w:p>
        </w:tc>
        <w:tc>
          <w:tcPr>
            <w:tcW w:w="0" w:type="auto"/>
            <w:vAlign w:val="center"/>
            <w:hideMark/>
          </w:tcPr>
          <w:p w14:paraId="41F0BF80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68BD1F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DD31C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4B28A42D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712F255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G3P0</w:t>
            </w:r>
          </w:p>
        </w:tc>
        <w:tc>
          <w:tcPr>
            <w:tcW w:w="0" w:type="auto"/>
            <w:vAlign w:val="center"/>
            <w:hideMark/>
          </w:tcPr>
          <w:p w14:paraId="38B96AE1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3C460A9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12.14</w:t>
            </w:r>
          </w:p>
        </w:tc>
        <w:tc>
          <w:tcPr>
            <w:tcW w:w="0" w:type="auto"/>
            <w:vAlign w:val="center"/>
            <w:hideMark/>
          </w:tcPr>
          <w:p w14:paraId="6610F5F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0.53</w:t>
            </w:r>
          </w:p>
        </w:tc>
        <w:tc>
          <w:tcPr>
            <w:tcW w:w="0" w:type="auto"/>
            <w:vAlign w:val="center"/>
            <w:hideMark/>
          </w:tcPr>
          <w:p w14:paraId="33B88D33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</w:t>
            </w:r>
          </w:p>
        </w:tc>
        <w:tc>
          <w:tcPr>
            <w:tcW w:w="0" w:type="auto"/>
            <w:vAlign w:val="center"/>
            <w:hideMark/>
          </w:tcPr>
          <w:p w14:paraId="4A0DA529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0885E240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 desire for childbearing</w:t>
            </w:r>
          </w:p>
        </w:tc>
        <w:tc>
          <w:tcPr>
            <w:tcW w:w="0" w:type="auto"/>
            <w:vAlign w:val="center"/>
            <w:hideMark/>
          </w:tcPr>
          <w:p w14:paraId="13456840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3306F0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165C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58A3CC3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6349EAE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G0</w:t>
            </w:r>
          </w:p>
        </w:tc>
        <w:tc>
          <w:tcPr>
            <w:tcW w:w="0" w:type="auto"/>
            <w:vAlign w:val="center"/>
            <w:hideMark/>
          </w:tcPr>
          <w:p w14:paraId="25C515C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14E245AC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5.94</w:t>
            </w:r>
          </w:p>
        </w:tc>
        <w:tc>
          <w:tcPr>
            <w:tcW w:w="0" w:type="auto"/>
            <w:vAlign w:val="center"/>
            <w:hideMark/>
          </w:tcPr>
          <w:p w14:paraId="4797960D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0.46</w:t>
            </w:r>
          </w:p>
        </w:tc>
        <w:tc>
          <w:tcPr>
            <w:tcW w:w="0" w:type="auto"/>
            <w:vAlign w:val="center"/>
            <w:hideMark/>
          </w:tcPr>
          <w:p w14:paraId="1D643DE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Irregular cycles persisted (coexisting PCOS)</w:t>
            </w:r>
          </w:p>
        </w:tc>
        <w:tc>
          <w:tcPr>
            <w:tcW w:w="0" w:type="auto"/>
            <w:vAlign w:val="center"/>
            <w:hideMark/>
          </w:tcPr>
          <w:p w14:paraId="29A77DD8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1993806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Desires future childbearing</w:t>
            </w:r>
          </w:p>
        </w:tc>
        <w:tc>
          <w:tcPr>
            <w:tcW w:w="0" w:type="auto"/>
            <w:vAlign w:val="center"/>
            <w:hideMark/>
          </w:tcPr>
          <w:p w14:paraId="4AB23E25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3659FB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49121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350763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00D39338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G6P2</w:t>
            </w:r>
          </w:p>
        </w:tc>
        <w:tc>
          <w:tcPr>
            <w:tcW w:w="0" w:type="auto"/>
            <w:vAlign w:val="center"/>
            <w:hideMark/>
          </w:tcPr>
          <w:p w14:paraId="4FC3752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187240A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14.45</w:t>
            </w:r>
          </w:p>
        </w:tc>
        <w:tc>
          <w:tcPr>
            <w:tcW w:w="0" w:type="auto"/>
            <w:vAlign w:val="center"/>
            <w:hideMark/>
          </w:tcPr>
          <w:p w14:paraId="7226D953" w14:textId="34AA3DAF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Normalized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*</w:t>
            </w: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76C27C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 initially; later surgical menopause</w:t>
            </w:r>
          </w:p>
        </w:tc>
        <w:tc>
          <w:tcPr>
            <w:tcW w:w="0" w:type="auto"/>
            <w:vAlign w:val="center"/>
            <w:hideMark/>
          </w:tcPr>
          <w:p w14:paraId="6B3E18D0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484ACD83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 desire for childbearing</w:t>
            </w:r>
          </w:p>
        </w:tc>
        <w:tc>
          <w:tcPr>
            <w:tcW w:w="0" w:type="auto"/>
            <w:vAlign w:val="center"/>
            <w:hideMark/>
          </w:tcPr>
          <w:p w14:paraId="78BAEE6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594D5F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4962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57A0A14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4857A4C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G2P1</w:t>
            </w:r>
          </w:p>
        </w:tc>
        <w:tc>
          <w:tcPr>
            <w:tcW w:w="0" w:type="auto"/>
            <w:vAlign w:val="center"/>
            <w:hideMark/>
          </w:tcPr>
          <w:p w14:paraId="6558BEB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1899E95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2.40</w:t>
            </w:r>
          </w:p>
        </w:tc>
        <w:tc>
          <w:tcPr>
            <w:tcW w:w="0" w:type="auto"/>
            <w:vAlign w:val="center"/>
            <w:hideMark/>
          </w:tcPr>
          <w:p w14:paraId="639AA864" w14:textId="2E775FFD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 xml:space="preserve">Normalized </w:t>
            </w:r>
          </w:p>
        </w:tc>
        <w:tc>
          <w:tcPr>
            <w:tcW w:w="0" w:type="auto"/>
            <w:vAlign w:val="center"/>
            <w:hideMark/>
          </w:tcPr>
          <w:p w14:paraId="3F3AFE1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 initially; later surgical menopause</w:t>
            </w:r>
          </w:p>
        </w:tc>
        <w:tc>
          <w:tcPr>
            <w:tcW w:w="0" w:type="auto"/>
            <w:vAlign w:val="center"/>
            <w:hideMark/>
          </w:tcPr>
          <w:p w14:paraId="55327233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0B53F110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 desire for childbearing</w:t>
            </w:r>
          </w:p>
        </w:tc>
        <w:tc>
          <w:tcPr>
            <w:tcW w:w="0" w:type="auto"/>
            <w:vAlign w:val="center"/>
            <w:hideMark/>
          </w:tcPr>
          <w:p w14:paraId="2E53A0D2" w14:textId="0B2106C8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 xml:space="preserve">Ectopic pregnancy </w:t>
            </w:r>
          </w:p>
        </w:tc>
      </w:tr>
      <w:tr w:rsidR="00C50129" w:rsidRPr="00C50129" w14:paraId="6AAF01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88CF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DF46C3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14E96D2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G1P1</w:t>
            </w:r>
          </w:p>
        </w:tc>
        <w:tc>
          <w:tcPr>
            <w:tcW w:w="0" w:type="auto"/>
            <w:vAlign w:val="center"/>
            <w:hideMark/>
          </w:tcPr>
          <w:p w14:paraId="5A0E2B5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Irregular menstruation</w:t>
            </w:r>
          </w:p>
        </w:tc>
        <w:tc>
          <w:tcPr>
            <w:tcW w:w="0" w:type="auto"/>
            <w:vAlign w:val="center"/>
            <w:hideMark/>
          </w:tcPr>
          <w:p w14:paraId="6CA19A3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19.60</w:t>
            </w:r>
          </w:p>
        </w:tc>
        <w:tc>
          <w:tcPr>
            <w:tcW w:w="0" w:type="auto"/>
            <w:vAlign w:val="center"/>
            <w:hideMark/>
          </w:tcPr>
          <w:p w14:paraId="0EA55818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83141C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 initially; later surgical menopause</w:t>
            </w:r>
          </w:p>
        </w:tc>
        <w:tc>
          <w:tcPr>
            <w:tcW w:w="0" w:type="auto"/>
            <w:vAlign w:val="center"/>
            <w:hideMark/>
          </w:tcPr>
          <w:p w14:paraId="14B607FA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265CC5C8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 desire for childbearing</w:t>
            </w:r>
          </w:p>
        </w:tc>
        <w:tc>
          <w:tcPr>
            <w:tcW w:w="0" w:type="auto"/>
            <w:vAlign w:val="center"/>
            <w:hideMark/>
          </w:tcPr>
          <w:p w14:paraId="501C59D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459E84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912B1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0AEFAEC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3DD1BC8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G0</w:t>
            </w:r>
          </w:p>
        </w:tc>
        <w:tc>
          <w:tcPr>
            <w:tcW w:w="0" w:type="auto"/>
            <w:vAlign w:val="center"/>
            <w:hideMark/>
          </w:tcPr>
          <w:p w14:paraId="447F9EA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 menarche</w:t>
            </w:r>
          </w:p>
        </w:tc>
        <w:tc>
          <w:tcPr>
            <w:tcW w:w="0" w:type="auto"/>
            <w:vAlign w:val="center"/>
            <w:hideMark/>
          </w:tcPr>
          <w:p w14:paraId="6EF61BB8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2.52</w:t>
            </w:r>
          </w:p>
        </w:tc>
        <w:tc>
          <w:tcPr>
            <w:tcW w:w="0" w:type="auto"/>
            <w:vAlign w:val="center"/>
            <w:hideMark/>
          </w:tcPr>
          <w:p w14:paraId="729264B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&lt;0.10</w:t>
            </w:r>
          </w:p>
        </w:tc>
        <w:tc>
          <w:tcPr>
            <w:tcW w:w="0" w:type="auto"/>
            <w:vAlign w:val="center"/>
            <w:hideMark/>
          </w:tcPr>
          <w:p w14:paraId="752FB373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Menarche at age 11; regular cycles thereafter</w:t>
            </w:r>
          </w:p>
        </w:tc>
        <w:tc>
          <w:tcPr>
            <w:tcW w:w="0" w:type="auto"/>
            <w:vAlign w:val="center"/>
            <w:hideMark/>
          </w:tcPr>
          <w:p w14:paraId="4204284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48B16F9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Not sexually active</w:t>
            </w:r>
          </w:p>
        </w:tc>
        <w:tc>
          <w:tcPr>
            <w:tcW w:w="0" w:type="auto"/>
            <w:vAlign w:val="center"/>
            <w:hideMark/>
          </w:tcPr>
          <w:p w14:paraId="56FD11B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031F97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2CB7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684180D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49B8EC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G0</w:t>
            </w:r>
          </w:p>
        </w:tc>
        <w:tc>
          <w:tcPr>
            <w:tcW w:w="0" w:type="auto"/>
            <w:vAlign w:val="center"/>
            <w:hideMark/>
          </w:tcPr>
          <w:p w14:paraId="5EC04865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11A6331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3.92</w:t>
            </w:r>
          </w:p>
        </w:tc>
        <w:tc>
          <w:tcPr>
            <w:tcW w:w="0" w:type="auto"/>
            <w:vAlign w:val="center"/>
            <w:hideMark/>
          </w:tcPr>
          <w:p w14:paraId="3001EDFD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0.19</w:t>
            </w:r>
          </w:p>
        </w:tc>
        <w:tc>
          <w:tcPr>
            <w:tcW w:w="0" w:type="auto"/>
            <w:vAlign w:val="center"/>
            <w:hideMark/>
          </w:tcPr>
          <w:p w14:paraId="5513E271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</w:t>
            </w:r>
          </w:p>
        </w:tc>
        <w:tc>
          <w:tcPr>
            <w:tcW w:w="0" w:type="auto"/>
            <w:vAlign w:val="center"/>
            <w:hideMark/>
          </w:tcPr>
          <w:p w14:paraId="76E2F99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7C8E0F50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 xml:space="preserve">No desire for </w:t>
            </w:r>
            <w:r w:rsidRPr="00C5012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childbearing</w:t>
            </w:r>
          </w:p>
        </w:tc>
        <w:tc>
          <w:tcPr>
            <w:tcW w:w="0" w:type="auto"/>
            <w:vAlign w:val="center"/>
            <w:hideMark/>
          </w:tcPr>
          <w:p w14:paraId="70EE5AD5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Induced abortion</w:t>
            </w:r>
          </w:p>
        </w:tc>
      </w:tr>
      <w:tr w:rsidR="00C50129" w:rsidRPr="00C50129" w14:paraId="560E53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1797A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99E3CB3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68B87DA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G0</w:t>
            </w:r>
          </w:p>
        </w:tc>
        <w:tc>
          <w:tcPr>
            <w:tcW w:w="0" w:type="auto"/>
            <w:vAlign w:val="center"/>
            <w:hideMark/>
          </w:tcPr>
          <w:p w14:paraId="41E79475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Irregular menstruation</w:t>
            </w:r>
          </w:p>
        </w:tc>
        <w:tc>
          <w:tcPr>
            <w:tcW w:w="0" w:type="auto"/>
            <w:vAlign w:val="center"/>
            <w:hideMark/>
          </w:tcPr>
          <w:p w14:paraId="6C37134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2.13</w:t>
            </w:r>
          </w:p>
        </w:tc>
        <w:tc>
          <w:tcPr>
            <w:tcW w:w="0" w:type="auto"/>
            <w:vAlign w:val="center"/>
            <w:hideMark/>
          </w:tcPr>
          <w:p w14:paraId="17ECB07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6E3B8FBD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</w:t>
            </w:r>
          </w:p>
        </w:tc>
        <w:tc>
          <w:tcPr>
            <w:tcW w:w="0" w:type="auto"/>
            <w:vAlign w:val="center"/>
            <w:hideMark/>
          </w:tcPr>
          <w:p w14:paraId="7E0627D0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D3254F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Not sexually active</w:t>
            </w:r>
          </w:p>
        </w:tc>
        <w:tc>
          <w:tcPr>
            <w:tcW w:w="0" w:type="auto"/>
            <w:vAlign w:val="center"/>
            <w:hideMark/>
          </w:tcPr>
          <w:p w14:paraId="1EF2720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3655A2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CF273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660E200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46F0CA1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G0</w:t>
            </w:r>
          </w:p>
        </w:tc>
        <w:tc>
          <w:tcPr>
            <w:tcW w:w="0" w:type="auto"/>
            <w:vAlign w:val="center"/>
            <w:hideMark/>
          </w:tcPr>
          <w:p w14:paraId="1E85009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6F74517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5.81</w:t>
            </w:r>
          </w:p>
        </w:tc>
        <w:tc>
          <w:tcPr>
            <w:tcW w:w="0" w:type="auto"/>
            <w:vAlign w:val="center"/>
            <w:hideMark/>
          </w:tcPr>
          <w:p w14:paraId="5C66D777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0.61</w:t>
            </w:r>
          </w:p>
        </w:tc>
        <w:tc>
          <w:tcPr>
            <w:tcW w:w="0" w:type="auto"/>
            <w:vAlign w:val="center"/>
            <w:hideMark/>
          </w:tcPr>
          <w:p w14:paraId="7064CCC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</w:t>
            </w:r>
          </w:p>
        </w:tc>
        <w:tc>
          <w:tcPr>
            <w:tcW w:w="0" w:type="auto"/>
            <w:vAlign w:val="center"/>
            <w:hideMark/>
          </w:tcPr>
          <w:p w14:paraId="6610618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D7B6339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Not sexually active</w:t>
            </w:r>
          </w:p>
        </w:tc>
        <w:tc>
          <w:tcPr>
            <w:tcW w:w="0" w:type="auto"/>
            <w:vAlign w:val="center"/>
            <w:hideMark/>
          </w:tcPr>
          <w:p w14:paraId="219A44F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51585A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648B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3960184D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369125E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G0</w:t>
            </w:r>
          </w:p>
        </w:tc>
        <w:tc>
          <w:tcPr>
            <w:tcW w:w="0" w:type="auto"/>
            <w:vAlign w:val="center"/>
            <w:hideMark/>
          </w:tcPr>
          <w:p w14:paraId="7968DAC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469DCA6D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0.78</w:t>
            </w:r>
          </w:p>
        </w:tc>
        <w:tc>
          <w:tcPr>
            <w:tcW w:w="0" w:type="auto"/>
            <w:vAlign w:val="center"/>
            <w:hideMark/>
          </w:tcPr>
          <w:p w14:paraId="2E6B920A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6FCE465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</w:t>
            </w:r>
          </w:p>
        </w:tc>
        <w:tc>
          <w:tcPr>
            <w:tcW w:w="0" w:type="auto"/>
            <w:vAlign w:val="center"/>
            <w:hideMark/>
          </w:tcPr>
          <w:p w14:paraId="576CBCEF" w14:textId="02477A0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0199147D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Unknown</w:t>
            </w:r>
          </w:p>
        </w:tc>
        <w:tc>
          <w:tcPr>
            <w:tcW w:w="0" w:type="auto"/>
            <w:vAlign w:val="center"/>
            <w:hideMark/>
          </w:tcPr>
          <w:p w14:paraId="68B3B5F5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C50129" w:rsidRPr="00C50129" w14:paraId="3B3CC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1991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37AB68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75BA766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G3P1</w:t>
            </w:r>
          </w:p>
        </w:tc>
        <w:tc>
          <w:tcPr>
            <w:tcW w:w="0" w:type="auto"/>
            <w:vAlign w:val="center"/>
            <w:hideMark/>
          </w:tcPr>
          <w:p w14:paraId="0D5DEB59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vAlign w:val="center"/>
            <w:hideMark/>
          </w:tcPr>
          <w:p w14:paraId="671A6E33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11.09</w:t>
            </w:r>
          </w:p>
        </w:tc>
        <w:tc>
          <w:tcPr>
            <w:tcW w:w="0" w:type="auto"/>
            <w:vAlign w:val="center"/>
            <w:hideMark/>
          </w:tcPr>
          <w:p w14:paraId="7C02958E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0.09</w:t>
            </w:r>
          </w:p>
        </w:tc>
        <w:tc>
          <w:tcPr>
            <w:tcW w:w="0" w:type="auto"/>
            <w:vAlign w:val="center"/>
            <w:hideMark/>
          </w:tcPr>
          <w:p w14:paraId="0A307288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</w:t>
            </w:r>
          </w:p>
        </w:tc>
        <w:tc>
          <w:tcPr>
            <w:tcW w:w="0" w:type="auto"/>
            <w:vAlign w:val="center"/>
            <w:hideMark/>
          </w:tcPr>
          <w:p w14:paraId="7FA68E50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14:paraId="33AE9B2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 desire for childbearing</w:t>
            </w:r>
          </w:p>
        </w:tc>
        <w:tc>
          <w:tcPr>
            <w:tcW w:w="0" w:type="auto"/>
            <w:vAlign w:val="center"/>
            <w:hideMark/>
          </w:tcPr>
          <w:p w14:paraId="4C823BCC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A95422" w:rsidRPr="00C50129" w14:paraId="3E041D61" w14:textId="77777777" w:rsidTr="00C50129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6FC2138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1933AF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849AC22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G0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D5D7A1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Amenorrhea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6222B0F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2.44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7DAC2B4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0.37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E6C4E95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Regular cycles resumed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C0F5FC6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4DA313B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Desired childbearing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19F797A" w14:textId="77777777" w:rsidR="00C50129" w:rsidRPr="00C50129" w:rsidRDefault="00C50129" w:rsidP="00C50129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0129">
              <w:rPr>
                <w:rFonts w:ascii="Times New Roman" w:hAnsi="Times New Roman" w:cs="Times New Roman"/>
                <w:sz w:val="21"/>
                <w:szCs w:val="21"/>
              </w:rPr>
              <w:t>Spontaneous twin pregnancy resulting in live birth</w:t>
            </w:r>
          </w:p>
        </w:tc>
      </w:tr>
    </w:tbl>
    <w:p w14:paraId="11BE73BF" w14:textId="415485D8" w:rsidR="00C50129" w:rsidRPr="00C50129" w:rsidRDefault="00A207D1">
      <w:pPr>
        <w:rPr>
          <w:rFonts w:ascii="Times New Roman" w:hAnsi="Times New Roman" w:cs="Times New Roman"/>
        </w:rPr>
      </w:pPr>
      <w:r w:rsidRPr="00A207D1">
        <w:rPr>
          <w:rFonts w:ascii="Times New Roman" w:hAnsi="Times New Roman" w:cs="Times New Roman"/>
        </w:rPr>
        <w:t>Abbreviations:</w:t>
      </w:r>
      <w:r>
        <w:rPr>
          <w:rFonts w:ascii="Times New Roman" w:hAnsi="Times New Roman" w:cs="Times New Roman" w:hint="eastAsia"/>
        </w:rPr>
        <w:t xml:space="preserve"> </w:t>
      </w:r>
      <w:r w:rsidR="00C50129" w:rsidRPr="00C50129">
        <w:rPr>
          <w:rFonts w:ascii="Times New Roman" w:hAnsi="Times New Roman" w:cs="Times New Roman"/>
        </w:rPr>
        <w:t>PCOS, polycystic ovary syndrome.</w:t>
      </w:r>
      <w:r w:rsidR="00C50129" w:rsidRPr="00C50129">
        <w:rPr>
          <w:rFonts w:ascii="Times New Roman" w:hAnsi="Times New Roman" w:cs="Times New Roman"/>
        </w:rPr>
        <w:t xml:space="preserve"> </w:t>
      </w:r>
    </w:p>
    <w:p w14:paraId="0CE96F9C" w14:textId="629F960B" w:rsidR="00A207D1" w:rsidRDefault="00C50129">
      <w:pPr>
        <w:rPr>
          <w:rFonts w:ascii="Times New Roman" w:hAnsi="Times New Roman" w:cs="Times New Roman"/>
        </w:rPr>
      </w:pPr>
      <w:r w:rsidRPr="00C50129">
        <w:rPr>
          <w:rFonts w:ascii="Times New Roman" w:hAnsi="Times New Roman" w:cs="Times New Roman"/>
        </w:rPr>
        <w:t>Postoperative serum testosterone values refer to the first documented postoperative assessment after surgery.</w:t>
      </w:r>
      <w:r w:rsidRPr="00C50129">
        <w:rPr>
          <w:rFonts w:ascii="Times New Roman" w:hAnsi="Times New Roman" w:cs="Times New Roman"/>
        </w:rPr>
        <w:t xml:space="preserve"> </w:t>
      </w:r>
      <w:r w:rsidRPr="00C50129">
        <w:rPr>
          <w:rFonts w:ascii="Times New Roman" w:hAnsi="Times New Roman" w:cs="Times New Roman"/>
        </w:rPr>
        <w:t xml:space="preserve">The normal reference range for serum testosterone may have varied slightly over time according to assay method and laboratory platform. </w:t>
      </w:r>
      <w:r w:rsidR="00A207D1" w:rsidRPr="00A207D1">
        <w:rPr>
          <w:rFonts w:ascii="Times New Roman" w:hAnsi="Times New Roman" w:cs="Times New Roman"/>
        </w:rPr>
        <w:t>“Normalized” indicates return to the normal range when the exact numeric value was unavailable in the medical record.</w:t>
      </w:r>
    </w:p>
    <w:p w14:paraId="75415D1F" w14:textId="6F50E18A" w:rsidR="00C50129" w:rsidRPr="00C50129" w:rsidRDefault="00C50129">
      <w:pPr>
        <w:rPr>
          <w:rFonts w:ascii="Times New Roman" w:hAnsi="Times New Roman" w:cs="Times New Roman"/>
        </w:rPr>
      </w:pPr>
      <w:r w:rsidRPr="00C50129">
        <w:rPr>
          <w:rFonts w:ascii="Times New Roman" w:hAnsi="Times New Roman" w:cs="Times New Roman"/>
        </w:rPr>
        <w:lastRenderedPageBreak/>
        <w:t>Fertility intention was defined according to the most recent available follow-up record.</w:t>
      </w:r>
    </w:p>
    <w:sectPr w:rsidR="00C50129" w:rsidRPr="00C50129" w:rsidSect="00C501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9C325" w14:textId="77777777" w:rsidR="00AF716F" w:rsidRDefault="00AF716F" w:rsidP="0018121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6F86EF5" w14:textId="77777777" w:rsidR="00AF716F" w:rsidRDefault="00AF716F" w:rsidP="0018121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07E71" w14:textId="77777777" w:rsidR="00AF716F" w:rsidRDefault="00AF716F" w:rsidP="0018121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154FD2E" w14:textId="77777777" w:rsidR="00AF716F" w:rsidRDefault="00AF716F" w:rsidP="0018121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68"/>
    <w:rsid w:val="00041C20"/>
    <w:rsid w:val="00111117"/>
    <w:rsid w:val="00181216"/>
    <w:rsid w:val="001E26C1"/>
    <w:rsid w:val="00720B68"/>
    <w:rsid w:val="007856B4"/>
    <w:rsid w:val="00971A39"/>
    <w:rsid w:val="00A207D1"/>
    <w:rsid w:val="00A95422"/>
    <w:rsid w:val="00AF716F"/>
    <w:rsid w:val="00C5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BB4E0"/>
  <w15:chartTrackingRefBased/>
  <w15:docId w15:val="{AEC02FDB-8EA8-4CBA-BE78-4D6F0EE8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0B6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B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0B6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0B6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0B6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0B6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0B6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0B6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B6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0B6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0B6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20B6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0B6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0B6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0B6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20B6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2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0B6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20B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0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20B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0B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0B6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20B6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20B6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8121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8121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8121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8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zhaojy1221@126.com</dc:creator>
  <cp:keywords/>
  <dc:description/>
  <cp:lastModifiedBy>zhaojy1221@126.com</cp:lastModifiedBy>
  <cp:revision>8</cp:revision>
  <dcterms:created xsi:type="dcterms:W3CDTF">2026-03-29T12:56:00Z</dcterms:created>
  <dcterms:modified xsi:type="dcterms:W3CDTF">2026-03-29T13:20:00Z</dcterms:modified>
</cp:coreProperties>
</file>