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  <w:sz w:val="28"/>
          <w:szCs w:val="28"/>
          <w:shd w:val="pct15" w:color="auto" w:fill="FFFFFF"/>
        </w:rPr>
      </w:pPr>
      <w:r w:rsidRPr="0062268A">
        <w:rPr>
          <w:b/>
          <w:bCs/>
          <w:color w:val="000000" w:themeColor="text1"/>
          <w:sz w:val="28"/>
          <w:szCs w:val="28"/>
          <w:shd w:val="pct15" w:color="auto" w:fill="FFFFFF"/>
        </w:rPr>
        <w:t>Supplementary Results</w:t>
      </w:r>
    </w:p>
    <w:p w:rsidR="00416C66" w:rsidRPr="0062268A" w:rsidRDefault="00416C66" w:rsidP="00416C66">
      <w:pPr>
        <w:spacing w:after="80"/>
        <w:rPr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t>Table S1. Treatment Exposure: Chemotherapy, Bevacizumab, and PARP Inhibitor (N=70).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760"/>
      </w:tblGrid>
      <w:tr w:rsidR="00416C66" w:rsidRPr="0062268A" w:rsidTr="00AD2E19">
        <w:trPr>
          <w:tblHeader/>
        </w:trPr>
        <w:tc>
          <w:tcPr>
            <w:tcW w:w="66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27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Value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Chemotherapy and bevacizumab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Platinum–taxane cycles, total — median (range)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7 (6–10)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Bevacizumab cycles (among 42 recipients) — median (range)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15 (3–24)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PARP inhibitor (among 52 recipients)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Agent — olaparib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36 (69.2%)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Agent — niraparib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16 (30.8%)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Combined with bevacizumab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15 (28.8%)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Starting dose — full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37 (71.2%)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Starting dose — reduced by one level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12 (23.1%)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Starting dose — reduced by two levels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 (5.8%)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Dose modification during therapy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32 (61.5%)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Duration, months — median (IQR; range)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19.1 (10.2–24.5; 2.0–50.0)</w:t>
            </w:r>
          </w:p>
        </w:tc>
      </w:tr>
      <w:tr w:rsidR="00416C66" w:rsidRPr="0062268A" w:rsidTr="00AD2E19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25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Discontinued by data cut-off</w:t>
            </w:r>
          </w:p>
        </w:tc>
        <w:tc>
          <w:tcPr>
            <w:tcW w:w="27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43 (82.7%)</w:t>
            </w:r>
          </w:p>
        </w:tc>
      </w:tr>
    </w:tbl>
    <w:p w:rsidR="00416C66" w:rsidRPr="0062268A" w:rsidRDefault="00416C66" w:rsidP="00416C66">
      <w:pPr>
        <w:spacing w:before="80" w:line="360" w:lineRule="auto"/>
        <w:rPr>
          <w:rFonts w:eastAsia="Times New Roman"/>
          <w:b/>
          <w:bCs/>
          <w:color w:val="000000" w:themeColor="text1"/>
        </w:rPr>
      </w:pPr>
      <w:r w:rsidRPr="0062268A">
        <w:rPr>
          <w:color w:val="000000" w:themeColor="text1"/>
        </w:rPr>
        <w:t xml:space="preserve">Data are n (%) unless otherwise indicated. </w:t>
      </w:r>
      <w:r w:rsidRPr="0062268A">
        <w:rPr>
          <w:rStyle w:val="Strong"/>
          <w:b w:val="0"/>
          <w:bCs w:val="0"/>
          <w:color w:val="000000" w:themeColor="text1"/>
        </w:rPr>
        <w:t>PARPi starting-dose levels (full dose, reduced by one level, reduced by two levels) are defined in the Methods.</w:t>
      </w:r>
      <w:r w:rsidRPr="0062268A">
        <w:rPr>
          <w:color w:val="000000" w:themeColor="text1"/>
        </w:rPr>
        <w:t xml:space="preserve"> Rucaparib and other PARP inhibitors were not available under Taiwan National Health Insurance and were not used. IQR, interquartile range; PARP, poly(ADP-ribose) polymerase.</w:t>
      </w:r>
      <w:r w:rsidRPr="0062268A">
        <w:rPr>
          <w:rFonts w:eastAsia="Times New Roman"/>
          <w:b/>
          <w:bCs/>
          <w:color w:val="000000" w:themeColor="text1"/>
        </w:rPr>
        <w:br w:type="page"/>
      </w:r>
    </w:p>
    <w:p w:rsidR="00416C66" w:rsidRPr="0062268A" w:rsidRDefault="00416C66" w:rsidP="00416C66">
      <w:pPr>
        <w:spacing w:before="200" w:after="80" w:line="360" w:lineRule="auto"/>
        <w:rPr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lastRenderedPageBreak/>
        <w:t>Table S2. Reasons for discontinuation of PARPi maintenance therapy (n = 43)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1600"/>
        <w:gridCol w:w="1600"/>
        <w:gridCol w:w="1760"/>
      </w:tblGrid>
      <w:tr w:rsidR="00416C66" w:rsidRPr="0062268A" w:rsidTr="00AD2E19">
        <w:tc>
          <w:tcPr>
            <w:tcW w:w="44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Reason for discontinuation</w:t>
            </w:r>
          </w:p>
        </w:tc>
        <w:tc>
          <w:tcPr>
            <w:tcW w:w="16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 xml:space="preserve">Olaparib </w:t>
            </w:r>
          </w:p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(n = 30)</w:t>
            </w:r>
          </w:p>
        </w:tc>
        <w:tc>
          <w:tcPr>
            <w:tcW w:w="16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 xml:space="preserve">Niraparib </w:t>
            </w:r>
          </w:p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(n = 13)</w:t>
            </w:r>
          </w:p>
        </w:tc>
        <w:tc>
          <w:tcPr>
            <w:tcW w:w="17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Total, n (%)</w:t>
            </w:r>
          </w:p>
        </w:tc>
      </w:tr>
      <w:tr w:rsidR="00416C66" w:rsidRPr="0062268A" w:rsidTr="00AD2E19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Disease progression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16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25 (58.1)</w:t>
            </w:r>
          </w:p>
        </w:tc>
      </w:tr>
      <w:tr w:rsidR="00416C66" w:rsidRPr="0062268A" w:rsidTr="00AD2E19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Completion of planned maintenance course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16 (37.2)</w:t>
            </w:r>
          </w:p>
        </w:tc>
      </w:tr>
      <w:tr w:rsidR="00416C66" w:rsidRPr="0062268A" w:rsidTr="00AD2E19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Grade ≥3 hematologic toxicity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 (4.7)</w:t>
            </w:r>
          </w:p>
        </w:tc>
      </w:tr>
      <w:tr w:rsidR="00416C66" w:rsidRPr="0062268A" w:rsidTr="00AD2E19">
        <w:tc>
          <w:tcPr>
            <w:tcW w:w="4400" w:type="dxa"/>
            <w:tcBorders>
              <w:top w:val="single" w:sz="8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600" w:type="dxa"/>
            <w:tcBorders>
              <w:top w:val="single" w:sz="8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30</w:t>
            </w:r>
          </w:p>
        </w:tc>
        <w:tc>
          <w:tcPr>
            <w:tcW w:w="1600" w:type="dxa"/>
            <w:tcBorders>
              <w:top w:val="single" w:sz="8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1760" w:type="dxa"/>
            <w:tcBorders>
              <w:top w:val="single" w:sz="8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before="20" w:after="20" w:line="360" w:lineRule="auto"/>
              <w:jc w:val="center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43 (100)</w:t>
            </w:r>
          </w:p>
        </w:tc>
      </w:tr>
    </w:tbl>
    <w:p w:rsidR="00416C66" w:rsidRPr="0062268A" w:rsidRDefault="00416C66" w:rsidP="00416C66">
      <w:pPr>
        <w:spacing w:before="20" w:after="120" w:line="360" w:lineRule="auto"/>
        <w:rPr>
          <w:color w:val="000000" w:themeColor="text1"/>
        </w:rPr>
      </w:pPr>
      <w:r w:rsidRPr="0062268A">
        <w:rPr>
          <w:rFonts w:eastAsia="Times New Roman"/>
          <w:color w:val="000000" w:themeColor="text1"/>
        </w:rPr>
        <w:t>Completion of planned maintenance comprised olaparib administered for 2 years (n = 14) and niraparib in 2 patients — one BRCA2 carrier who discontinued at 2 years in accordance with National Health Insurance coverage, and one BRCA–wild-type patient who self-funded 3 years of therapy. Both toxicity-related discontinuations occurred with niraparib (at 3.5 and 7 months). PARPi, poly(ADP-ribose) polymerase inhibitor.</w:t>
      </w:r>
    </w:p>
    <w:p w:rsidR="00416C66" w:rsidRPr="0062268A" w:rsidRDefault="00416C66" w:rsidP="00416C66">
      <w:pPr>
        <w:rPr>
          <w:b/>
          <w:bCs/>
          <w:color w:val="000000" w:themeColor="text1"/>
        </w:rPr>
      </w:pPr>
      <w:r w:rsidRPr="0062268A">
        <w:rPr>
          <w:b/>
          <w:bCs/>
          <w:color w:val="000000" w:themeColor="text1"/>
        </w:rPr>
        <w:br w:type="page"/>
      </w:r>
    </w:p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</w:rPr>
      </w:pPr>
      <w:r w:rsidRPr="0062268A">
        <w:rPr>
          <w:b/>
          <w:bCs/>
          <w:color w:val="000000" w:themeColor="text1"/>
        </w:rPr>
        <w:lastRenderedPageBreak/>
        <w:t xml:space="preserve">Table S3. Baseline Characteristics: </w:t>
      </w:r>
      <w:r w:rsidRPr="0062268A">
        <w:rPr>
          <w:b/>
          <w:bCs/>
          <w:i/>
          <w:iCs/>
          <w:color w:val="000000" w:themeColor="text1"/>
        </w:rPr>
        <w:t>BRCA</w:t>
      </w:r>
      <w:r w:rsidRPr="0062268A">
        <w:rPr>
          <w:b/>
          <w:bCs/>
          <w:color w:val="000000" w:themeColor="text1"/>
        </w:rPr>
        <w:t xml:space="preserve">m vs </w:t>
      </w:r>
      <w:r w:rsidRPr="0062268A">
        <w:rPr>
          <w:b/>
          <w:bCs/>
          <w:i/>
          <w:iCs/>
          <w:color w:val="000000" w:themeColor="text1"/>
        </w:rPr>
        <w:t>BRCA</w:t>
      </w:r>
      <w:r w:rsidRPr="0062268A">
        <w:rPr>
          <w:b/>
          <w:bCs/>
          <w:color w:val="000000" w:themeColor="text1"/>
        </w:rPr>
        <w:t>wt within HRD Cohort (N=70)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2694"/>
        <w:gridCol w:w="2551"/>
        <w:gridCol w:w="1325"/>
      </w:tblGrid>
      <w:tr w:rsidR="00416C66" w:rsidRPr="0062268A" w:rsidTr="00AD2E19">
        <w:tc>
          <w:tcPr>
            <w:tcW w:w="28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rPr>
                <w:rFonts w:eastAsia="MS Mincho"/>
                <w:color w:val="000000" w:themeColor="text1"/>
              </w:rPr>
            </w:pPr>
            <w:r w:rsidRPr="0062268A">
              <w:rPr>
                <w:b/>
                <w:color w:val="000000" w:themeColor="text1"/>
              </w:rPr>
              <w:t xml:space="preserve">Clinical </w:t>
            </w:r>
            <w:r w:rsidRPr="0062268A">
              <w:rPr>
                <w:rFonts w:eastAsia="MS Mincho"/>
                <w:b/>
                <w:color w:val="000000" w:themeColor="text1"/>
              </w:rPr>
              <w:t>Variable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i/>
                <w:iCs/>
                <w:color w:val="000000" w:themeColor="text1"/>
              </w:rPr>
              <w:t>BRCA</w:t>
            </w:r>
            <w:r w:rsidRPr="0062268A">
              <w:rPr>
                <w:rFonts w:eastAsia="MS Mincho"/>
                <w:b/>
                <w:color w:val="000000" w:themeColor="text1"/>
              </w:rPr>
              <w:t>m (n=37)</w:t>
            </w:r>
          </w:p>
        </w:tc>
        <w:tc>
          <w:tcPr>
            <w:tcW w:w="25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i/>
                <w:iCs/>
                <w:color w:val="000000" w:themeColor="text1"/>
              </w:rPr>
              <w:t>BRCA</w:t>
            </w:r>
            <w:r w:rsidRPr="0062268A">
              <w:rPr>
                <w:rFonts w:eastAsia="MS Mincho"/>
                <w:b/>
                <w:color w:val="000000" w:themeColor="text1"/>
              </w:rPr>
              <w:t>wt/HRD (n=33)</w:t>
            </w:r>
          </w:p>
        </w:tc>
        <w:tc>
          <w:tcPr>
            <w:tcW w:w="132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PMingLiU"/>
                <w:b/>
                <w:i/>
                <w:iCs/>
                <w:color w:val="000000" w:themeColor="text1"/>
              </w:rPr>
              <w:t>p</w:t>
            </w:r>
            <w:r w:rsidRPr="0062268A">
              <w:rPr>
                <w:rFonts w:eastAsia="MS Mincho"/>
                <w:b/>
                <w:color w:val="000000" w:themeColor="text1"/>
              </w:rPr>
              <w:t xml:space="preserve"> value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Mean age (years)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59.5 ± 10.7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59.2 ± 9.8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0.930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color w:val="000000" w:themeColor="text1"/>
              </w:rPr>
            </w:pPr>
            <w:r w:rsidRPr="0062268A">
              <w:rPr>
                <w:color w:val="000000" w:themeColor="text1"/>
              </w:rPr>
              <w:t>FIGO stage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color w:val="000000" w:themeColor="text1"/>
              </w:rPr>
            </w:pPr>
            <w:r w:rsidRPr="0062268A">
              <w:rPr>
                <w:color w:val="000000" w:themeColor="text1"/>
              </w:rPr>
              <w:t>0.578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III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29 (78.4)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23 (69.7)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IV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8 (21.6)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10 (30.3)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NACT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0.104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25 (67.6)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15 (45.5)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12 (32.4)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18 (54.5)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Optimal debulking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</w:t>
            </w:r>
            <w:r w:rsidRPr="0062268A">
              <w:rPr>
                <w:rFonts w:eastAsia="Microsoft JhengHei"/>
                <w:color w:val="000000" w:themeColor="text1"/>
                <w:lang w:eastAsia="zh-TW"/>
              </w:rPr>
              <w:t>101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30 (81.1)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21 (63.6)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7 (18.9)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12 (36.4)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Bevacizumab</w:t>
            </w:r>
            <w:r w:rsidRPr="0062268A">
              <w:rPr>
                <w:color w:val="000000" w:themeColor="text1"/>
              </w:rPr>
              <w:t xml:space="preserve"> maintenance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0.406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20 (54.1)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22 (66.7)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17 (45.9)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11 (33.3)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CA125 ≥10.9 U/mL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1.000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23 (62.2)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21 (63.6)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14 (37.8)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12 (36.4)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PARPi maintenance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bCs/>
                <w:color w:val="000000" w:themeColor="text1"/>
              </w:rPr>
              <w:t>&lt;0.001</w:t>
            </w: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36 (97.3)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16 (48.5)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 (2.7)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17 (51.5)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Recurrence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16 (43.2)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21 (63.6)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b/>
                <w:bCs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Death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6 (16.2)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7 (21.2)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  <w:lang w:eastAsia="zh-TW"/>
              </w:rPr>
            </w:pPr>
          </w:p>
        </w:tc>
      </w:tr>
      <w:tr w:rsidR="00416C66" w:rsidRPr="0062268A" w:rsidTr="00AD2E19"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 w:line="360" w:lineRule="auto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Median PFS</w:t>
            </w:r>
            <w:r w:rsidRPr="0062268A">
              <w:rPr>
                <w:rFonts w:hint="eastAsia"/>
                <w:color w:val="000000" w:themeColor="text1"/>
              </w:rPr>
              <w:t xml:space="preserve"> </w:t>
            </w:r>
            <w:r w:rsidRPr="0062268A">
              <w:rPr>
                <w:rFonts w:eastAsia="MS Mincho"/>
                <w:color w:val="000000" w:themeColor="text1"/>
              </w:rPr>
              <w:t>(months)</w:t>
            </w:r>
          </w:p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Median OS (months)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58.6</w:t>
            </w:r>
          </w:p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NR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15.5</w:t>
            </w:r>
          </w:p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NR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b/>
                <w:bCs/>
                <w:color w:val="000000" w:themeColor="text1"/>
              </w:rPr>
            </w:pPr>
            <w:r w:rsidRPr="0062268A">
              <w:rPr>
                <w:rFonts w:eastAsia="MS Mincho"/>
                <w:b/>
                <w:bCs/>
                <w:color w:val="000000" w:themeColor="text1"/>
              </w:rPr>
              <w:t>0.020</w:t>
            </w:r>
          </w:p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0.317</w:t>
            </w:r>
          </w:p>
        </w:tc>
      </w:tr>
    </w:tbl>
    <w:p w:rsidR="00416C66" w:rsidRPr="0062268A" w:rsidRDefault="00416C66" w:rsidP="00416C66">
      <w:pPr>
        <w:rPr>
          <w:color w:val="000000" w:themeColor="text1"/>
        </w:rPr>
      </w:pPr>
      <w:r w:rsidRPr="0062268A">
        <w:rPr>
          <w:color w:val="000000" w:themeColor="text1"/>
        </w:rPr>
        <w:br w:type="page"/>
      </w:r>
    </w:p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</w:rPr>
      </w:pPr>
      <w:r w:rsidRPr="0062268A">
        <w:rPr>
          <w:b/>
          <w:bCs/>
          <w:color w:val="000000" w:themeColor="text1"/>
        </w:rPr>
        <w:lastRenderedPageBreak/>
        <w:t>Table S4. HRD-positive/</w:t>
      </w:r>
      <w:r w:rsidRPr="0062268A">
        <w:rPr>
          <w:b/>
          <w:bCs/>
          <w:i/>
          <w:iCs/>
          <w:color w:val="000000" w:themeColor="text1"/>
        </w:rPr>
        <w:t>BRCA</w:t>
      </w:r>
      <w:r w:rsidRPr="0062268A">
        <w:rPr>
          <w:b/>
          <w:bCs/>
          <w:color w:val="000000" w:themeColor="text1"/>
        </w:rPr>
        <w:t xml:space="preserve">wt </w:t>
      </w:r>
      <w:r w:rsidRPr="0062268A">
        <w:rPr>
          <w:b/>
          <w:bCs/>
          <w:color w:val="000000" w:themeColor="text1"/>
          <w:lang w:eastAsia="zh-TW"/>
        </w:rPr>
        <w:t>S</w:t>
      </w:r>
      <w:r w:rsidRPr="0062268A">
        <w:rPr>
          <w:rFonts w:hint="eastAsia"/>
          <w:b/>
          <w:bCs/>
          <w:color w:val="000000" w:themeColor="text1"/>
          <w:lang w:eastAsia="zh-TW"/>
        </w:rPr>
        <w:t>u</w:t>
      </w:r>
      <w:r w:rsidRPr="0062268A">
        <w:rPr>
          <w:b/>
          <w:bCs/>
          <w:color w:val="000000" w:themeColor="text1"/>
        </w:rPr>
        <w:t>bgroup: PARPi vs No PARPi (N=33)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2552"/>
        <w:gridCol w:w="2409"/>
        <w:gridCol w:w="1418"/>
      </w:tblGrid>
      <w:tr w:rsidR="00416C66" w:rsidRPr="0062268A" w:rsidTr="00AD2E19">
        <w:tc>
          <w:tcPr>
            <w:tcW w:w="297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color w:val="000000" w:themeColor="text1"/>
              </w:rPr>
              <w:t>Variable</w:t>
            </w:r>
          </w:p>
        </w:tc>
        <w:tc>
          <w:tcPr>
            <w:tcW w:w="255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color w:val="000000" w:themeColor="text1"/>
              </w:rPr>
              <w:t>PARPi (n=16)</w:t>
            </w:r>
          </w:p>
        </w:tc>
        <w:tc>
          <w:tcPr>
            <w:tcW w:w="240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b/>
                <w:color w:val="000000" w:themeColor="text1"/>
              </w:rPr>
              <w:t>No PARPi (n=17)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PMingLiU"/>
                <w:b/>
                <w:i/>
                <w:iCs/>
                <w:color w:val="000000" w:themeColor="text1"/>
              </w:rPr>
              <w:t>p</w:t>
            </w:r>
            <w:r w:rsidRPr="0062268A">
              <w:rPr>
                <w:rFonts w:eastAsia="MS Mincho"/>
                <w:b/>
                <w:color w:val="000000" w:themeColor="text1"/>
              </w:rPr>
              <w:t xml:space="preserve"> value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Mean age (years)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56.6 ± 11.7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61.7 ± 7.2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0.141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NACT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1.000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7 (43.8)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8 (47.1)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9 (56.2)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9 (52.9)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Optimal debulking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0.818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11 (68.8)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10 (58.8)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 (31.2)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7 (41.2)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Bevacizumab </w:t>
            </w:r>
            <w:r w:rsidRPr="0062268A">
              <w:rPr>
                <w:color w:val="000000" w:themeColor="text1"/>
              </w:rPr>
              <w:t>maintenance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1.000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11 (68.8)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11 (64.7)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5 (31.2)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6 (35.3)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CA125 ≥10.9 U/mL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0.223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8 (50.0)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13 (76.5)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 xml:space="preserve">  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8 (50.0)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4 (23.5)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Median PFS (months)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23.1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13.0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0.226</w:t>
            </w:r>
          </w:p>
        </w:tc>
      </w:tr>
      <w:tr w:rsidR="00416C66" w:rsidRPr="0062268A" w:rsidTr="00AD2E19">
        <w:tc>
          <w:tcPr>
            <w:tcW w:w="29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before="20" w:after="20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3-year PFS rate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44.1%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  <w:r w:rsidRPr="0062268A">
              <w:rPr>
                <w:rFonts w:eastAsia="MS Mincho"/>
                <w:color w:val="000000" w:themeColor="text1"/>
              </w:rPr>
              <w:t>25.0%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416C66" w:rsidRPr="0062268A" w:rsidRDefault="00416C66" w:rsidP="00AD2E19">
            <w:pPr>
              <w:spacing w:after="200"/>
              <w:jc w:val="center"/>
              <w:rPr>
                <w:rFonts w:eastAsia="MS Mincho"/>
                <w:color w:val="000000" w:themeColor="text1"/>
              </w:rPr>
            </w:pPr>
          </w:p>
        </w:tc>
      </w:tr>
    </w:tbl>
    <w:p w:rsidR="00416C66" w:rsidRPr="0062268A" w:rsidRDefault="00416C66" w:rsidP="00416C66">
      <w:pPr>
        <w:rPr>
          <w:color w:val="000000" w:themeColor="text1"/>
        </w:rPr>
      </w:pPr>
      <w:r w:rsidRPr="0062268A">
        <w:rPr>
          <w:color w:val="000000" w:themeColor="text1"/>
        </w:rPr>
        <w:t>This analysis is restricted to the 33 HRD-positive/</w:t>
      </w:r>
      <w:r w:rsidRPr="0062268A">
        <w:rPr>
          <w:i/>
          <w:iCs/>
          <w:color w:val="000000" w:themeColor="text1"/>
        </w:rPr>
        <w:t>BRCA</w:t>
      </w:r>
      <w:r w:rsidRPr="0062268A">
        <w:rPr>
          <w:color w:val="000000" w:themeColor="text1"/>
        </w:rPr>
        <w:t xml:space="preserve">wt patients (16 who received and 17 who did not receive PARPi maintenance); the single </w:t>
      </w:r>
      <w:r w:rsidRPr="0062268A">
        <w:rPr>
          <w:i/>
          <w:iCs/>
          <w:color w:val="000000" w:themeColor="text1"/>
        </w:rPr>
        <w:t>BRCA</w:t>
      </w:r>
      <w:r w:rsidRPr="0062268A">
        <w:rPr>
          <w:color w:val="000000" w:themeColor="text1"/>
        </w:rPr>
        <w:t xml:space="preserve">m patient who did not receive PARPi maintenance is included in the overall cohort but not in this </w:t>
      </w:r>
      <w:r w:rsidRPr="0062268A">
        <w:rPr>
          <w:i/>
          <w:iCs/>
          <w:color w:val="000000" w:themeColor="text1"/>
        </w:rPr>
        <w:t>BRCA</w:t>
      </w:r>
      <w:r w:rsidRPr="0062268A">
        <w:rPr>
          <w:color w:val="000000" w:themeColor="text1"/>
        </w:rPr>
        <w:t>wt subgroup. CA125, cancer antigen 125; NACT, neoadjuvant chemotherapy; PARPi, poly(ADP-ribose) polymerase inhibitors; PFS, progression-free survival</w:t>
      </w:r>
    </w:p>
    <w:p w:rsidR="00416C66" w:rsidRPr="0062268A" w:rsidRDefault="00416C66" w:rsidP="00416C66">
      <w:pPr>
        <w:rPr>
          <w:color w:val="000000" w:themeColor="text1"/>
        </w:rPr>
      </w:pPr>
    </w:p>
    <w:p w:rsidR="00416C66" w:rsidRPr="0062268A" w:rsidRDefault="00416C66" w:rsidP="00416C66">
      <w:pPr>
        <w:rPr>
          <w:color w:val="000000" w:themeColor="text1"/>
        </w:rPr>
      </w:pPr>
      <w:r w:rsidRPr="0062268A">
        <w:rPr>
          <w:color w:val="000000" w:themeColor="text1"/>
        </w:rPr>
        <w:br w:type="page"/>
      </w:r>
    </w:p>
    <w:p w:rsidR="00416C66" w:rsidRPr="0062268A" w:rsidRDefault="00416C66" w:rsidP="00416C66">
      <w:pPr>
        <w:spacing w:before="60" w:after="80" w:line="360" w:lineRule="auto"/>
        <w:rPr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lastRenderedPageBreak/>
        <w:t>Table S5. Univariate and Multivariate Cox Regression for Progression-Free Survival within the HRD-positive/</w:t>
      </w:r>
      <w:r w:rsidRPr="0062268A">
        <w:rPr>
          <w:rFonts w:eastAsia="Times New Roman"/>
          <w:b/>
          <w:bCs/>
          <w:i/>
          <w:iCs/>
          <w:color w:val="000000" w:themeColor="text1"/>
        </w:rPr>
        <w:t>BRCA</w:t>
      </w:r>
      <w:r w:rsidRPr="0062268A">
        <w:rPr>
          <w:rFonts w:eastAsia="Times New Roman"/>
          <w:b/>
          <w:bCs/>
          <w:color w:val="000000" w:themeColor="text1"/>
        </w:rPr>
        <w:t>wt Subgroup (N=33).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0"/>
        <w:gridCol w:w="1234"/>
        <w:gridCol w:w="1423"/>
        <w:gridCol w:w="752"/>
        <w:gridCol w:w="1433"/>
        <w:gridCol w:w="1476"/>
        <w:gridCol w:w="752"/>
      </w:tblGrid>
      <w:tr w:rsidR="00416C66" w:rsidRPr="0062268A" w:rsidTr="00AD2E19">
        <w:trPr>
          <w:tblHeader/>
        </w:trPr>
        <w:tc>
          <w:tcPr>
            <w:tcW w:w="262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18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Univariate HR</w:t>
            </w:r>
          </w:p>
        </w:tc>
        <w:tc>
          <w:tcPr>
            <w:tcW w:w="15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7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i/>
                <w:iCs/>
                <w:color w:val="000000" w:themeColor="text1"/>
              </w:rPr>
              <w:t>p</w:t>
            </w:r>
            <w:r w:rsidRPr="0062268A">
              <w:rPr>
                <w:rFonts w:eastAsia="Times New Roman"/>
                <w:b/>
                <w:bCs/>
                <w:color w:val="000000" w:themeColor="text1"/>
              </w:rPr>
              <w:t xml:space="preserve"> value</w:t>
            </w:r>
          </w:p>
        </w:tc>
        <w:tc>
          <w:tcPr>
            <w:tcW w:w="118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Multivariate HR</w:t>
            </w:r>
          </w:p>
        </w:tc>
        <w:tc>
          <w:tcPr>
            <w:tcW w:w="15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7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i/>
                <w:iCs/>
                <w:color w:val="000000" w:themeColor="text1"/>
              </w:rPr>
              <w:t>p</w:t>
            </w:r>
            <w:r w:rsidRPr="0062268A">
              <w:rPr>
                <w:rFonts w:eastAsia="Times New Roman"/>
                <w:b/>
                <w:bCs/>
                <w:color w:val="000000" w:themeColor="text1"/>
              </w:rPr>
              <w:t xml:space="preserve"> value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Age (≥60 vs &lt;60)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2.057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0.820–5.165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0.124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NACT (yes vs no)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3.235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1.285–8.139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0.013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4.559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1.625–12.793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0.004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rFonts w:eastAsia="Times New Roman"/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Optimal debulking (yes vs no)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0.568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0.235–1.377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0.211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0.875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0.326–2.348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0.792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Bevacizumab (yes vs no)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0.458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0.189–1.108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0.083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—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CA125 ≥10.9 U/mL (yes vs no)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3.896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1.291–11.757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0.016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4.453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1.248–15.898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0.021</w:t>
            </w:r>
          </w:p>
        </w:tc>
      </w:tr>
      <w:tr w:rsidR="00416C66" w:rsidRPr="0062268A" w:rsidTr="00AD2E19">
        <w:tc>
          <w:tcPr>
            <w:tcW w:w="262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PARPi use (yes vs no)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0.532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0.217–1.306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0.169</w:t>
            </w:r>
          </w:p>
        </w:tc>
        <w:tc>
          <w:tcPr>
            <w:tcW w:w="11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0.411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0.153–1.104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0.078</w:t>
            </w:r>
          </w:p>
        </w:tc>
      </w:tr>
    </w:tbl>
    <w:p w:rsidR="00416C66" w:rsidRPr="0062268A" w:rsidRDefault="00416C66" w:rsidP="00416C66">
      <w:pPr>
        <w:spacing w:before="20" w:after="120" w:line="360" w:lineRule="auto"/>
        <w:rPr>
          <w:color w:val="000000" w:themeColor="text1"/>
        </w:rPr>
      </w:pPr>
      <w:r w:rsidRPr="0062268A">
        <w:rPr>
          <w:rFonts w:eastAsia="Times New Roman"/>
          <w:color w:val="000000" w:themeColor="text1"/>
        </w:rPr>
        <w:t>PFS event defined as progression, recurrence, or death from any cause. The multivariate model included NACT, optimal debulking, CA125, and PARPi use; age and bevacizumab (—) were not entered. CA125, cancer antigen 125; CI, confidence interval; HR, hazard ratio; NACT, neoadjuvant chemotherapy; PARPi, poly(ADP-ribose) polymerase inhibitors.</w:t>
      </w:r>
    </w:p>
    <w:p w:rsidR="00416C66" w:rsidRPr="0062268A" w:rsidRDefault="00416C66" w:rsidP="00416C66">
      <w:pPr>
        <w:spacing w:before="60" w:after="80" w:line="360" w:lineRule="auto"/>
        <w:rPr>
          <w:rFonts w:eastAsia="Times New Roman"/>
          <w:b/>
          <w:bCs/>
          <w:color w:val="000000" w:themeColor="text1"/>
        </w:rPr>
      </w:pPr>
    </w:p>
    <w:p w:rsidR="00416C66" w:rsidRPr="0062268A" w:rsidRDefault="00416C66" w:rsidP="00416C66">
      <w:pPr>
        <w:rPr>
          <w:rFonts w:eastAsia="Times New Roman"/>
          <w:b/>
          <w:bCs/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br w:type="page"/>
      </w:r>
    </w:p>
    <w:p w:rsidR="00416C66" w:rsidRPr="0062268A" w:rsidRDefault="00416C66" w:rsidP="00416C66">
      <w:pPr>
        <w:spacing w:before="60" w:after="80" w:line="360" w:lineRule="auto"/>
        <w:rPr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lastRenderedPageBreak/>
        <w:t xml:space="preserve">Table S6. Three-Year PFS Rates by </w:t>
      </w:r>
      <w:r w:rsidRPr="0062268A">
        <w:rPr>
          <w:rFonts w:eastAsia="Times New Roman"/>
          <w:b/>
          <w:bCs/>
          <w:i/>
          <w:iCs/>
          <w:color w:val="000000" w:themeColor="text1"/>
        </w:rPr>
        <w:t>BRCA</w:t>
      </w:r>
      <w:r w:rsidRPr="0062268A">
        <w:rPr>
          <w:rFonts w:eastAsia="Times New Roman"/>
          <w:b/>
          <w:bCs/>
          <w:color w:val="000000" w:themeColor="text1"/>
        </w:rPr>
        <w:t xml:space="preserve"> Status and PARPi Access.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0"/>
        <w:gridCol w:w="900"/>
        <w:gridCol w:w="1080"/>
        <w:gridCol w:w="2280"/>
        <w:gridCol w:w="1540"/>
      </w:tblGrid>
      <w:tr w:rsidR="00416C66" w:rsidRPr="0062268A" w:rsidTr="00AD2E19">
        <w:trPr>
          <w:tblHeader/>
        </w:trPr>
        <w:tc>
          <w:tcPr>
            <w:tcW w:w="356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Subgroup</w:t>
            </w:r>
          </w:p>
        </w:tc>
        <w:tc>
          <w:tcPr>
            <w:tcW w:w="90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N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Events</w:t>
            </w:r>
          </w:p>
        </w:tc>
        <w:tc>
          <w:tcPr>
            <w:tcW w:w="228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Median PFS (months)</w:t>
            </w:r>
          </w:p>
        </w:tc>
        <w:tc>
          <w:tcPr>
            <w:tcW w:w="1540" w:type="dxa"/>
            <w:tcBorders>
              <w:top w:val="single" w:sz="12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b/>
                <w:bCs/>
                <w:color w:val="000000" w:themeColor="text1"/>
              </w:rPr>
              <w:t>3-year PFS rate</w:t>
            </w:r>
          </w:p>
        </w:tc>
      </w:tr>
      <w:tr w:rsidR="00416C66" w:rsidRPr="0062268A" w:rsidTr="00AD2E19"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i/>
                <w:iCs/>
                <w:color w:val="000000" w:themeColor="text1"/>
              </w:rPr>
              <w:t>BRCA</w:t>
            </w:r>
            <w:r w:rsidRPr="0062268A">
              <w:rPr>
                <w:rFonts w:eastAsia="Times New Roman"/>
                <w:color w:val="000000" w:themeColor="text1"/>
              </w:rPr>
              <w:t>m + PARPi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36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16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58.6</w:t>
            </w:r>
          </w:p>
        </w:tc>
        <w:tc>
          <w:tcPr>
            <w:tcW w:w="1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57.4%</w:t>
            </w:r>
          </w:p>
        </w:tc>
      </w:tr>
      <w:tr w:rsidR="00416C66" w:rsidRPr="0062268A" w:rsidTr="00AD2E19"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HRD-positive/</w:t>
            </w:r>
            <w:r w:rsidRPr="0062268A">
              <w:rPr>
                <w:rFonts w:eastAsia="Times New Roman"/>
                <w:i/>
                <w:iCs/>
                <w:color w:val="000000" w:themeColor="text1"/>
              </w:rPr>
              <w:t>BRCA</w:t>
            </w:r>
            <w:r w:rsidRPr="0062268A">
              <w:rPr>
                <w:rFonts w:eastAsia="Times New Roman"/>
                <w:color w:val="000000" w:themeColor="text1"/>
              </w:rPr>
              <w:t>wt + PARPi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23.1</w:t>
            </w:r>
          </w:p>
        </w:tc>
        <w:tc>
          <w:tcPr>
            <w:tcW w:w="1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44.1%</w:t>
            </w:r>
          </w:p>
        </w:tc>
      </w:tr>
      <w:tr w:rsidR="00416C66" w:rsidRPr="0062268A" w:rsidTr="00AD2E19">
        <w:tc>
          <w:tcPr>
            <w:tcW w:w="35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All HRD-positive, no PARPi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18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13.0</w:t>
            </w:r>
          </w:p>
        </w:tc>
        <w:tc>
          <w:tcPr>
            <w:tcW w:w="15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:rsidR="00416C66" w:rsidRPr="0062268A" w:rsidRDefault="00416C66" w:rsidP="00AD2E19">
            <w:pPr>
              <w:spacing w:line="360" w:lineRule="auto"/>
              <w:jc w:val="center"/>
              <w:rPr>
                <w:color w:val="000000" w:themeColor="text1"/>
              </w:rPr>
            </w:pPr>
            <w:r w:rsidRPr="0062268A">
              <w:rPr>
                <w:rFonts w:eastAsia="Times New Roman"/>
                <w:color w:val="000000" w:themeColor="text1"/>
              </w:rPr>
              <w:t>23.6%</w:t>
            </w:r>
          </w:p>
        </w:tc>
      </w:tr>
    </w:tbl>
    <w:p w:rsidR="00416C66" w:rsidRPr="0062268A" w:rsidRDefault="00416C66" w:rsidP="00416C66">
      <w:pPr>
        <w:spacing w:before="20" w:after="120" w:line="360" w:lineRule="auto"/>
        <w:rPr>
          <w:color w:val="000000" w:themeColor="text1"/>
        </w:rPr>
      </w:pPr>
      <w:r w:rsidRPr="0062268A">
        <w:rPr>
          <w:rFonts w:eastAsia="Times New Roman"/>
          <w:color w:val="000000" w:themeColor="text1"/>
        </w:rPr>
        <w:t xml:space="preserve">PFS event defined as progression, recurrence, or death from any cause; three-year PFS estimated by the Kaplan–Meier method. Of the 18 HRD-positive patients who did not receive PARPi maintenance, 17 were </w:t>
      </w:r>
      <w:r w:rsidRPr="0062268A">
        <w:rPr>
          <w:rFonts w:eastAsia="Times New Roman"/>
          <w:i/>
          <w:iCs/>
          <w:color w:val="000000" w:themeColor="text1"/>
        </w:rPr>
        <w:t>BRCA</w:t>
      </w:r>
      <w:r w:rsidRPr="0062268A">
        <w:rPr>
          <w:rFonts w:eastAsia="Times New Roman"/>
          <w:color w:val="000000" w:themeColor="text1"/>
        </w:rPr>
        <w:t xml:space="preserve">wt (predominantly reflecting NHI reimbursement and self-funding constraints) and 1 was </w:t>
      </w:r>
      <w:r w:rsidRPr="0062268A">
        <w:rPr>
          <w:rFonts w:eastAsia="Times New Roman"/>
          <w:i/>
          <w:iCs/>
          <w:color w:val="000000" w:themeColor="text1"/>
        </w:rPr>
        <w:t>BRCA</w:t>
      </w:r>
      <w:r w:rsidRPr="0062268A">
        <w:rPr>
          <w:rFonts w:eastAsia="Times New Roman"/>
          <w:color w:val="000000" w:themeColor="text1"/>
        </w:rPr>
        <w:t>m who discontinued within two weeks owing to dysgeusia and therefore did not meet the maintenance exposure threshold defined in the Methods. PARPi, poly(ADP-ribose) polymerase inhibitors; PFS, progression-free survival.</w:t>
      </w:r>
    </w:p>
    <w:p w:rsidR="00416C66" w:rsidRPr="0062268A" w:rsidRDefault="00416C66" w:rsidP="00416C66">
      <w:pPr>
        <w:rPr>
          <w:rFonts w:eastAsia="Times New Roman"/>
          <w:b/>
          <w:bCs/>
          <w:color w:val="000000" w:themeColor="text1"/>
        </w:rPr>
      </w:pPr>
      <w:r w:rsidRPr="0062268A">
        <w:rPr>
          <w:rFonts w:eastAsia="Times New Roman"/>
          <w:b/>
          <w:bCs/>
          <w:color w:val="000000" w:themeColor="text1"/>
        </w:rPr>
        <w:br w:type="page"/>
      </w:r>
    </w:p>
    <w:p w:rsidR="00416C66" w:rsidRPr="0062268A" w:rsidRDefault="00416C66" w:rsidP="00416C66">
      <w:pPr>
        <w:spacing w:before="400" w:after="200" w:line="360" w:lineRule="auto"/>
        <w:rPr>
          <w:color w:val="000000" w:themeColor="text1"/>
          <w:lang w:eastAsia="zh-TW"/>
        </w:rPr>
      </w:pPr>
      <w:r w:rsidRPr="0062268A">
        <w:rPr>
          <w:rFonts w:eastAsia="Times New Roman"/>
          <w:b/>
          <w:bCs/>
          <w:color w:val="000000" w:themeColor="text1"/>
        </w:rPr>
        <w:lastRenderedPageBreak/>
        <w:t>Figure S1. Receiver operating characteristic (ROC) curve for post-chemotherapy serum CA125 in predicting disease progression in the HRD-positive cohort (N=70), with the optimal cutoff identified by Youden's index indicated by the red dot.</w:t>
      </w:r>
    </w:p>
    <w:p w:rsidR="00416C66" w:rsidRPr="0062268A" w:rsidRDefault="00416C66" w:rsidP="00416C66">
      <w:pPr>
        <w:jc w:val="center"/>
        <w:rPr>
          <w:color w:val="000000" w:themeColor="text1"/>
        </w:rPr>
      </w:pPr>
      <w:r w:rsidRPr="0062268A">
        <w:rPr>
          <w:noProof/>
          <w:color w:val="000000" w:themeColor="text1"/>
        </w:rPr>
        <w:drawing>
          <wp:inline distT="0" distB="0" distL="0" distR="0" wp14:anchorId="0639AC8F" wp14:editId="6D9DA72A">
            <wp:extent cx="5943600" cy="5967095"/>
            <wp:effectExtent l="0" t="0" r="0" b="0"/>
            <wp:docPr id="97993049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30497" name="圖片 9799304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</w:rPr>
      </w:pPr>
    </w:p>
    <w:p w:rsidR="00416C66" w:rsidRPr="0062268A" w:rsidRDefault="00416C66" w:rsidP="00416C66">
      <w:pPr>
        <w:rPr>
          <w:color w:val="000000" w:themeColor="text1"/>
        </w:rPr>
      </w:pPr>
      <w:r w:rsidRPr="0062268A">
        <w:rPr>
          <w:color w:val="000000" w:themeColor="text1"/>
        </w:rPr>
        <w:br w:type="page"/>
      </w:r>
    </w:p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</w:rPr>
      </w:pPr>
      <w:r w:rsidRPr="0062268A">
        <w:rPr>
          <w:b/>
          <w:bCs/>
          <w:color w:val="000000" w:themeColor="text1"/>
        </w:rPr>
        <w:lastRenderedPageBreak/>
        <w:t xml:space="preserve">Figure S2. Kaplan-Meier survival curves for progression-free survival stratified by HRD status and PARPi maintenance access among 70 HRD-positive patients, comprising </w:t>
      </w:r>
      <w:r w:rsidRPr="0062268A">
        <w:rPr>
          <w:b/>
          <w:bCs/>
          <w:i/>
          <w:iCs/>
          <w:color w:val="000000" w:themeColor="text1"/>
        </w:rPr>
        <w:t>BRCA</w:t>
      </w:r>
      <w:r w:rsidRPr="0062268A">
        <w:rPr>
          <w:b/>
          <w:bCs/>
          <w:color w:val="000000" w:themeColor="text1"/>
        </w:rPr>
        <w:t>m with PARPi (n=36), HRD-positive/</w:t>
      </w:r>
      <w:r w:rsidRPr="0062268A">
        <w:rPr>
          <w:b/>
          <w:bCs/>
          <w:i/>
          <w:iCs/>
          <w:color w:val="000000" w:themeColor="text1"/>
        </w:rPr>
        <w:t>BRCA</w:t>
      </w:r>
      <w:r w:rsidRPr="0062268A">
        <w:rPr>
          <w:b/>
          <w:bCs/>
          <w:color w:val="000000" w:themeColor="text1"/>
        </w:rPr>
        <w:t>wt with PARPi (n=16), and HRD-positive without PARPi (n=18)</w:t>
      </w:r>
    </w:p>
    <w:p w:rsidR="00416C66" w:rsidRPr="0062268A" w:rsidRDefault="00416C66" w:rsidP="00416C66">
      <w:pPr>
        <w:spacing w:line="360" w:lineRule="auto"/>
        <w:rPr>
          <w:b/>
          <w:bCs/>
          <w:color w:val="000000" w:themeColor="text1"/>
        </w:rPr>
      </w:pPr>
    </w:p>
    <w:p w:rsidR="00416C66" w:rsidRPr="0062268A" w:rsidRDefault="00416C66" w:rsidP="00416C66">
      <w:pPr>
        <w:rPr>
          <w:color w:val="000000" w:themeColor="text1"/>
        </w:rPr>
      </w:pPr>
      <w:r w:rsidRPr="0062268A">
        <w:rPr>
          <w:noProof/>
          <w:color w:val="000000" w:themeColor="text1"/>
        </w:rPr>
        <w:drawing>
          <wp:inline distT="0" distB="0" distL="0" distR="0" wp14:anchorId="5422DF75" wp14:editId="58E3663E">
            <wp:extent cx="6400800" cy="4234180"/>
            <wp:effectExtent l="0" t="0" r="0" b="0"/>
            <wp:docPr id="19256981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69812" name="圖片 1925698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C66" w:rsidRPr="0062268A" w:rsidRDefault="00416C66" w:rsidP="00416C66">
      <w:pPr>
        <w:rPr>
          <w:color w:val="000000" w:themeColor="text1"/>
        </w:rPr>
      </w:pPr>
    </w:p>
    <w:p w:rsidR="00C332B3" w:rsidRDefault="00416C66">
      <w:bookmarkStart w:id="0" w:name="_GoBack"/>
      <w:bookmarkEnd w:id="0"/>
    </w:p>
    <w:sectPr w:rsidR="00C332B3" w:rsidSect="00DA4106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 U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631023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A4106" w:rsidRDefault="00416C66" w:rsidP="00864E9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A4106" w:rsidRDefault="00416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618030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A4106" w:rsidRDefault="00416C66" w:rsidP="00864E9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:rsidR="00DA4106" w:rsidRDefault="00416C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66"/>
    <w:rsid w:val="00416C66"/>
    <w:rsid w:val="008A260D"/>
    <w:rsid w:val="00963C89"/>
    <w:rsid w:val="009D51AF"/>
    <w:rsid w:val="00C4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51E89-B485-4027-BDF5-490D3836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C6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6C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16C66"/>
    <w:rPr>
      <w:rFonts w:ascii="Times New Roman" w:eastAsiaTheme="minorEastAsia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16C66"/>
  </w:style>
  <w:style w:type="character" w:styleId="Strong">
    <w:name w:val="Strong"/>
    <w:basedOn w:val="DefaultParagraphFont"/>
    <w:uiPriority w:val="22"/>
    <w:qFormat/>
    <w:rsid w:val="00416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Bad-an</dc:creator>
  <cp:keywords/>
  <dc:description/>
  <cp:lastModifiedBy>Jorge Bad-an</cp:lastModifiedBy>
  <cp:revision>1</cp:revision>
  <dcterms:created xsi:type="dcterms:W3CDTF">2026-08-20T00:00:00Z</dcterms:created>
  <dcterms:modified xsi:type="dcterms:W3CDTF">2026-08-20T00:00:00Z</dcterms:modified>
</cp:coreProperties>
</file>