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5F0" w:rsidRDefault="00EA75F0" w:rsidP="00EA75F0">
      <w:pPr>
        <w:pStyle w:val="NormalWeb"/>
        <w:widowControl/>
        <w:rPr>
          <w:rStyle w:val="fontstyle01"/>
          <w:rFonts w:ascii="Times New Roman" w:eastAsia="SimSun" w:hAnsi="Times New Roman"/>
          <w:iCs/>
          <w:kern w:val="2"/>
          <w:sz w:val="28"/>
          <w:szCs w:val="28"/>
        </w:rPr>
      </w:pPr>
      <w:r>
        <w:rPr>
          <w:rStyle w:val="fontstyle01"/>
          <w:rFonts w:ascii="Times New Roman" w:eastAsia="SimSun" w:hAnsi="Times New Roman"/>
          <w:iCs/>
          <w:kern w:val="2"/>
          <w:sz w:val="28"/>
          <w:szCs w:val="28"/>
        </w:rPr>
        <w:t>Supplementary Figure S1. Sensitivity analysis of the genotype–HCY association across BMI categories.</w:t>
      </w:r>
    </w:p>
    <w:p w:rsidR="00EA75F0" w:rsidRDefault="00EA75F0" w:rsidP="00EA75F0">
      <w:pPr>
        <w:pStyle w:val="NormalWeb"/>
        <w:widowControl/>
        <w:spacing w:line="480" w:lineRule="auto"/>
        <w:rPr>
          <w:rStyle w:val="fontstyle01"/>
          <w:rFonts w:ascii="Times New Roman" w:eastAsia="SimSun" w:hAnsi="Times New Roman"/>
          <w:b w:val="0"/>
          <w:bCs w:val="0"/>
          <w:iCs/>
          <w:sz w:val="28"/>
          <w:szCs w:val="28"/>
        </w:rPr>
      </w:pPr>
      <w:r>
        <w:rPr>
          <w:rFonts w:ascii="Times New Roman" w:hAnsi="Times New Roman"/>
          <w:noProof/>
          <w:sz w:val="28"/>
          <w:lang w:eastAsia="en-US"/>
        </w:rPr>
        <w:drawing>
          <wp:inline distT="0" distB="0" distL="114300" distR="114300" wp14:anchorId="731A7194" wp14:editId="58843E30">
            <wp:extent cx="5268595" cy="2000250"/>
            <wp:effectExtent l="0" t="0" r="8255" b="0"/>
            <wp:docPr id="17" name="图片 17" descr="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</w:rPr>
        <w:br/>
      </w:r>
      <w:r>
        <w:rPr>
          <w:rStyle w:val="fontstyle01"/>
          <w:rFonts w:ascii="Times New Roman" w:eastAsia="SimSun" w:hAnsi="Times New Roman"/>
          <w:iCs/>
          <w:sz w:val="28"/>
          <w:szCs w:val="28"/>
        </w:rPr>
        <w:t xml:space="preserve">(A–C) </w:t>
      </w:r>
      <w:r>
        <w:rPr>
          <w:rStyle w:val="fontstyle01"/>
          <w:rFonts w:ascii="Times New Roman" w:eastAsia="SimSun" w:hAnsi="Times New Roman"/>
          <w:b w:val="0"/>
          <w:bCs w:val="0"/>
          <w:iCs/>
          <w:sz w:val="28"/>
          <w:szCs w:val="28"/>
        </w:rPr>
        <w:t xml:space="preserve">Comparisons of serum HCY levels among the CC, CT, and TT genotype groups in participants with BMI &lt;24 kg/m², BMI 24–27.9 kg/m², and BMI ≥28 kg/m², respectively. Because of the small number of participants within individual genotype-by-BMI subgroups, these analyses </w:t>
      </w:r>
      <w:proofErr w:type="gramStart"/>
      <w:r>
        <w:rPr>
          <w:rStyle w:val="fontstyle01"/>
          <w:rFonts w:ascii="Times New Roman" w:eastAsia="SimSun" w:hAnsi="Times New Roman"/>
          <w:b w:val="0"/>
          <w:bCs w:val="0"/>
          <w:iCs/>
          <w:sz w:val="28"/>
          <w:szCs w:val="28"/>
        </w:rPr>
        <w:t>were considered</w:t>
      </w:r>
      <w:proofErr w:type="gramEnd"/>
      <w:r>
        <w:rPr>
          <w:rStyle w:val="fontstyle01"/>
          <w:rFonts w:ascii="Times New Roman" w:eastAsia="SimSun" w:hAnsi="Times New Roman"/>
          <w:b w:val="0"/>
          <w:bCs w:val="0"/>
          <w:iCs/>
          <w:sz w:val="28"/>
          <w:szCs w:val="28"/>
        </w:rPr>
        <w:t xml:space="preserve"> exploratory sensitivity analyses, and the estimates and nominal P values should be interpreted cautiously. Potential effect modification by BMI </w:t>
      </w:r>
      <w:proofErr w:type="gramStart"/>
      <w:r>
        <w:rPr>
          <w:rStyle w:val="fontstyle01"/>
          <w:rFonts w:ascii="Times New Roman" w:eastAsia="SimSun" w:hAnsi="Times New Roman"/>
          <w:b w:val="0"/>
          <w:bCs w:val="0"/>
          <w:iCs/>
          <w:sz w:val="28"/>
          <w:szCs w:val="28"/>
        </w:rPr>
        <w:t>was primarily evaluated</w:t>
      </w:r>
      <w:proofErr w:type="gramEnd"/>
      <w:r>
        <w:rPr>
          <w:rStyle w:val="fontstyle01"/>
          <w:rFonts w:ascii="Times New Roman" w:eastAsia="SimSun" w:hAnsi="Times New Roman"/>
          <w:b w:val="0"/>
          <w:bCs w:val="0"/>
          <w:iCs/>
          <w:sz w:val="28"/>
          <w:szCs w:val="28"/>
        </w:rPr>
        <w:t xml:space="preserve"> using continuous BMI and a genotype-by-BMI interaction term.</w:t>
      </w:r>
    </w:p>
    <w:p w:rsidR="00EA75F0" w:rsidRDefault="00EA75F0" w:rsidP="00EA75F0">
      <w:pPr>
        <w:pStyle w:val="NormalWeb"/>
        <w:widowControl/>
        <w:spacing w:line="480" w:lineRule="auto"/>
        <w:rPr>
          <w:rStyle w:val="fontstyle01"/>
          <w:rFonts w:ascii="Times New Roman" w:eastAsia="SimSun" w:hAnsi="Times New Roman"/>
          <w:b w:val="0"/>
          <w:bCs w:val="0"/>
          <w:iCs/>
          <w:sz w:val="28"/>
          <w:szCs w:val="28"/>
        </w:rPr>
      </w:pPr>
      <w:r>
        <w:rPr>
          <w:rStyle w:val="fontstyle01"/>
          <w:rFonts w:ascii="Times New Roman" w:eastAsia="SimSun" w:hAnsi="Times New Roman"/>
          <w:iCs/>
          <w:sz w:val="28"/>
          <w:szCs w:val="28"/>
        </w:rPr>
        <w:t>Abbreviations:</w:t>
      </w:r>
      <w:r>
        <w:rPr>
          <w:rStyle w:val="fontstyle01"/>
          <w:rFonts w:ascii="Times New Roman" w:eastAsia="SimSun" w:hAnsi="Times New Roman"/>
          <w:b w:val="0"/>
          <w:bCs w:val="0"/>
          <w:iCs/>
          <w:sz w:val="28"/>
          <w:szCs w:val="28"/>
        </w:rPr>
        <w:t xml:space="preserve"> BMI, body mass index; HCY, homocysteine; MTHFR, methylenetetrahydrofolate reductase.</w:t>
      </w:r>
    </w:p>
    <w:p w:rsidR="00EA75F0" w:rsidRDefault="00EA75F0" w:rsidP="00EA75F0">
      <w:pPr>
        <w:pStyle w:val="NormalWeb"/>
        <w:widowControl/>
        <w:rPr>
          <w:rStyle w:val="fontstyle01"/>
          <w:rFonts w:ascii="Times New Roman" w:eastAsia="SimSun" w:hAnsi="Times New Roman"/>
          <w:iCs/>
          <w:kern w:val="2"/>
          <w:sz w:val="28"/>
          <w:szCs w:val="28"/>
        </w:rPr>
      </w:pPr>
      <w:r>
        <w:rPr>
          <w:rStyle w:val="fontstyle01"/>
          <w:rFonts w:ascii="Times New Roman" w:eastAsia="SimSun" w:hAnsi="Times New Roman"/>
          <w:iCs/>
          <w:kern w:val="2"/>
          <w:sz w:val="28"/>
          <w:szCs w:val="28"/>
        </w:rPr>
        <w:t>Supplementary Figure S2. Reproductive endocrine characteristics according to MTHFR C677T genotype.</w:t>
      </w:r>
    </w:p>
    <w:p w:rsidR="00EA75F0" w:rsidRDefault="00EA75F0" w:rsidP="00EA75F0">
      <w:r>
        <w:rPr>
          <w:rFonts w:hint="eastAsia"/>
          <w:noProof/>
          <w:lang w:eastAsia="en-US"/>
        </w:rPr>
        <w:lastRenderedPageBreak/>
        <w:drawing>
          <wp:inline distT="0" distB="0" distL="114300" distR="114300" wp14:anchorId="6452A85A" wp14:editId="52117AA2">
            <wp:extent cx="5271770" cy="2413000"/>
            <wp:effectExtent l="0" t="0" r="5080" b="6350"/>
            <wp:docPr id="18" name="图片 18" descr="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S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5F0" w:rsidRDefault="00EA75F0" w:rsidP="00EA75F0">
      <w:pPr>
        <w:pStyle w:val="NormalWeb"/>
        <w:widowControl/>
        <w:spacing w:line="480" w:lineRule="auto"/>
        <w:rPr>
          <w:rFonts w:ascii="Times New Roman" w:eastAsia="SimSun" w:hAnsi="Times New Roman"/>
          <w:sz w:val="28"/>
          <w:szCs w:val="28"/>
          <w:lang w:bidi="ar"/>
        </w:rPr>
      </w:pPr>
      <w:r>
        <w:rPr>
          <w:rFonts w:ascii="Times New Roman" w:eastAsia="SimSun" w:hAnsi="Times New Roman"/>
          <w:b/>
          <w:bCs/>
          <w:sz w:val="28"/>
          <w:szCs w:val="28"/>
          <w:lang w:bidi="ar"/>
        </w:rPr>
        <w:t>(A–C)</w:t>
      </w:r>
      <w:r>
        <w:rPr>
          <w:rFonts w:ascii="Times New Roman" w:eastAsia="SimSun" w:hAnsi="Times New Roman"/>
          <w:sz w:val="28"/>
          <w:szCs w:val="28"/>
          <w:lang w:bidi="ar"/>
        </w:rPr>
        <w:t xml:space="preserve"> Comparisons of the LH/FSH ratio, AMH levels, and testosterone levels among the CC, CT, and TT genotype groups, respectively. No clear genotype-associated differences </w:t>
      </w:r>
      <w:proofErr w:type="gramStart"/>
      <w:r>
        <w:rPr>
          <w:rFonts w:ascii="Times New Roman" w:eastAsia="SimSun" w:hAnsi="Times New Roman"/>
          <w:sz w:val="28"/>
          <w:szCs w:val="28"/>
          <w:lang w:bidi="ar"/>
        </w:rPr>
        <w:t>were observed</w:t>
      </w:r>
      <w:proofErr w:type="gramEnd"/>
      <w:r>
        <w:rPr>
          <w:rFonts w:ascii="Times New Roman" w:eastAsia="SimSun" w:hAnsi="Times New Roman"/>
          <w:sz w:val="28"/>
          <w:szCs w:val="28"/>
          <w:lang w:bidi="ar"/>
        </w:rPr>
        <w:t>. These analyses were exploratory.</w:t>
      </w:r>
    </w:p>
    <w:p w:rsidR="00EA75F0" w:rsidRDefault="00EA75F0" w:rsidP="00EA75F0">
      <w:pPr>
        <w:pStyle w:val="NormalWeb"/>
        <w:widowControl/>
        <w:spacing w:line="480" w:lineRule="auto"/>
        <w:rPr>
          <w:rFonts w:ascii="Times New Roman" w:eastAsia="SimSun" w:hAnsi="Times New Roman"/>
          <w:sz w:val="28"/>
          <w:szCs w:val="28"/>
          <w:lang w:bidi="ar"/>
        </w:rPr>
      </w:pPr>
      <w:r>
        <w:rPr>
          <w:rFonts w:ascii="Times New Roman" w:eastAsia="SimSun" w:hAnsi="Times New Roman"/>
          <w:b/>
          <w:bCs/>
          <w:sz w:val="28"/>
          <w:szCs w:val="28"/>
          <w:lang w:bidi="ar"/>
        </w:rPr>
        <w:t xml:space="preserve">Abbreviations: </w:t>
      </w:r>
      <w:r>
        <w:rPr>
          <w:rFonts w:ascii="Times New Roman" w:eastAsia="SimSun" w:hAnsi="Times New Roman"/>
          <w:sz w:val="28"/>
          <w:szCs w:val="28"/>
          <w:lang w:bidi="ar"/>
        </w:rPr>
        <w:t>AMH, anti-Müllerian hormone; FSH, follicle-stimulating hormone; LH, luteinizing hormone; MTHFR, methylenetetrahydrofolate reductase.</w:t>
      </w:r>
    </w:p>
    <w:p w:rsidR="00EA75F0" w:rsidRDefault="00EA75F0" w:rsidP="00EA75F0">
      <w:pPr>
        <w:pStyle w:val="NormalWeb"/>
        <w:widowControl/>
      </w:pPr>
      <w:r>
        <w:rPr>
          <w:rStyle w:val="fontstyle01"/>
          <w:rFonts w:ascii="Times New Roman" w:eastAsia="SimSun" w:hAnsi="Times New Roman"/>
          <w:iCs/>
          <w:kern w:val="2"/>
          <w:sz w:val="28"/>
          <w:szCs w:val="28"/>
        </w:rPr>
        <w:t>Supplementary Figure S</w:t>
      </w:r>
      <w:r>
        <w:rPr>
          <w:rStyle w:val="fontstyle01"/>
          <w:rFonts w:ascii="Times New Roman" w:eastAsia="SimSun" w:hAnsi="Times New Roman" w:hint="eastAsia"/>
          <w:iCs/>
          <w:kern w:val="2"/>
          <w:sz w:val="28"/>
          <w:szCs w:val="28"/>
        </w:rPr>
        <w:t xml:space="preserve">3. </w:t>
      </w:r>
      <w:r>
        <w:rPr>
          <w:rStyle w:val="fontstyle01"/>
          <w:rFonts w:ascii="Times New Roman" w:eastAsia="SimSun" w:hAnsi="Times New Roman"/>
          <w:iCs/>
          <w:kern w:val="2"/>
          <w:sz w:val="28"/>
          <w:szCs w:val="28"/>
        </w:rPr>
        <w:t>Exploratory genotype-stratified correlations between serum homocysteine and selected metabolic variables.</w:t>
      </w:r>
    </w:p>
    <w:p w:rsidR="00EA75F0" w:rsidRDefault="00EA75F0" w:rsidP="00EA75F0">
      <w:r>
        <w:rPr>
          <w:rFonts w:hint="eastAsia"/>
          <w:noProof/>
          <w:lang w:eastAsia="en-US"/>
        </w:rPr>
        <w:lastRenderedPageBreak/>
        <w:drawing>
          <wp:inline distT="0" distB="0" distL="114300" distR="114300" wp14:anchorId="039A6EF3" wp14:editId="569F0870">
            <wp:extent cx="5265420" cy="4237355"/>
            <wp:effectExtent l="0" t="0" r="11430" b="10795"/>
            <wp:docPr id="19" name="图片 19" descr="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S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423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5F0" w:rsidRDefault="00EA75F0" w:rsidP="00EA75F0"/>
    <w:p w:rsidR="00EA75F0" w:rsidRDefault="00EA75F0" w:rsidP="00EA75F0">
      <w:pPr>
        <w:pStyle w:val="NormalWeb"/>
        <w:widowControl/>
        <w:spacing w:line="480" w:lineRule="auto"/>
        <w:rPr>
          <w:rFonts w:ascii="Times New Roman" w:eastAsia="SimSun" w:hAnsi="Times New Roman"/>
          <w:sz w:val="28"/>
          <w:szCs w:val="28"/>
          <w:lang w:bidi="ar"/>
        </w:rPr>
      </w:pPr>
      <w:r>
        <w:rPr>
          <w:rFonts w:ascii="Times New Roman" w:eastAsia="SimSun" w:hAnsi="Times New Roman"/>
          <w:b/>
          <w:bCs/>
          <w:sz w:val="28"/>
          <w:szCs w:val="28"/>
          <w:lang w:bidi="ar"/>
        </w:rPr>
        <w:t xml:space="preserve">(A–C) </w:t>
      </w:r>
      <w:r>
        <w:rPr>
          <w:rFonts w:ascii="Times New Roman" w:eastAsia="SimSun" w:hAnsi="Times New Roman"/>
          <w:sz w:val="28"/>
          <w:szCs w:val="28"/>
          <w:lang w:bidi="ar"/>
        </w:rPr>
        <w:t xml:space="preserve">Exploratory Spearman correlation analyses between serum HCY and selected metabolic variables in the CC, CT, and TT genotype groups, respectively. Spearman correlation coefficients and nominal P values </w:t>
      </w:r>
      <w:proofErr w:type="gramStart"/>
      <w:r>
        <w:rPr>
          <w:rFonts w:ascii="Times New Roman" w:eastAsia="SimSun" w:hAnsi="Times New Roman"/>
          <w:sz w:val="28"/>
          <w:szCs w:val="28"/>
          <w:lang w:bidi="ar"/>
        </w:rPr>
        <w:t>are presented</w:t>
      </w:r>
      <w:proofErr w:type="gramEnd"/>
      <w:r>
        <w:rPr>
          <w:rFonts w:ascii="Times New Roman" w:eastAsia="SimSun" w:hAnsi="Times New Roman"/>
          <w:sz w:val="28"/>
          <w:szCs w:val="28"/>
          <w:lang w:bidi="ar"/>
        </w:rPr>
        <w:t xml:space="preserve">. Given the limited genotype-specific sample sizes and the number of correlations examined, these findings should be interpreted as </w:t>
      </w:r>
      <w:proofErr w:type="gramStart"/>
      <w:r>
        <w:rPr>
          <w:rFonts w:ascii="Times New Roman" w:eastAsia="SimSun" w:hAnsi="Times New Roman"/>
          <w:sz w:val="28"/>
          <w:szCs w:val="28"/>
          <w:lang w:bidi="ar"/>
        </w:rPr>
        <w:t>hypothesis-generating</w:t>
      </w:r>
      <w:proofErr w:type="gramEnd"/>
      <w:r>
        <w:rPr>
          <w:rFonts w:ascii="Times New Roman" w:eastAsia="SimSun" w:hAnsi="Times New Roman"/>
          <w:sz w:val="28"/>
          <w:szCs w:val="28"/>
          <w:lang w:bidi="ar"/>
        </w:rPr>
        <w:t>. Differences in statistical significance across genotype groups do not, by themselves, demonstrate that the corresponding correlation coefficients differ between groups.</w:t>
      </w:r>
    </w:p>
    <w:p w:rsidR="00EA75F0" w:rsidRDefault="00EA75F0" w:rsidP="00EA75F0">
      <w:pPr>
        <w:pStyle w:val="NormalWeb"/>
        <w:widowControl/>
        <w:spacing w:line="480" w:lineRule="auto"/>
        <w:rPr>
          <w:rFonts w:ascii="Times New Roman" w:eastAsia="SimSun" w:hAnsi="Times New Roman"/>
          <w:sz w:val="28"/>
          <w:szCs w:val="28"/>
          <w:lang w:bidi="ar"/>
        </w:rPr>
      </w:pPr>
      <w:r>
        <w:rPr>
          <w:rFonts w:ascii="Times New Roman" w:eastAsia="SimSun" w:hAnsi="Times New Roman"/>
          <w:b/>
          <w:bCs/>
          <w:sz w:val="28"/>
          <w:szCs w:val="28"/>
          <w:lang w:bidi="ar"/>
        </w:rPr>
        <w:lastRenderedPageBreak/>
        <w:t>Abbreviations:</w:t>
      </w:r>
      <w:r>
        <w:rPr>
          <w:rFonts w:ascii="Times New Roman" w:eastAsia="SimSun" w:hAnsi="Times New Roman"/>
          <w:sz w:val="28"/>
          <w:szCs w:val="28"/>
          <w:lang w:bidi="ar"/>
        </w:rPr>
        <w:t xml:space="preserve"> HCY, homocysteine; HOMA-IR, homeostatic model assessment of insulin resistance; TG, triglycerides.</w:t>
      </w:r>
    </w:p>
    <w:p w:rsidR="00EA75F0" w:rsidRDefault="00EA75F0" w:rsidP="00EA75F0"/>
    <w:p w:rsidR="00EA75F0" w:rsidRDefault="00EA75F0" w:rsidP="00EA75F0">
      <w:pPr>
        <w:pStyle w:val="NormalWeb"/>
        <w:widowControl/>
        <w:rPr>
          <w:rStyle w:val="fontstyle01"/>
          <w:rFonts w:ascii="Times New Roman" w:eastAsia="SimSun" w:hAnsi="Times New Roman"/>
          <w:iCs/>
          <w:kern w:val="2"/>
          <w:sz w:val="28"/>
          <w:szCs w:val="28"/>
        </w:rPr>
      </w:pPr>
      <w:r>
        <w:rPr>
          <w:rStyle w:val="fontstyle01"/>
          <w:rFonts w:ascii="Times New Roman" w:eastAsia="SimSun" w:hAnsi="Times New Roman"/>
          <w:iCs/>
          <w:kern w:val="2"/>
          <w:sz w:val="28"/>
          <w:szCs w:val="28"/>
        </w:rPr>
        <w:t>Supplementary Figure S4.</w:t>
      </w:r>
      <w:r>
        <w:rPr>
          <w:rFonts w:ascii="SimSun" w:eastAsia="SimSun" w:hAnsi="SimSun" w:cs="SimSun"/>
        </w:rPr>
        <w:t xml:space="preserve"> </w:t>
      </w:r>
      <w:r>
        <w:rPr>
          <w:rStyle w:val="fontstyle01"/>
          <w:rFonts w:ascii="Times New Roman" w:eastAsia="SimSun" w:hAnsi="Times New Roman"/>
          <w:iCs/>
          <w:kern w:val="2"/>
          <w:sz w:val="28"/>
          <w:szCs w:val="28"/>
        </w:rPr>
        <w:t>Additional exploratory analyses of insulin resistance and hematological inflammatory indices.</w:t>
      </w:r>
    </w:p>
    <w:p w:rsidR="00EA75F0" w:rsidRDefault="00EA75F0" w:rsidP="00EA75F0">
      <w:pPr>
        <w:rPr>
          <w:rStyle w:val="fontstyle01"/>
          <w:rFonts w:ascii="Times New Roman" w:eastAsia="SimSun" w:hAnsi="Times New Roman" w:cs="Times New Roman"/>
          <w:iCs/>
          <w:sz w:val="28"/>
          <w:szCs w:val="28"/>
        </w:rPr>
      </w:pPr>
      <w:r>
        <w:rPr>
          <w:rStyle w:val="fontstyle01"/>
          <w:rFonts w:ascii="Times New Roman" w:eastAsia="SimSun" w:hAnsi="Times New Roman" w:cs="Times New Roman"/>
          <w:iCs/>
          <w:noProof/>
          <w:sz w:val="28"/>
          <w:szCs w:val="28"/>
          <w:lang w:eastAsia="en-US"/>
        </w:rPr>
        <w:drawing>
          <wp:inline distT="0" distB="0" distL="114300" distR="114300" wp14:anchorId="2E139851" wp14:editId="40C716EB">
            <wp:extent cx="5271770" cy="4302760"/>
            <wp:effectExtent l="0" t="0" r="5080" b="2540"/>
            <wp:docPr id="20" name="图片 20" descr="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S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30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5F0" w:rsidRDefault="00EA75F0" w:rsidP="00EA75F0">
      <w:pPr>
        <w:rPr>
          <w:rStyle w:val="fontstyle01"/>
          <w:rFonts w:ascii="Times New Roman" w:eastAsia="SimSun" w:hAnsi="Times New Roman" w:cs="Times New Roman"/>
          <w:iCs/>
          <w:sz w:val="28"/>
          <w:szCs w:val="28"/>
        </w:rPr>
      </w:pPr>
    </w:p>
    <w:p w:rsidR="00EA75F0" w:rsidRDefault="00EA75F0" w:rsidP="00EA75F0">
      <w:pPr>
        <w:pStyle w:val="NormalWeb"/>
        <w:widowControl/>
        <w:numPr>
          <w:ilvl w:val="0"/>
          <w:numId w:val="1"/>
        </w:numPr>
        <w:rPr>
          <w:rFonts w:ascii="Times New Roman" w:eastAsia="SimSun" w:hAnsi="Times New Roman"/>
          <w:sz w:val="28"/>
          <w:szCs w:val="28"/>
          <w:lang w:bidi="ar"/>
        </w:rPr>
      </w:pPr>
      <w:r>
        <w:rPr>
          <w:rFonts w:ascii="Times New Roman" w:eastAsia="SimSun" w:hAnsi="Times New Roman"/>
          <w:sz w:val="28"/>
          <w:szCs w:val="28"/>
          <w:lang w:bidi="ar"/>
        </w:rPr>
        <w:t>HOMA-IR levels across BMI categories according to MTHFR C677T genotype.</w:t>
      </w:r>
      <w:r>
        <w:rPr>
          <w:rFonts w:ascii="Times New Roman" w:eastAsia="SimSun" w:hAnsi="Times New Roman"/>
          <w:b/>
          <w:bCs/>
          <w:sz w:val="28"/>
          <w:szCs w:val="28"/>
          <w:lang w:bidi="ar"/>
        </w:rPr>
        <w:t xml:space="preserve"> (B) </w:t>
      </w:r>
      <w:r>
        <w:rPr>
          <w:rFonts w:ascii="Times New Roman" w:eastAsia="SimSun" w:hAnsi="Times New Roman"/>
          <w:sz w:val="28"/>
          <w:szCs w:val="28"/>
          <w:lang w:bidi="ar"/>
        </w:rPr>
        <w:t xml:space="preserve">Association between BMI and HCY according to genotype, including the genotype-by-BMI interaction. </w:t>
      </w:r>
      <w:r>
        <w:rPr>
          <w:rFonts w:ascii="Times New Roman" w:eastAsia="SimSun" w:hAnsi="Times New Roman"/>
          <w:b/>
          <w:bCs/>
          <w:sz w:val="28"/>
          <w:szCs w:val="28"/>
          <w:lang w:bidi="ar"/>
        </w:rPr>
        <w:t xml:space="preserve">(C) </w:t>
      </w:r>
      <w:r>
        <w:rPr>
          <w:rFonts w:ascii="Times New Roman" w:eastAsia="SimSun" w:hAnsi="Times New Roman"/>
          <w:sz w:val="28"/>
          <w:szCs w:val="28"/>
          <w:lang w:bidi="ar"/>
        </w:rPr>
        <w:t xml:space="preserve">Association between the </w:t>
      </w:r>
      <w:proofErr w:type="spellStart"/>
      <w:r>
        <w:rPr>
          <w:rFonts w:ascii="Times New Roman" w:eastAsia="SimSun" w:hAnsi="Times New Roman"/>
          <w:sz w:val="28"/>
          <w:szCs w:val="28"/>
          <w:lang w:bidi="ar"/>
        </w:rPr>
        <w:t>TyG</w:t>
      </w:r>
      <w:proofErr w:type="spellEnd"/>
      <w:r>
        <w:rPr>
          <w:rFonts w:ascii="Times New Roman" w:eastAsia="SimSun" w:hAnsi="Times New Roman"/>
          <w:sz w:val="28"/>
          <w:szCs w:val="28"/>
          <w:lang w:bidi="ar"/>
        </w:rPr>
        <w:t xml:space="preserve"> index and HOMA-IR according to genotype. </w:t>
      </w:r>
      <w:r>
        <w:rPr>
          <w:rFonts w:ascii="Times New Roman" w:eastAsia="SimSun" w:hAnsi="Times New Roman"/>
          <w:b/>
          <w:bCs/>
          <w:sz w:val="28"/>
          <w:szCs w:val="28"/>
          <w:lang w:bidi="ar"/>
        </w:rPr>
        <w:t xml:space="preserve">(D) </w:t>
      </w:r>
      <w:r>
        <w:rPr>
          <w:rFonts w:ascii="Times New Roman" w:eastAsia="SimSun" w:hAnsi="Times New Roman"/>
          <w:sz w:val="28"/>
          <w:szCs w:val="28"/>
          <w:lang w:bidi="ar"/>
        </w:rPr>
        <w:t>Comparison of selected blood-cell indices among genotype groups.</w:t>
      </w:r>
    </w:p>
    <w:p w:rsidR="00EA75F0" w:rsidRDefault="00EA75F0" w:rsidP="00EA75F0">
      <w:pPr>
        <w:pStyle w:val="NormalWeb"/>
        <w:widowControl/>
        <w:rPr>
          <w:rFonts w:ascii="Times New Roman" w:eastAsia="SimSun" w:hAnsi="Times New Roman"/>
          <w:sz w:val="28"/>
          <w:szCs w:val="28"/>
          <w:lang w:bidi="ar"/>
        </w:rPr>
      </w:pPr>
      <w:r>
        <w:rPr>
          <w:rFonts w:ascii="Times New Roman" w:eastAsia="SimSun" w:hAnsi="Times New Roman"/>
          <w:sz w:val="28"/>
          <w:szCs w:val="28"/>
          <w:lang w:bidi="ar"/>
        </w:rPr>
        <w:lastRenderedPageBreak/>
        <w:t xml:space="preserve">These analyses were exploratory. The BMI-stratified estimates </w:t>
      </w:r>
      <w:proofErr w:type="gramStart"/>
      <w:r>
        <w:rPr>
          <w:rFonts w:ascii="Times New Roman" w:eastAsia="SimSun" w:hAnsi="Times New Roman"/>
          <w:sz w:val="28"/>
          <w:szCs w:val="28"/>
          <w:lang w:bidi="ar"/>
        </w:rPr>
        <w:t>should be interpreted</w:t>
      </w:r>
      <w:proofErr w:type="gramEnd"/>
      <w:r>
        <w:rPr>
          <w:rFonts w:ascii="Times New Roman" w:eastAsia="SimSun" w:hAnsi="Times New Roman"/>
          <w:sz w:val="28"/>
          <w:szCs w:val="28"/>
          <w:lang w:bidi="ar"/>
        </w:rPr>
        <w:t xml:space="preserve"> cautiously because of the small number of participants within individual genotype-by-BMI subgroups.</w:t>
      </w:r>
    </w:p>
    <w:p w:rsidR="00EA75F0" w:rsidRDefault="00EA75F0" w:rsidP="00EA75F0">
      <w:pPr>
        <w:pStyle w:val="NormalWeb"/>
        <w:widowControl/>
        <w:rPr>
          <w:rFonts w:ascii="Times New Roman" w:eastAsia="SimSun" w:hAnsi="Times New Roman"/>
          <w:sz w:val="28"/>
          <w:szCs w:val="28"/>
          <w:lang w:bidi="ar"/>
        </w:rPr>
      </w:pPr>
      <w:r>
        <w:rPr>
          <w:rFonts w:ascii="Times New Roman" w:eastAsia="SimSun" w:hAnsi="Times New Roman"/>
          <w:b/>
          <w:bCs/>
          <w:sz w:val="28"/>
          <w:szCs w:val="28"/>
          <w:lang w:bidi="ar"/>
        </w:rPr>
        <w:t>Abbreviations:</w:t>
      </w:r>
      <w:r>
        <w:rPr>
          <w:rFonts w:ascii="Times New Roman" w:eastAsia="SimSun" w:hAnsi="Times New Roman"/>
          <w:sz w:val="28"/>
          <w:szCs w:val="28"/>
          <w:lang w:bidi="ar"/>
        </w:rPr>
        <w:t xml:space="preserve"> BMI, body mass index; HCY, homocysteine; HOMA-IR, homeostatic model assessment of insulin resistance; MTHFR, methylenetetrahydrofolate reductase; </w:t>
      </w:r>
      <w:proofErr w:type="spellStart"/>
      <w:r>
        <w:rPr>
          <w:rFonts w:ascii="Times New Roman" w:eastAsia="SimSun" w:hAnsi="Times New Roman"/>
          <w:sz w:val="28"/>
          <w:szCs w:val="28"/>
          <w:lang w:bidi="ar"/>
        </w:rPr>
        <w:t>TyG</w:t>
      </w:r>
      <w:proofErr w:type="spellEnd"/>
      <w:r>
        <w:rPr>
          <w:rFonts w:ascii="Times New Roman" w:eastAsia="SimSun" w:hAnsi="Times New Roman"/>
          <w:sz w:val="28"/>
          <w:szCs w:val="28"/>
          <w:lang w:bidi="ar"/>
        </w:rPr>
        <w:t>, triglyceride-glucose index.</w:t>
      </w:r>
    </w:p>
    <w:p w:rsidR="00EA75F0" w:rsidRDefault="00EA75F0" w:rsidP="00EA75F0">
      <w:pPr>
        <w:pStyle w:val="NormalWeb"/>
        <w:widowControl/>
        <w:rPr>
          <w:rStyle w:val="fontstyle01"/>
          <w:rFonts w:ascii="Times New Roman" w:eastAsia="SimSun" w:hAnsi="Times New Roman"/>
          <w:iCs/>
          <w:kern w:val="2"/>
          <w:sz w:val="28"/>
          <w:szCs w:val="28"/>
        </w:rPr>
      </w:pPr>
      <w:r>
        <w:rPr>
          <w:rStyle w:val="fontstyle01"/>
          <w:rFonts w:ascii="Times New Roman" w:eastAsia="SimSun" w:hAnsi="Times New Roman"/>
          <w:iCs/>
          <w:kern w:val="2"/>
          <w:sz w:val="28"/>
          <w:szCs w:val="28"/>
        </w:rPr>
        <w:t>Supplementary Figure S</w:t>
      </w:r>
      <w:r>
        <w:rPr>
          <w:rStyle w:val="fontstyle01"/>
          <w:rFonts w:ascii="Times New Roman" w:eastAsia="SimSun" w:hAnsi="Times New Roman" w:hint="eastAsia"/>
          <w:iCs/>
          <w:kern w:val="2"/>
          <w:sz w:val="28"/>
          <w:szCs w:val="28"/>
        </w:rPr>
        <w:t xml:space="preserve">5. </w:t>
      </w:r>
      <w:r>
        <w:rPr>
          <w:rStyle w:val="fontstyle01"/>
          <w:rFonts w:ascii="Times New Roman" w:eastAsia="SimSun" w:hAnsi="Times New Roman"/>
          <w:iCs/>
          <w:kern w:val="2"/>
          <w:sz w:val="28"/>
          <w:szCs w:val="28"/>
        </w:rPr>
        <w:t>Exploratory internal performance of models developed to identify participants with the MTHFR C677T TT genotype.</w:t>
      </w:r>
    </w:p>
    <w:p w:rsidR="00EA75F0" w:rsidRDefault="00EA75F0" w:rsidP="00EA75F0">
      <w:pPr>
        <w:rPr>
          <w:rStyle w:val="fontstyle01"/>
          <w:rFonts w:ascii="Times New Roman" w:eastAsia="SimSun" w:hAnsi="Times New Roman" w:cs="Times New Roman"/>
          <w:iCs/>
          <w:sz w:val="28"/>
          <w:szCs w:val="28"/>
        </w:rPr>
      </w:pPr>
      <w:r>
        <w:rPr>
          <w:rStyle w:val="fontstyle01"/>
          <w:rFonts w:ascii="Times New Roman" w:eastAsia="SimSun" w:hAnsi="Times New Roman" w:cs="Times New Roman" w:hint="eastAsia"/>
          <w:iCs/>
          <w:noProof/>
          <w:sz w:val="28"/>
          <w:szCs w:val="28"/>
          <w:lang w:eastAsia="en-US"/>
        </w:rPr>
        <w:drawing>
          <wp:inline distT="0" distB="0" distL="114300" distR="114300" wp14:anchorId="30C717C1" wp14:editId="60E70D8B">
            <wp:extent cx="4275455" cy="4526280"/>
            <wp:effectExtent l="0" t="0" r="10795" b="7620"/>
            <wp:docPr id="21" name="图片 21" descr="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S5"/>
                    <pic:cNvPicPr>
                      <a:picLocks noChangeAspect="1"/>
                    </pic:cNvPicPr>
                  </pic:nvPicPr>
                  <pic:blipFill>
                    <a:blip r:embed="rId9"/>
                    <a:srcRect r="18772"/>
                    <a:stretch>
                      <a:fillRect/>
                    </a:stretch>
                  </pic:blipFill>
                  <pic:spPr>
                    <a:xfrm>
                      <a:off x="0" y="0"/>
                      <a:ext cx="4275455" cy="452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5F0" w:rsidRDefault="00EA75F0" w:rsidP="00EA75F0">
      <w:pPr>
        <w:pStyle w:val="NormalWeb"/>
        <w:widowControl/>
        <w:rPr>
          <w:rFonts w:ascii="Times New Roman" w:eastAsia="SimSun" w:hAnsi="Times New Roman"/>
          <w:sz w:val="28"/>
          <w:szCs w:val="28"/>
          <w:lang w:bidi="ar"/>
        </w:rPr>
      </w:pPr>
      <w:r>
        <w:rPr>
          <w:rFonts w:ascii="Times New Roman" w:eastAsia="SimSun" w:hAnsi="Times New Roman"/>
          <w:b/>
          <w:bCs/>
          <w:sz w:val="28"/>
          <w:szCs w:val="28"/>
          <w:lang w:bidi="ar"/>
        </w:rPr>
        <w:t xml:space="preserve">(A) </w:t>
      </w:r>
      <w:r>
        <w:rPr>
          <w:rFonts w:ascii="Times New Roman" w:eastAsia="SimSun" w:hAnsi="Times New Roman"/>
          <w:sz w:val="28"/>
          <w:szCs w:val="28"/>
          <w:lang w:bidi="ar"/>
        </w:rPr>
        <w:t xml:space="preserve">Receiver operating characteristic curves for exploratory models developed to distinguish participants with the TT genotype from those with the CC or CT genotype. </w:t>
      </w:r>
      <w:r>
        <w:rPr>
          <w:rFonts w:ascii="Times New Roman" w:eastAsia="SimSun" w:hAnsi="Times New Roman"/>
          <w:b/>
          <w:bCs/>
          <w:sz w:val="28"/>
          <w:szCs w:val="28"/>
          <w:lang w:bidi="ar"/>
        </w:rPr>
        <w:t>(B)</w:t>
      </w:r>
      <w:r>
        <w:rPr>
          <w:rFonts w:ascii="Times New Roman" w:eastAsia="SimSun" w:hAnsi="Times New Roman"/>
          <w:sz w:val="28"/>
          <w:szCs w:val="28"/>
          <w:lang w:bidi="ar"/>
        </w:rPr>
        <w:t xml:space="preserve"> Apparent calibration of the combined model in the development dataset. </w:t>
      </w:r>
      <w:r>
        <w:rPr>
          <w:rFonts w:ascii="Times New Roman" w:eastAsia="SimSun" w:hAnsi="Times New Roman"/>
          <w:b/>
          <w:bCs/>
          <w:sz w:val="28"/>
          <w:szCs w:val="28"/>
          <w:lang w:bidi="ar"/>
        </w:rPr>
        <w:t xml:space="preserve">(C) </w:t>
      </w:r>
      <w:r>
        <w:rPr>
          <w:rFonts w:ascii="Times New Roman" w:eastAsia="SimSun" w:hAnsi="Times New Roman"/>
          <w:sz w:val="28"/>
          <w:szCs w:val="28"/>
          <w:lang w:bidi="ar"/>
        </w:rPr>
        <w:t>Exploratory decision curve analysis.</w:t>
      </w:r>
      <w:r>
        <w:rPr>
          <w:rFonts w:ascii="Times New Roman" w:eastAsia="SimSun" w:hAnsi="Times New Roman"/>
          <w:b/>
          <w:bCs/>
          <w:sz w:val="28"/>
          <w:szCs w:val="28"/>
          <w:lang w:bidi="ar"/>
        </w:rPr>
        <w:t xml:space="preserve"> (D)</w:t>
      </w:r>
      <w:r>
        <w:rPr>
          <w:rFonts w:ascii="Times New Roman" w:eastAsia="SimSun" w:hAnsi="Times New Roman"/>
          <w:sz w:val="28"/>
          <w:szCs w:val="28"/>
          <w:lang w:bidi="ar"/>
        </w:rPr>
        <w:t xml:space="preserve"> SHAP summary plot showing variable contributions within the fitted model. </w:t>
      </w:r>
      <w:r>
        <w:rPr>
          <w:rFonts w:ascii="Times New Roman" w:eastAsia="SimSun" w:hAnsi="Times New Roman"/>
          <w:b/>
          <w:bCs/>
          <w:sz w:val="28"/>
          <w:szCs w:val="28"/>
          <w:lang w:bidi="ar"/>
        </w:rPr>
        <w:t>(E)</w:t>
      </w:r>
      <w:r>
        <w:rPr>
          <w:rFonts w:ascii="Times New Roman" w:eastAsia="SimSun" w:hAnsi="Times New Roman"/>
          <w:sz w:val="28"/>
          <w:szCs w:val="28"/>
          <w:lang w:bidi="ar"/>
        </w:rPr>
        <w:t xml:space="preserve"> LASSO cross-validation curve </w:t>
      </w:r>
      <w:r>
        <w:rPr>
          <w:rFonts w:ascii="Times New Roman" w:eastAsia="SimSun" w:hAnsi="Times New Roman"/>
          <w:sz w:val="28"/>
          <w:szCs w:val="28"/>
          <w:lang w:bidi="ar"/>
        </w:rPr>
        <w:lastRenderedPageBreak/>
        <w:t xml:space="preserve">used for penalized variable selection. </w:t>
      </w:r>
      <w:r>
        <w:rPr>
          <w:rFonts w:ascii="Times New Roman" w:eastAsia="SimSun" w:hAnsi="Times New Roman"/>
          <w:b/>
          <w:bCs/>
          <w:sz w:val="28"/>
          <w:szCs w:val="28"/>
          <w:lang w:bidi="ar"/>
        </w:rPr>
        <w:t xml:space="preserve">(F) </w:t>
      </w:r>
      <w:r>
        <w:rPr>
          <w:rFonts w:ascii="Times New Roman" w:eastAsia="SimSun" w:hAnsi="Times New Roman"/>
          <w:sz w:val="28"/>
          <w:szCs w:val="28"/>
          <w:lang w:bidi="ar"/>
        </w:rPr>
        <w:t>Random forest variable-importance estimates.</w:t>
      </w:r>
      <w:r>
        <w:rPr>
          <w:rFonts w:ascii="Times New Roman" w:eastAsia="SimSun" w:hAnsi="Times New Roman"/>
          <w:b/>
          <w:bCs/>
          <w:sz w:val="28"/>
          <w:szCs w:val="28"/>
          <w:lang w:bidi="ar"/>
        </w:rPr>
        <w:t xml:space="preserve"> (G)</w:t>
      </w:r>
      <w:r>
        <w:rPr>
          <w:rFonts w:ascii="Times New Roman" w:eastAsia="SimSun" w:hAnsi="Times New Roman"/>
          <w:sz w:val="28"/>
          <w:szCs w:val="28"/>
          <w:lang w:bidi="ar"/>
        </w:rPr>
        <w:t xml:space="preserve"> LASSO coefficient paths for the candidate variables.</w:t>
      </w:r>
    </w:p>
    <w:p w:rsidR="00EA75F0" w:rsidRDefault="00EA75F0" w:rsidP="00EA75F0">
      <w:pPr>
        <w:pStyle w:val="NormalWeb"/>
        <w:widowControl/>
        <w:rPr>
          <w:rFonts w:ascii="Times New Roman" w:eastAsia="SimSun" w:hAnsi="Times New Roman"/>
          <w:sz w:val="28"/>
          <w:szCs w:val="28"/>
          <w:lang w:bidi="ar"/>
        </w:rPr>
      </w:pPr>
      <w:r>
        <w:rPr>
          <w:rFonts w:ascii="Times New Roman" w:eastAsia="SimSun" w:hAnsi="Times New Roman"/>
          <w:sz w:val="28"/>
          <w:szCs w:val="28"/>
          <w:lang w:bidi="ar"/>
        </w:rPr>
        <w:t xml:space="preserve">These analyses were exploratory. Only 41 participants had the TT genotype, resulting in a low event-to-predictor ratio and a substantial risk of model overfitting. Model performance </w:t>
      </w:r>
      <w:proofErr w:type="gramStart"/>
      <w:r>
        <w:rPr>
          <w:rFonts w:ascii="Times New Roman" w:eastAsia="SimSun" w:hAnsi="Times New Roman"/>
          <w:sz w:val="28"/>
          <w:szCs w:val="28"/>
          <w:lang w:bidi="ar"/>
        </w:rPr>
        <w:t>was assessed</w:t>
      </w:r>
      <w:proofErr w:type="gramEnd"/>
      <w:r>
        <w:rPr>
          <w:rFonts w:ascii="Times New Roman" w:eastAsia="SimSun" w:hAnsi="Times New Roman"/>
          <w:sz w:val="28"/>
          <w:szCs w:val="28"/>
          <w:lang w:bidi="ar"/>
        </w:rPr>
        <w:t xml:space="preserve"> in the development sample and was not externally validated. The findings </w:t>
      </w:r>
      <w:proofErr w:type="gramStart"/>
      <w:r>
        <w:rPr>
          <w:rFonts w:ascii="Times New Roman" w:eastAsia="SimSun" w:hAnsi="Times New Roman"/>
          <w:sz w:val="28"/>
          <w:szCs w:val="28"/>
          <w:lang w:bidi="ar"/>
        </w:rPr>
        <w:t>should therefore not be interpreted</w:t>
      </w:r>
      <w:proofErr w:type="gramEnd"/>
      <w:r>
        <w:rPr>
          <w:rFonts w:ascii="Times New Roman" w:eastAsia="SimSun" w:hAnsi="Times New Roman"/>
          <w:sz w:val="28"/>
          <w:szCs w:val="28"/>
          <w:lang w:bidi="ar"/>
        </w:rPr>
        <w:t xml:space="preserve"> as evidence of established clinical utility or as evidence that HCY-based stratification improves patient outcomes.</w:t>
      </w:r>
    </w:p>
    <w:p w:rsidR="00EA75F0" w:rsidRDefault="00EA75F0" w:rsidP="00EA75F0">
      <w:pPr>
        <w:pStyle w:val="NormalWeb"/>
        <w:widowControl/>
        <w:rPr>
          <w:rFonts w:ascii="Times New Roman" w:eastAsia="SimSun" w:hAnsi="Times New Roman"/>
          <w:sz w:val="28"/>
          <w:szCs w:val="28"/>
          <w:lang w:bidi="ar"/>
        </w:rPr>
      </w:pPr>
      <w:r>
        <w:rPr>
          <w:rFonts w:ascii="Times New Roman" w:eastAsia="SimSun" w:hAnsi="Times New Roman"/>
          <w:b/>
          <w:bCs/>
          <w:sz w:val="28"/>
          <w:szCs w:val="28"/>
          <w:lang w:bidi="ar"/>
        </w:rPr>
        <w:t>Abbreviations:</w:t>
      </w:r>
      <w:r>
        <w:rPr>
          <w:rFonts w:ascii="Times New Roman" w:eastAsia="SimSun" w:hAnsi="Times New Roman"/>
          <w:sz w:val="28"/>
          <w:szCs w:val="28"/>
          <w:lang w:bidi="ar"/>
        </w:rPr>
        <w:t xml:space="preserve"> AUC, area under the curve; HCY, homocysteine; LASSO, least absolute shrinkage and selection operator; MTHFR, methylenetetrahydrofolate reductase; ROC, receiver operating characteristic; SHAP, Shapley additive explanations.</w:t>
      </w:r>
    </w:p>
    <w:p w:rsidR="00EA75F0" w:rsidRDefault="00EA75F0" w:rsidP="00EA75F0">
      <w:pPr>
        <w:pStyle w:val="NormalWeb"/>
        <w:widowControl/>
        <w:rPr>
          <w:rStyle w:val="fontstyle01"/>
          <w:rFonts w:ascii="Times New Roman" w:eastAsia="SimSun" w:hAnsi="Times New Roman"/>
          <w:iCs/>
          <w:kern w:val="2"/>
          <w:sz w:val="28"/>
          <w:szCs w:val="28"/>
        </w:rPr>
      </w:pPr>
      <w:r>
        <w:rPr>
          <w:rStyle w:val="fontstyle01"/>
          <w:rFonts w:ascii="Times New Roman" w:eastAsia="SimSun" w:hAnsi="Times New Roman"/>
          <w:iCs/>
          <w:kern w:val="2"/>
          <w:sz w:val="28"/>
          <w:szCs w:val="28"/>
        </w:rPr>
        <w:t>Supplementary Figure S</w:t>
      </w:r>
      <w:r>
        <w:rPr>
          <w:rStyle w:val="fontstyle01"/>
          <w:rFonts w:ascii="Times New Roman" w:eastAsia="SimSun" w:hAnsi="Times New Roman" w:hint="eastAsia"/>
          <w:iCs/>
          <w:kern w:val="2"/>
          <w:sz w:val="28"/>
          <w:szCs w:val="28"/>
        </w:rPr>
        <w:t xml:space="preserve">6. </w:t>
      </w:r>
      <w:r>
        <w:rPr>
          <w:rStyle w:val="fontstyle01"/>
          <w:rFonts w:ascii="Times New Roman" w:eastAsia="SimSun" w:hAnsi="Times New Roman"/>
          <w:iCs/>
          <w:kern w:val="2"/>
          <w:sz w:val="28"/>
          <w:szCs w:val="28"/>
        </w:rPr>
        <w:t>Distributional and sensitivity analyses of the primary genotype–HCY association.</w:t>
      </w:r>
    </w:p>
    <w:p w:rsidR="00EA75F0" w:rsidRDefault="00EA75F0" w:rsidP="00EA75F0">
      <w:pPr>
        <w:pStyle w:val="NormalWeb"/>
        <w:widowControl/>
        <w:rPr>
          <w:rStyle w:val="fontstyle01"/>
          <w:rFonts w:ascii="Times New Roman" w:eastAsia="SimSun" w:hAnsi="Times New Roman"/>
          <w:iCs/>
          <w:kern w:val="2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  <w:lang w:bidi="ar"/>
        </w:rPr>
        <w:lastRenderedPageBreak/>
        <w:br/>
      </w:r>
      <w:r>
        <w:rPr>
          <w:rStyle w:val="fontstyle01"/>
          <w:rFonts w:ascii="Times New Roman" w:eastAsia="SimSun" w:hAnsi="Times New Roman" w:hint="eastAsia"/>
          <w:iCs/>
          <w:noProof/>
          <w:kern w:val="2"/>
          <w:sz w:val="28"/>
          <w:szCs w:val="28"/>
          <w:lang w:eastAsia="en-US"/>
        </w:rPr>
        <w:drawing>
          <wp:inline distT="0" distB="0" distL="114300" distR="114300" wp14:anchorId="1AFF83CF" wp14:editId="57706EC5">
            <wp:extent cx="5271135" cy="7959725"/>
            <wp:effectExtent l="0" t="0" r="5715" b="3175"/>
            <wp:docPr id="22" name="图片 22" descr="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s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95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5F0" w:rsidRDefault="00EA75F0" w:rsidP="00EA75F0">
      <w:pPr>
        <w:rPr>
          <w:rStyle w:val="fontstyle01"/>
          <w:rFonts w:ascii="Times New Roman" w:eastAsia="SimSun" w:hAnsi="Times New Roman" w:cs="Times New Roman"/>
          <w:iCs/>
          <w:sz w:val="28"/>
          <w:szCs w:val="28"/>
        </w:rPr>
      </w:pPr>
      <w:r>
        <w:rPr>
          <w:rStyle w:val="fontstyle01"/>
          <w:rFonts w:ascii="Times New Roman" w:eastAsia="SimSun" w:hAnsi="Times New Roman" w:cs="Times New Roman"/>
          <w:iCs/>
          <w:noProof/>
          <w:sz w:val="28"/>
          <w:szCs w:val="28"/>
          <w:lang w:eastAsia="en-US"/>
        </w:rPr>
        <w:lastRenderedPageBreak/>
        <w:drawing>
          <wp:inline distT="0" distB="0" distL="114300" distR="114300" wp14:anchorId="0F565BDA" wp14:editId="7F0E7D54">
            <wp:extent cx="5269230" cy="6275705"/>
            <wp:effectExtent l="0" t="0" r="7620" b="10795"/>
            <wp:docPr id="23" name="图片 23" descr="sup6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sup6y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27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5F0" w:rsidRDefault="00EA75F0" w:rsidP="00EA75F0">
      <w:pPr>
        <w:pStyle w:val="NormalWeb"/>
        <w:widowControl/>
        <w:rPr>
          <w:rFonts w:ascii="Times New Roman" w:eastAsia="SimSun" w:hAnsi="Times New Roman"/>
          <w:sz w:val="28"/>
          <w:szCs w:val="28"/>
          <w:lang w:bidi="ar"/>
        </w:rPr>
      </w:pPr>
      <w:r>
        <w:rPr>
          <w:rFonts w:ascii="Times New Roman" w:eastAsia="SimSun" w:hAnsi="Times New Roman"/>
          <w:b/>
          <w:bCs/>
          <w:sz w:val="28"/>
          <w:szCs w:val="28"/>
          <w:lang w:bidi="ar"/>
        </w:rPr>
        <w:t xml:space="preserve">(A–C) </w:t>
      </w:r>
      <w:r>
        <w:rPr>
          <w:rFonts w:ascii="Times New Roman" w:eastAsia="SimSun" w:hAnsi="Times New Roman"/>
          <w:sz w:val="28"/>
          <w:szCs w:val="28"/>
          <w:lang w:bidi="ar"/>
        </w:rPr>
        <w:t>Distribution and Q–Q plots of TG, HOMA-IR, and HCY before and after logarithmic transformation.</w:t>
      </w:r>
      <w:r>
        <w:rPr>
          <w:rFonts w:ascii="Times New Roman" w:eastAsia="SimSun" w:hAnsi="Times New Roman"/>
          <w:b/>
          <w:bCs/>
          <w:sz w:val="28"/>
          <w:szCs w:val="28"/>
          <w:lang w:bidi="ar"/>
        </w:rPr>
        <w:t xml:space="preserve"> (D) </w:t>
      </w:r>
      <w:r>
        <w:rPr>
          <w:rFonts w:ascii="Times New Roman" w:eastAsia="SimSun" w:hAnsi="Times New Roman"/>
          <w:sz w:val="28"/>
          <w:szCs w:val="28"/>
          <w:lang w:bidi="ar"/>
        </w:rPr>
        <w:t>Comparison of HCY levels among genotype groups after the exclusion of extreme observations using the criteria specified in the Statistical Analysis section.</w:t>
      </w:r>
      <w:r>
        <w:rPr>
          <w:rFonts w:ascii="Times New Roman" w:eastAsia="SimSun" w:hAnsi="Times New Roman"/>
          <w:b/>
          <w:bCs/>
          <w:sz w:val="28"/>
          <w:szCs w:val="28"/>
          <w:lang w:bidi="ar"/>
        </w:rPr>
        <w:t xml:space="preserve"> (E) </w:t>
      </w:r>
      <w:r>
        <w:rPr>
          <w:rFonts w:ascii="Times New Roman" w:eastAsia="SimSun" w:hAnsi="Times New Roman"/>
          <w:sz w:val="28"/>
          <w:szCs w:val="28"/>
          <w:lang w:bidi="ar"/>
        </w:rPr>
        <w:t>Comparison of HCY levels among genotype groups in participants with BMI &lt;28 kg/m².</w:t>
      </w:r>
    </w:p>
    <w:p w:rsidR="00EA75F0" w:rsidRDefault="00EA75F0" w:rsidP="00EA75F0">
      <w:pPr>
        <w:pStyle w:val="NormalWeb"/>
        <w:widowControl/>
        <w:rPr>
          <w:rFonts w:ascii="Times New Roman" w:eastAsia="SimSun" w:hAnsi="Times New Roman"/>
          <w:sz w:val="28"/>
          <w:szCs w:val="28"/>
          <w:lang w:bidi="ar"/>
        </w:rPr>
      </w:pPr>
      <w:r>
        <w:rPr>
          <w:rFonts w:ascii="Times New Roman" w:eastAsia="SimSun" w:hAnsi="Times New Roman"/>
          <w:sz w:val="28"/>
          <w:szCs w:val="28"/>
          <w:lang w:bidi="ar"/>
        </w:rPr>
        <w:t xml:space="preserve">These analyses </w:t>
      </w:r>
      <w:proofErr w:type="gramStart"/>
      <w:r>
        <w:rPr>
          <w:rFonts w:ascii="Times New Roman" w:eastAsia="SimSun" w:hAnsi="Times New Roman"/>
          <w:sz w:val="28"/>
          <w:szCs w:val="28"/>
          <w:lang w:bidi="ar"/>
        </w:rPr>
        <w:t>were conducted</w:t>
      </w:r>
      <w:proofErr w:type="gramEnd"/>
      <w:r>
        <w:rPr>
          <w:rFonts w:ascii="Times New Roman" w:eastAsia="SimSun" w:hAnsi="Times New Roman"/>
          <w:sz w:val="28"/>
          <w:szCs w:val="28"/>
          <w:lang w:bidi="ar"/>
        </w:rPr>
        <w:t xml:space="preserve"> to assess the distributional assumptions and robustness of the primary genotype–HCY association. Analyses excluding extreme </w:t>
      </w:r>
      <w:r>
        <w:rPr>
          <w:rFonts w:ascii="Times New Roman" w:eastAsia="SimSun" w:hAnsi="Times New Roman"/>
          <w:sz w:val="28"/>
          <w:szCs w:val="28"/>
          <w:lang w:bidi="ar"/>
        </w:rPr>
        <w:lastRenderedPageBreak/>
        <w:t>observations and analyses restricted to participants with BMI &lt;28 kg/m² were considered sensitivity analyses and were not used as the sole basis for the primary conclusion.</w:t>
      </w:r>
    </w:p>
    <w:p w:rsidR="00EA75F0" w:rsidRDefault="00EA75F0" w:rsidP="00EA75F0">
      <w:pPr>
        <w:pStyle w:val="NormalWeb"/>
        <w:widowControl/>
        <w:rPr>
          <w:rFonts w:ascii="Times New Roman" w:eastAsia="SimSun" w:hAnsi="Times New Roman"/>
          <w:sz w:val="28"/>
          <w:szCs w:val="28"/>
          <w:lang w:bidi="ar"/>
        </w:rPr>
      </w:pPr>
      <w:r>
        <w:rPr>
          <w:rFonts w:ascii="Times New Roman" w:eastAsia="SimSun" w:hAnsi="Times New Roman"/>
          <w:b/>
          <w:bCs/>
          <w:sz w:val="28"/>
          <w:szCs w:val="28"/>
          <w:lang w:bidi="ar"/>
        </w:rPr>
        <w:t xml:space="preserve">Abbreviations: </w:t>
      </w:r>
      <w:r>
        <w:rPr>
          <w:rFonts w:ascii="Times New Roman" w:eastAsia="SimSun" w:hAnsi="Times New Roman"/>
          <w:sz w:val="28"/>
          <w:szCs w:val="28"/>
          <w:lang w:bidi="ar"/>
        </w:rPr>
        <w:t>BMI, body mass index; HCY, homocysteine; HOMA-IR, homeostatic model assessment of insulin resistance; TG, triglycerides.</w:t>
      </w:r>
    </w:p>
    <w:p w:rsidR="00986CB5" w:rsidRDefault="00EA75F0">
      <w:bookmarkStart w:id="0" w:name="_GoBack"/>
      <w:bookmarkEnd w:id="0"/>
    </w:p>
    <w:sectPr w:rsidR="00986C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-Bold">
    <w:altName w:val="Segoe Print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12DBB5"/>
    <w:multiLevelType w:val="singleLevel"/>
    <w:tmpl w:val="3412DBB5"/>
    <w:lvl w:ilvl="0">
      <w:start w:val="1"/>
      <w:numFmt w:val="upperLetter"/>
      <w:suff w:val="space"/>
      <w:lvlText w:val="(%1)"/>
      <w:lvlJc w:val="left"/>
      <w:rPr>
        <w:rFonts w:hint="default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5F0"/>
    <w:rsid w:val="0004458D"/>
    <w:rsid w:val="000521FB"/>
    <w:rsid w:val="003B2219"/>
    <w:rsid w:val="00677718"/>
    <w:rsid w:val="007B0DB4"/>
    <w:rsid w:val="007C166A"/>
    <w:rsid w:val="00A60C5A"/>
    <w:rsid w:val="00C74016"/>
    <w:rsid w:val="00EA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3CCB88-660E-4E2B-8790-FD742C0D5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5F0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A75F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fontstyle01">
    <w:name w:val="fontstyle01"/>
    <w:basedOn w:val="DefaultParagraphFont"/>
    <w:qFormat/>
    <w:rsid w:val="00EA75F0"/>
    <w:rPr>
      <w:rFonts w:ascii="Lato-Bold" w:hAnsi="Lato-Bold" w:hint="default"/>
      <w:b/>
      <w:bCs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Merriecris Palopalo</dc:creator>
  <cp:keywords/>
  <dc:description/>
  <cp:lastModifiedBy>Merriecris Palopalo</cp:lastModifiedBy>
  <cp:revision>1</cp:revision>
  <dcterms:created xsi:type="dcterms:W3CDTF">2026-09-04T00:43:00Z</dcterms:created>
  <dcterms:modified xsi:type="dcterms:W3CDTF">2026-09-04T00:44:00Z</dcterms:modified>
</cp:coreProperties>
</file>