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86E3AA">
      <w:pPr>
        <w:rPr>
          <w:rFonts w:hint="default" w:ascii="Times New Roman" w:hAnsi="Times New Roman" w:cs="Times New Roman" w:eastAsiaTheme="minorEastAsia"/>
          <w:lang w:eastAsia="zh-CN"/>
        </w:rPr>
      </w:pPr>
    </w:p>
    <w:p w14:paraId="3161DEAA">
      <w:pPr>
        <w:spacing w:line="480" w:lineRule="auto"/>
        <w:rPr>
          <w:rFonts w:hint="default" w:ascii="Times New Roman" w:hAnsi="Times New Roman" w:eastAsia="宋体" w:cs="Times New Roman"/>
          <w:color w:val="auto"/>
          <w:szCs w:val="21"/>
          <w:highlight w:val="none"/>
          <w:lang w:eastAsia="zh-CN"/>
        </w:rPr>
      </w:pPr>
      <w:r>
        <w:rPr>
          <w:rFonts w:hint="default" w:ascii="Times New Roman" w:hAnsi="Times New Roman" w:eastAsia="宋体" w:cs="Times New Roman"/>
          <w:color w:val="auto"/>
          <w:szCs w:val="21"/>
          <w:highlight w:val="none"/>
          <w:lang w:eastAsia="zh-CN"/>
        </w:rPr>
        <w:drawing>
          <wp:inline distT="0" distB="0" distL="114300" distR="114300">
            <wp:extent cx="5271135" cy="1829435"/>
            <wp:effectExtent l="0" t="0" r="0" b="12065"/>
            <wp:docPr id="5" name="图片 5" descr="RAD51相关的免疫组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RAD51相关的免疫组化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829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64F40B">
      <w:pPr>
        <w:rPr>
          <w:rFonts w:hint="eastAsia" w:ascii="Times New Roman" w:hAnsi="Times New Roman" w:cs="Times New Roman" w:eastAsiaTheme="minorEastAsia"/>
          <w:color w:val="auto"/>
          <w:szCs w:val="21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kern w:val="0"/>
          <w:szCs w:val="21"/>
          <w:highlight w:val="none"/>
          <w:lang w:val="en-US" w:eastAsia="zh-CN"/>
        </w:rPr>
        <w:t>Figure S</w:t>
      </w:r>
      <w:r>
        <w:rPr>
          <w:rFonts w:hint="eastAsia" w:ascii="Times New Roman" w:hAnsi="Times New Roman" w:cs="Times New Roman"/>
          <w:b/>
          <w:bCs/>
          <w:color w:val="auto"/>
          <w:kern w:val="0"/>
          <w:szCs w:val="21"/>
          <w:highlight w:val="none"/>
          <w:lang w:val="en-US" w:eastAsia="zh-CN"/>
        </w:rPr>
        <w:t>1</w:t>
      </w:r>
      <w:r>
        <w:rPr>
          <w:rFonts w:hint="default" w:ascii="Times New Roman" w:hAnsi="Times New Roman" w:cs="Times New Roman"/>
          <w:b/>
          <w:bCs/>
          <w:color w:val="auto"/>
          <w:kern w:val="0"/>
          <w:szCs w:val="21"/>
          <w:highlight w:val="none"/>
          <w:lang w:val="en-US" w:eastAsia="zh-CN"/>
        </w:rPr>
        <w:t>.</w:t>
      </w:r>
      <w:r>
        <w:rPr>
          <w:rFonts w:hint="eastAsia" w:ascii="Times New Roman" w:hAnsi="Times New Roman" w:cs="Times New Roman"/>
          <w:b/>
          <w:bCs/>
          <w:color w:val="auto"/>
          <w:kern w:val="0"/>
          <w:szCs w:val="21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color w:val="auto"/>
          <w:kern w:val="0"/>
          <w:szCs w:val="21"/>
          <w:highlight w:val="none"/>
          <w:lang w:val="en-US" w:eastAsia="zh-CN"/>
        </w:rPr>
        <w:t>γ-H2AX and RAD51 immunohistochemical staining of subcutaneous xenograft tissues.</w:t>
      </w:r>
      <w:r>
        <w:rPr>
          <w:rFonts w:hint="default" w:ascii="Times New Roman" w:hAnsi="Times New Roman" w:eastAsia="宋体" w:cs="Times New Roman"/>
          <w:color w:val="auto"/>
          <w:szCs w:val="21"/>
          <w:highlight w:val="none"/>
          <w:lang w:val="en-US" w:eastAsia="zh-CN"/>
        </w:rPr>
        <w:t xml:space="preserve"> (A) Representative images and (B) quantification of γ-H2AX and RAD51 staining scores in control and ultrasound cavitation groups</w:t>
      </w:r>
      <w:r>
        <w:rPr>
          <w:rFonts w:hint="eastAsia" w:ascii="Times New Roman" w:hAnsi="Times New Roman" w:eastAsia="宋体" w:cs="Times New Roman"/>
          <w:color w:val="auto"/>
          <w:szCs w:val="21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auto"/>
          <w:szCs w:val="21"/>
          <w:highlight w:val="none"/>
          <w:lang w:val="en-US" w:eastAsia="zh-CN"/>
        </w:rPr>
        <w:t xml:space="preserve">(scale bar: </w:t>
      </w:r>
      <w:r>
        <w:rPr>
          <w:rFonts w:hint="eastAsia" w:ascii="Times New Roman" w:hAnsi="Times New Roman" w:eastAsia="宋体" w:cs="Times New Roman"/>
          <w:color w:val="auto"/>
          <w:szCs w:val="21"/>
          <w:highlight w:val="none"/>
          <w:lang w:val="en-US" w:eastAsia="zh-CN"/>
        </w:rPr>
        <w:t>100</w:t>
      </w:r>
      <w:r>
        <w:rPr>
          <w:rFonts w:hint="default" w:ascii="Times New Roman" w:hAnsi="Times New Roman" w:eastAsia="宋体" w:cs="Times New Roman"/>
          <w:color w:val="auto"/>
          <w:szCs w:val="21"/>
          <w:highlight w:val="none"/>
          <w:lang w:val="en-US" w:eastAsia="zh-CN"/>
        </w:rPr>
        <w:t xml:space="preserve"> µm)</w:t>
      </w:r>
      <w:r>
        <w:rPr>
          <w:rFonts w:hint="eastAsia"/>
          <w:color w:val="auto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auto"/>
          <w:szCs w:val="21"/>
          <w:highlight w:val="none"/>
          <w:lang w:val="en-US" w:eastAsia="zh-CN"/>
        </w:rPr>
        <w:t>.</w:t>
      </w:r>
      <w:r>
        <w:rPr>
          <w:rFonts w:hint="eastAsia" w:ascii="Times New Roman" w:hAnsi="Times New Roman" w:eastAsia="宋体" w:cs="Times New Roman"/>
          <w:color w:val="auto"/>
          <w:szCs w:val="21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  <w:szCs w:val="21"/>
        </w:rPr>
        <w:t>*</w:t>
      </w:r>
      <w:r>
        <w:rPr>
          <w:rFonts w:hint="default" w:ascii="Times New Roman" w:hAnsi="Times New Roman" w:cs="Times New Roman"/>
          <w:i/>
          <w:iCs/>
          <w:sz w:val="21"/>
          <w:szCs w:val="21"/>
        </w:rPr>
        <w:t>p</w:t>
      </w:r>
      <w:r>
        <w:rPr>
          <w:rFonts w:hint="default" w:ascii="Times New Roman" w:hAnsi="Times New Roman" w:cs="Times New Roman"/>
          <w:sz w:val="21"/>
          <w:szCs w:val="21"/>
        </w:rPr>
        <w:t xml:space="preserve"> &lt; 0.05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sz w:val="21"/>
          <w:szCs w:val="21"/>
        </w:rPr>
        <w:t>**</w:t>
      </w:r>
      <w:r>
        <w:rPr>
          <w:rFonts w:hint="default" w:ascii="Times New Roman" w:hAnsi="Times New Roman" w:cs="Times New Roman"/>
          <w:i/>
          <w:iCs/>
          <w:sz w:val="21"/>
          <w:szCs w:val="21"/>
        </w:rPr>
        <w:t>p</w:t>
      </w:r>
      <w:r>
        <w:rPr>
          <w:rFonts w:hint="default" w:ascii="Times New Roman" w:hAnsi="Times New Roman" w:cs="Times New Roman"/>
          <w:sz w:val="21"/>
          <w:szCs w:val="21"/>
        </w:rPr>
        <w:t xml:space="preserve"> &lt; 0.01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.</w:t>
      </w:r>
    </w:p>
    <w:p w14:paraId="59AC533A">
      <w:pPr>
        <w:rPr>
          <w:rFonts w:hint="default" w:ascii="Times New Roman" w:hAnsi="Times New Roman" w:cs="Times New Roman" w:eastAsiaTheme="minorEastAsia"/>
          <w:lang w:eastAsia="zh-CN"/>
        </w:rPr>
      </w:pPr>
    </w:p>
    <w:p w14:paraId="4E2B1C24">
      <w:pPr>
        <w:spacing w:line="480" w:lineRule="auto"/>
        <w:rPr>
          <w:rFonts w:hint="default" w:ascii="Times New Roman" w:hAnsi="Times New Roman" w:eastAsia="宋体" w:cs="Times New Roman"/>
          <w:color w:val="auto"/>
          <w:szCs w:val="21"/>
          <w:highlight w:val="none"/>
          <w:lang w:eastAsia="zh-CN"/>
        </w:rPr>
      </w:pPr>
      <w:r>
        <w:rPr>
          <w:rFonts w:hint="default" w:ascii="Times New Roman" w:hAnsi="Times New Roman" w:eastAsia="宋体" w:cs="Times New Roman"/>
          <w:color w:val="auto"/>
          <w:szCs w:val="21"/>
          <w:highlight w:val="none"/>
          <w:lang w:eastAsia="zh-CN"/>
        </w:rPr>
        <w:drawing>
          <wp:inline distT="0" distB="0" distL="114300" distR="114300">
            <wp:extent cx="5273675" cy="1983740"/>
            <wp:effectExtent l="0" t="0" r="0" b="0"/>
            <wp:docPr id="2" name="图片 2" descr="关于PC的组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关于PC的组图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983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ACE2C0">
      <w:pPr>
        <w:spacing w:line="480" w:lineRule="auto"/>
        <w:rPr>
          <w:rFonts w:hint="default" w:ascii="Times New Roman" w:hAnsi="Times New Roman" w:cs="Times New Roman" w:eastAsiaTheme="minorEastAsia"/>
          <w:lang w:eastAsia="zh-CN"/>
        </w:rPr>
      </w:pPr>
      <w:r>
        <w:rPr>
          <w:rFonts w:hint="default" w:ascii="Times New Roman" w:hAnsi="Times New Roman" w:cs="Times New Roman"/>
          <w:b/>
          <w:bCs/>
          <w:color w:val="auto"/>
          <w:kern w:val="0"/>
          <w:szCs w:val="21"/>
          <w:highlight w:val="none"/>
        </w:rPr>
        <w:t>Figure S</w:t>
      </w:r>
      <w:r>
        <w:rPr>
          <w:rFonts w:hint="eastAsia" w:ascii="Times New Roman" w:hAnsi="Times New Roman" w:cs="Times New Roman"/>
          <w:b/>
          <w:bCs/>
          <w:color w:val="auto"/>
          <w:kern w:val="0"/>
          <w:szCs w:val="21"/>
          <w:highlight w:val="none"/>
          <w:lang w:val="en-US" w:eastAsia="zh-CN"/>
        </w:rPr>
        <w:t>2</w:t>
      </w:r>
      <w:r>
        <w:rPr>
          <w:rFonts w:hint="default" w:ascii="Times New Roman" w:hAnsi="Times New Roman" w:cs="Times New Roman"/>
          <w:b/>
          <w:bCs/>
          <w:color w:val="auto"/>
          <w:kern w:val="0"/>
          <w:szCs w:val="21"/>
          <w:highlight w:val="none"/>
        </w:rPr>
        <w:t>. Ultrasound-triggered mechanobiological force increased PC levels and decreased PSS1 and PSS2 protein abundance</w:t>
      </w:r>
      <w:r>
        <w:rPr>
          <w:rStyle w:val="4"/>
          <w:rFonts w:hint="default" w:ascii="Times New Roman" w:hAnsi="Times New Roman" w:eastAsia="宋体" w:cs="Times New Roman"/>
          <w:sz w:val="24"/>
          <w:szCs w:val="24"/>
        </w:rPr>
        <w:t>.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  <w:r>
        <w:rPr>
          <w:rFonts w:hint="default" w:ascii="Times New Roman" w:hAnsi="Times New Roman" w:eastAsia="宋体" w:cs="Times New Roman"/>
          <w:color w:val="auto"/>
          <w:szCs w:val="21"/>
          <w:highlight w:val="none"/>
        </w:rPr>
        <w:t>(A) PC levels in SKOV3-TR30 cells determined by lipidomic analysis. Protein abundance of PSS1 (B) and PSS2 (C) determined by proteomic analysis, in the control and LIFU-MB treatment groups.</w:t>
      </w:r>
      <w:r>
        <w:rPr>
          <w:rFonts w:hint="default" w:ascii="Times New Roman" w:hAnsi="Times New Roman" w:eastAsia="宋体" w:cs="Times New Roman"/>
          <w:color w:val="auto"/>
          <w:szCs w:val="21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  <w:szCs w:val="21"/>
        </w:rPr>
        <w:t>*</w:t>
      </w:r>
      <w:r>
        <w:rPr>
          <w:rFonts w:hint="default" w:ascii="Times New Roman" w:hAnsi="Times New Roman" w:cs="Times New Roman"/>
          <w:i/>
          <w:iCs/>
          <w:sz w:val="21"/>
          <w:szCs w:val="21"/>
        </w:rPr>
        <w:t>p</w:t>
      </w:r>
      <w:r>
        <w:rPr>
          <w:rFonts w:hint="default" w:ascii="Times New Roman" w:hAnsi="Times New Roman" w:cs="Times New Roman"/>
          <w:sz w:val="21"/>
          <w:szCs w:val="21"/>
        </w:rPr>
        <w:t xml:space="preserve"> &lt; 0.05, **</w:t>
      </w:r>
      <w:r>
        <w:rPr>
          <w:rFonts w:hint="default" w:ascii="Times New Roman" w:hAnsi="Times New Roman" w:cs="Times New Roman"/>
          <w:i/>
          <w:iCs/>
          <w:sz w:val="21"/>
          <w:szCs w:val="21"/>
        </w:rPr>
        <w:t>p</w:t>
      </w:r>
      <w:r>
        <w:rPr>
          <w:rFonts w:hint="default" w:ascii="Times New Roman" w:hAnsi="Times New Roman" w:cs="Times New Roman"/>
          <w:sz w:val="21"/>
          <w:szCs w:val="21"/>
        </w:rPr>
        <w:t xml:space="preserve"> &lt; 0.01</w:t>
      </w:r>
    </w:p>
    <w:p w14:paraId="6464ECC1">
      <w:pPr>
        <w:rPr>
          <w:rFonts w:hint="default" w:ascii="Times New Roman" w:hAnsi="Times New Roman" w:cs="Times New Roman" w:eastAsiaTheme="minorEastAsia"/>
          <w:lang w:eastAsia="zh-CN"/>
        </w:rPr>
      </w:pPr>
    </w:p>
    <w:p w14:paraId="5F26B91E">
      <w:pPr>
        <w:rPr>
          <w:rFonts w:hint="default" w:ascii="Times New Roman" w:hAnsi="Times New Roman" w:cs="Times New Roman" w:eastAsiaTheme="minorEastAsia"/>
          <w:lang w:eastAsia="zh-CN"/>
        </w:rPr>
      </w:pPr>
    </w:p>
    <w:p w14:paraId="52013C08">
      <w:pPr>
        <w:rPr>
          <w:rFonts w:hint="default" w:ascii="Times New Roman" w:hAnsi="Times New Roman" w:cs="Times New Roman" w:eastAsiaTheme="minorEastAsia"/>
          <w:lang w:eastAsia="zh-CN"/>
        </w:rPr>
      </w:pPr>
    </w:p>
    <w:p w14:paraId="58824890">
      <w:pPr>
        <w:spacing w:line="480" w:lineRule="auto"/>
        <w:rPr>
          <w:rFonts w:hint="default" w:ascii="Times New Roman" w:hAnsi="Times New Roman" w:eastAsia="宋体" w:cs="Times New Roman"/>
          <w:color w:val="auto"/>
          <w:szCs w:val="21"/>
          <w:highlight w:val="none"/>
          <w:lang w:eastAsia="zh-CN"/>
        </w:rPr>
      </w:pPr>
      <w:r>
        <w:rPr>
          <w:rFonts w:hint="default" w:ascii="Times New Roman" w:hAnsi="Times New Roman" w:eastAsia="宋体" w:cs="Times New Roman"/>
          <w:color w:val="auto"/>
          <w:szCs w:val="21"/>
          <w:highlight w:val="none"/>
          <w:lang w:eastAsia="zh-CN"/>
        </w:rPr>
        <w:drawing>
          <wp:inline distT="0" distB="0" distL="114300" distR="114300">
            <wp:extent cx="3945890" cy="2211070"/>
            <wp:effectExtent l="0" t="0" r="0" b="0"/>
            <wp:docPr id="4" name="图片 4" descr="图片S RNA结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片S RNA结果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45890" cy="2211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B5A79F">
      <w:pPr>
        <w:spacing w:line="480" w:lineRule="auto"/>
        <w:rPr>
          <w:rFonts w:hint="default" w:ascii="Times New Roman" w:hAnsi="Times New Roman" w:cs="Times New Roman"/>
          <w:color w:val="FF0000"/>
          <w:sz w:val="21"/>
          <w:szCs w:val="21"/>
        </w:rPr>
      </w:pPr>
      <w:r>
        <w:rPr>
          <w:rFonts w:hint="default" w:ascii="Times New Roman" w:hAnsi="Times New Roman" w:cs="Times New Roman"/>
          <w:b/>
          <w:bCs/>
          <w:color w:val="FF0000"/>
          <w:szCs w:val="21"/>
          <w:highlight w:val="none"/>
          <w:lang w:eastAsia="zh-CN"/>
        </w:rPr>
        <w:t>Figur</w:t>
      </w:r>
      <w:r>
        <w:rPr>
          <w:rFonts w:hint="default" w:ascii="Times New Roman" w:hAnsi="Times New Roman" w:cs="Times New Roman"/>
          <w:b/>
          <w:bCs/>
          <w:color w:val="FF0000"/>
          <w:kern w:val="0"/>
          <w:szCs w:val="21"/>
          <w:highlight w:val="none"/>
          <w:lang w:eastAsia="zh-CN"/>
        </w:rPr>
        <w:t>e</w:t>
      </w:r>
      <w:r>
        <w:rPr>
          <w:rFonts w:hint="default" w:ascii="Times New Roman" w:hAnsi="Times New Roman" w:cs="Times New Roman"/>
          <w:b/>
          <w:bCs/>
          <w:color w:val="FF0000"/>
          <w:kern w:val="0"/>
          <w:szCs w:val="21"/>
          <w:highlight w:val="none"/>
        </w:rPr>
        <w:t xml:space="preserve"> </w:t>
      </w:r>
      <w:r>
        <w:rPr>
          <w:rFonts w:hint="default" w:ascii="Times New Roman" w:hAnsi="Times New Roman" w:cs="Times New Roman"/>
          <w:b/>
          <w:bCs/>
          <w:color w:val="FF0000"/>
          <w:kern w:val="0"/>
          <w:szCs w:val="21"/>
          <w:highlight w:val="none"/>
          <w:lang w:val="en-US" w:eastAsia="zh-CN"/>
        </w:rPr>
        <w:t>S</w:t>
      </w:r>
      <w:r>
        <w:rPr>
          <w:rFonts w:hint="eastAsia" w:ascii="Times New Roman" w:hAnsi="Times New Roman" w:cs="Times New Roman"/>
          <w:b/>
          <w:bCs/>
          <w:color w:val="FF0000"/>
          <w:kern w:val="0"/>
          <w:szCs w:val="21"/>
          <w:highlight w:val="none"/>
          <w:lang w:val="en-US" w:eastAsia="zh-CN"/>
        </w:rPr>
        <w:t>3</w:t>
      </w:r>
      <w:r>
        <w:rPr>
          <w:rFonts w:hint="default" w:ascii="Times New Roman" w:hAnsi="Times New Roman" w:cs="Times New Roman"/>
          <w:b/>
          <w:bCs/>
          <w:color w:val="FF0000"/>
          <w:kern w:val="0"/>
          <w:szCs w:val="21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color w:val="FF0000"/>
          <w:kern w:val="0"/>
          <w:szCs w:val="21"/>
          <w:highlight w:val="none"/>
        </w:rPr>
        <w:t xml:space="preserve">Effect of </w:t>
      </w:r>
      <w:r>
        <w:rPr>
          <w:rFonts w:hint="default" w:ascii="Times New Roman" w:hAnsi="Times New Roman" w:cs="Times New Roman"/>
          <w:b/>
          <w:bCs/>
          <w:color w:val="FF0000"/>
          <w:kern w:val="0"/>
          <w:szCs w:val="21"/>
          <w:highlight w:val="none"/>
          <w:lang w:val="en-US" w:eastAsia="zh-CN"/>
        </w:rPr>
        <w:t>u</w:t>
      </w:r>
      <w:r>
        <w:rPr>
          <w:rFonts w:hint="default" w:ascii="Times New Roman" w:hAnsi="Times New Roman" w:cs="Times New Roman"/>
          <w:b/>
          <w:bCs/>
          <w:color w:val="FF0000"/>
          <w:kern w:val="0"/>
          <w:szCs w:val="21"/>
          <w:highlight w:val="none"/>
        </w:rPr>
        <w:t>ltrasound-triggered mechanobiological force on SLC7A11 mRNA levels</w:t>
      </w:r>
      <w:r>
        <w:rPr>
          <w:rFonts w:hint="default" w:ascii="Times New Roman" w:hAnsi="Times New Roman" w:cs="Times New Roman"/>
          <w:b/>
          <w:bCs/>
          <w:color w:val="FF0000"/>
          <w:kern w:val="0"/>
          <w:szCs w:val="21"/>
          <w:highlight w:val="none"/>
          <w:lang w:val="en-US" w:eastAsia="zh-CN"/>
        </w:rPr>
        <w:t>.</w:t>
      </w:r>
      <w:r>
        <w:rPr>
          <w:rFonts w:hint="eastAsia" w:ascii="Times New Roman" w:hAnsi="Times New Roman" w:cs="Times New Roman"/>
          <w:b/>
          <w:bCs/>
          <w:color w:val="FF0000"/>
          <w:kern w:val="0"/>
          <w:szCs w:val="21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FF0000"/>
          <w:szCs w:val="21"/>
          <w:highlight w:val="none"/>
        </w:rPr>
        <w:t>The mR</w:t>
      </w:r>
      <w:r>
        <w:rPr>
          <w:rFonts w:hint="default" w:ascii="Times New Roman" w:hAnsi="Times New Roman" w:eastAsia="宋体" w:cs="Times New Roman"/>
          <w:color w:val="FF0000"/>
          <w:sz w:val="24"/>
          <w:szCs w:val="24"/>
          <w:highlight w:val="none"/>
        </w:rPr>
        <w:t>N</w:t>
      </w:r>
      <w:r>
        <w:rPr>
          <w:rFonts w:hint="default" w:ascii="Times New Roman" w:hAnsi="Times New Roman" w:eastAsia="宋体" w:cs="Times New Roman"/>
          <w:color w:val="FF0000"/>
          <w:szCs w:val="21"/>
          <w:highlight w:val="none"/>
        </w:rPr>
        <w:t xml:space="preserve">A levels of SLC7A11 in A2780-TR300 (A) and SKOV3-TR30 (B) cells after </w:t>
      </w:r>
      <w:r>
        <w:rPr>
          <w:rFonts w:hint="eastAsia" w:ascii="Times New Roman" w:hAnsi="Times New Roman" w:eastAsia="宋体" w:cs="Times New Roman"/>
          <w:color w:val="FF0000"/>
          <w:szCs w:val="21"/>
          <w:highlight w:val="none"/>
          <w:lang w:eastAsia="zh-CN"/>
        </w:rPr>
        <w:t>LIFU-MB</w:t>
      </w:r>
      <w:r>
        <w:rPr>
          <w:rFonts w:hint="default" w:ascii="Times New Roman" w:hAnsi="Times New Roman" w:eastAsia="宋体" w:cs="Times New Roman"/>
          <w:color w:val="FF0000"/>
          <w:szCs w:val="21"/>
          <w:highlight w:val="none"/>
        </w:rPr>
        <w:t xml:space="preserve"> treatment.</w:t>
      </w:r>
      <w:r>
        <w:rPr>
          <w:rFonts w:hint="default" w:ascii="Times New Roman" w:hAnsi="Times New Roman" w:eastAsia="宋体" w:cs="Times New Roman"/>
          <w:color w:val="FF0000"/>
          <w:szCs w:val="21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FF0000"/>
          <w:sz w:val="21"/>
          <w:szCs w:val="21"/>
        </w:rPr>
        <w:t>*</w:t>
      </w:r>
      <w:r>
        <w:rPr>
          <w:rFonts w:hint="default" w:ascii="Times New Roman" w:hAnsi="Times New Roman" w:cs="Times New Roman"/>
          <w:i/>
          <w:iCs/>
          <w:color w:val="FF0000"/>
          <w:sz w:val="21"/>
          <w:szCs w:val="21"/>
        </w:rPr>
        <w:t>p</w:t>
      </w:r>
      <w:r>
        <w:rPr>
          <w:rFonts w:hint="default" w:ascii="Times New Roman" w:hAnsi="Times New Roman" w:cs="Times New Roman"/>
          <w:color w:val="FF0000"/>
          <w:sz w:val="21"/>
          <w:szCs w:val="21"/>
        </w:rPr>
        <w:t xml:space="preserve"> &lt; 0.05, **</w:t>
      </w:r>
      <w:r>
        <w:rPr>
          <w:rFonts w:hint="default" w:ascii="Times New Roman" w:hAnsi="Times New Roman" w:cs="Times New Roman"/>
          <w:i/>
          <w:iCs/>
          <w:color w:val="FF0000"/>
          <w:sz w:val="21"/>
          <w:szCs w:val="21"/>
        </w:rPr>
        <w:t>p</w:t>
      </w:r>
      <w:r>
        <w:rPr>
          <w:rFonts w:hint="default" w:ascii="Times New Roman" w:hAnsi="Times New Roman" w:cs="Times New Roman"/>
          <w:color w:val="FF0000"/>
          <w:sz w:val="21"/>
          <w:szCs w:val="21"/>
        </w:rPr>
        <w:t xml:space="preserve"> &lt; 0.01, ***</w:t>
      </w:r>
      <w:r>
        <w:rPr>
          <w:rFonts w:hint="default" w:ascii="Times New Roman" w:hAnsi="Times New Roman" w:cs="Times New Roman"/>
          <w:i/>
          <w:iCs/>
          <w:color w:val="FF0000"/>
          <w:sz w:val="21"/>
          <w:szCs w:val="21"/>
        </w:rPr>
        <w:t>p</w:t>
      </w:r>
      <w:r>
        <w:rPr>
          <w:rFonts w:hint="default" w:ascii="Times New Roman" w:hAnsi="Times New Roman" w:cs="Times New Roman"/>
          <w:color w:val="FF0000"/>
          <w:sz w:val="21"/>
          <w:szCs w:val="21"/>
        </w:rPr>
        <w:t xml:space="preserve"> &lt; 0.001.</w:t>
      </w:r>
    </w:p>
    <w:p w14:paraId="6C250359">
      <w:pPr>
        <w:spacing w:line="480" w:lineRule="auto"/>
        <w:rPr>
          <w:rFonts w:hint="default" w:ascii="Times New Roman" w:hAnsi="Times New Roman" w:cs="Times New Roman"/>
          <w:sz w:val="21"/>
          <w:szCs w:val="21"/>
        </w:rPr>
      </w:pPr>
    </w:p>
    <w:p w14:paraId="0C331DEB">
      <w:pPr>
        <w:rPr>
          <w:rFonts w:hint="default" w:ascii="Times New Roman" w:hAnsi="Times New Roman" w:cs="Times New Roman" w:eastAsiaTheme="minorEastAsia"/>
          <w:lang w:eastAsia="zh-CN"/>
        </w:rPr>
      </w:pPr>
    </w:p>
    <w:p w14:paraId="715AFB5D">
      <w:pPr>
        <w:spacing w:line="480" w:lineRule="auto"/>
        <w:rPr>
          <w:rFonts w:hint="default" w:ascii="Times New Roman" w:hAnsi="Times New Roman" w:eastAsia="宋体" w:cs="Times New Roman"/>
          <w:color w:val="auto"/>
          <w:szCs w:val="21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Cs w:val="21"/>
          <w:highlight w:val="none"/>
          <w:lang w:eastAsia="zh-CN"/>
        </w:rPr>
        <w:drawing>
          <wp:inline distT="0" distB="0" distL="114300" distR="114300">
            <wp:extent cx="5273040" cy="2147570"/>
            <wp:effectExtent l="0" t="0" r="10160" b="0"/>
            <wp:docPr id="3" name="图片 3" descr="4-HNE免疫组化结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4-HNE免疫组化结果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147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619063">
      <w:pPr>
        <w:spacing w:line="480" w:lineRule="auto"/>
        <w:rPr>
          <w:rFonts w:hint="eastAsia" w:ascii="Times New Roman" w:hAnsi="Times New Roman" w:cs="Times New Roman" w:eastAsiaTheme="minorEastAsia"/>
          <w:color w:val="auto"/>
          <w:szCs w:val="21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kern w:val="0"/>
          <w:szCs w:val="21"/>
          <w:highlight w:val="none"/>
        </w:rPr>
        <w:t xml:space="preserve">Figure S4. Ultrasound-triggered mechanobiological force increases 4-HNE in xenograft tumors. </w:t>
      </w:r>
      <w:r>
        <w:rPr>
          <w:rFonts w:hint="default" w:ascii="Times New Roman" w:hAnsi="Times New Roman" w:eastAsia="宋体" w:cs="Times New Roman"/>
          <w:color w:val="auto"/>
          <w:szCs w:val="21"/>
          <w:highlight w:val="none"/>
        </w:rPr>
        <w:t>(A) Representative 4-HNE IHC staining in control and LIFU-MB</w:t>
      </w:r>
      <w:r>
        <w:rPr>
          <w:rFonts w:hint="eastAsia" w:ascii="Times New Roman" w:hAnsi="Times New Roman" w:eastAsia="宋体" w:cs="Times New Roman"/>
          <w:color w:val="auto"/>
          <w:szCs w:val="21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auto"/>
          <w:szCs w:val="21"/>
          <w:highlight w:val="none"/>
        </w:rPr>
        <w:t>groups</w:t>
      </w:r>
      <w:r>
        <w:rPr>
          <w:rFonts w:hint="eastAsia" w:ascii="Times New Roman" w:hAnsi="Times New Roman" w:eastAsia="宋体" w:cs="Times New Roman"/>
          <w:color w:val="auto"/>
          <w:szCs w:val="21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auto"/>
          <w:szCs w:val="21"/>
          <w:highlight w:val="none"/>
          <w:lang w:val="en-US" w:eastAsia="zh-CN"/>
        </w:rPr>
        <w:t xml:space="preserve">(scale bar: </w:t>
      </w:r>
      <w:r>
        <w:rPr>
          <w:rFonts w:hint="eastAsia" w:ascii="Times New Roman" w:hAnsi="Times New Roman" w:eastAsia="宋体" w:cs="Times New Roman"/>
          <w:color w:val="auto"/>
          <w:szCs w:val="21"/>
          <w:highlight w:val="none"/>
          <w:lang w:val="en-US" w:eastAsia="zh-CN"/>
        </w:rPr>
        <w:t>100</w:t>
      </w:r>
      <w:r>
        <w:rPr>
          <w:rFonts w:hint="default" w:ascii="Times New Roman" w:hAnsi="Times New Roman" w:eastAsia="宋体" w:cs="Times New Roman"/>
          <w:color w:val="auto"/>
          <w:szCs w:val="21"/>
          <w:highlight w:val="none"/>
          <w:lang w:val="en-US" w:eastAsia="zh-CN"/>
        </w:rPr>
        <w:t xml:space="preserve"> µm)</w:t>
      </w:r>
      <w:r>
        <w:rPr>
          <w:rFonts w:hint="eastAsia"/>
          <w:color w:val="auto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auto"/>
          <w:szCs w:val="21"/>
          <w:highlight w:val="none"/>
        </w:rPr>
        <w:t xml:space="preserve">. (B) Quantification of 4-HNE IHC scores. </w:t>
      </w:r>
      <w:r>
        <w:rPr>
          <w:rFonts w:hint="default" w:ascii="Times New Roman" w:hAnsi="Times New Roman" w:cs="Times New Roman"/>
          <w:sz w:val="21"/>
          <w:szCs w:val="21"/>
        </w:rPr>
        <w:t>*</w:t>
      </w:r>
      <w:r>
        <w:rPr>
          <w:rFonts w:hint="default" w:ascii="Times New Roman" w:hAnsi="Times New Roman" w:cs="Times New Roman"/>
          <w:i/>
          <w:iCs/>
          <w:sz w:val="21"/>
          <w:szCs w:val="21"/>
        </w:rPr>
        <w:t>p</w:t>
      </w:r>
      <w:r>
        <w:rPr>
          <w:rFonts w:hint="default" w:ascii="Times New Roman" w:hAnsi="Times New Roman" w:cs="Times New Roman"/>
          <w:sz w:val="21"/>
          <w:szCs w:val="21"/>
        </w:rPr>
        <w:t xml:space="preserve"> &lt; 0.05, **</w:t>
      </w:r>
      <w:r>
        <w:rPr>
          <w:rFonts w:hint="default" w:ascii="Times New Roman" w:hAnsi="Times New Roman" w:cs="Times New Roman"/>
          <w:i/>
          <w:iCs/>
          <w:sz w:val="21"/>
          <w:szCs w:val="21"/>
        </w:rPr>
        <w:t>p</w:t>
      </w:r>
      <w:r>
        <w:rPr>
          <w:rFonts w:hint="default" w:ascii="Times New Roman" w:hAnsi="Times New Roman" w:cs="Times New Roman"/>
          <w:sz w:val="21"/>
          <w:szCs w:val="21"/>
        </w:rPr>
        <w:t xml:space="preserve"> &lt; 0.01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.</w:t>
      </w:r>
    </w:p>
    <w:p w14:paraId="7A7412BA">
      <w:pPr>
        <w:rPr>
          <w:rFonts w:hint="default" w:ascii="Times New Roman" w:hAnsi="Times New Roman" w:cs="Times New Roman" w:eastAsiaTheme="minorEastAsia"/>
          <w:lang w:eastAsia="zh-CN"/>
        </w:rPr>
      </w:pPr>
    </w:p>
    <w:p w14:paraId="4B08AE81">
      <w:pPr>
        <w:rPr>
          <w:rFonts w:hint="default" w:ascii="Times New Roman" w:hAnsi="Times New Roman" w:cs="Times New Roman" w:eastAsiaTheme="minorEastAsia"/>
          <w:lang w:eastAsia="zh-CN"/>
        </w:rPr>
      </w:pPr>
    </w:p>
    <w:p w14:paraId="7E5A350E">
      <w:pPr>
        <w:rPr>
          <w:rFonts w:hint="default" w:ascii="Times New Roman" w:hAnsi="Times New Roman" w:cs="Times New Roman" w:eastAsiaTheme="minorEastAsia"/>
          <w:lang w:eastAsia="zh-CN"/>
        </w:rPr>
      </w:pPr>
    </w:p>
    <w:p w14:paraId="6ABE9169">
      <w:pPr>
        <w:rPr>
          <w:rFonts w:hint="default" w:ascii="Times New Roman" w:hAnsi="Times New Roman" w:cs="Times New Roman" w:eastAsiaTheme="minorEastAsia"/>
          <w:lang w:eastAsia="zh-CN"/>
        </w:rPr>
      </w:pPr>
      <w:r>
        <w:rPr>
          <w:rFonts w:hint="default" w:ascii="Times New Roman" w:hAnsi="Times New Roman" w:cs="Times New Roman" w:eastAsiaTheme="minorEastAsia"/>
          <w:lang w:eastAsia="zh-CN"/>
        </w:rPr>
        <w:drawing>
          <wp:inline distT="0" distB="0" distL="114300" distR="114300">
            <wp:extent cx="5273040" cy="7806055"/>
            <wp:effectExtent l="0" t="0" r="0" b="0"/>
            <wp:docPr id="1" name="图片 1" descr="D:/Desktop/图片S5.tif图片S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:/Desktop/图片S5.tif图片S5"/>
                    <pic:cNvPicPr>
                      <a:picLocks noChangeAspect="1"/>
                    </pic:cNvPicPr>
                  </pic:nvPicPr>
                  <pic:blipFill>
                    <a:blip r:embed="rId8"/>
                    <a:srcRect t="6" b="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780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FF4025">
      <w:pPr>
        <w:spacing w:line="480" w:lineRule="auto"/>
        <w:rPr>
          <w:rFonts w:hint="eastAsia" w:ascii="Times New Roman" w:hAnsi="Times New Roman" w:eastAsia="宋体" w:cs="Times New Roman"/>
          <w:color w:val="auto"/>
          <w:szCs w:val="21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kern w:val="0"/>
          <w:szCs w:val="21"/>
          <w:highlight w:val="none"/>
          <w:lang w:eastAsia="zh-CN"/>
        </w:rPr>
        <w:t>Figure</w:t>
      </w:r>
      <w:r>
        <w:rPr>
          <w:rFonts w:hint="default" w:ascii="Times New Roman" w:hAnsi="Times New Roman" w:cs="Times New Roman"/>
          <w:b/>
          <w:bCs/>
          <w:color w:val="auto"/>
          <w:kern w:val="0"/>
          <w:szCs w:val="21"/>
          <w:highlight w:val="none"/>
        </w:rPr>
        <w:t xml:space="preserve"> </w:t>
      </w:r>
      <w:r>
        <w:rPr>
          <w:rFonts w:hint="default" w:ascii="Times New Roman" w:hAnsi="Times New Roman" w:cs="Times New Roman"/>
          <w:b/>
          <w:bCs/>
          <w:color w:val="auto"/>
          <w:kern w:val="0"/>
          <w:szCs w:val="21"/>
          <w:highlight w:val="none"/>
          <w:lang w:val="en-US" w:eastAsia="zh-CN"/>
        </w:rPr>
        <w:t>S</w:t>
      </w:r>
      <w:r>
        <w:rPr>
          <w:rFonts w:hint="eastAsia" w:ascii="Times New Roman" w:hAnsi="Times New Roman" w:cs="Times New Roman"/>
          <w:b/>
          <w:bCs/>
          <w:color w:val="auto"/>
          <w:kern w:val="0"/>
          <w:szCs w:val="21"/>
          <w:highlight w:val="none"/>
          <w:lang w:val="en-US" w:eastAsia="zh-CN"/>
        </w:rPr>
        <w:t>5</w:t>
      </w:r>
      <w:r>
        <w:rPr>
          <w:rFonts w:hint="default" w:ascii="Times New Roman" w:hAnsi="Times New Roman" w:cs="Times New Roman"/>
          <w:b/>
          <w:bCs/>
          <w:color w:val="auto"/>
          <w:kern w:val="0"/>
          <w:szCs w:val="21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color w:val="auto"/>
          <w:kern w:val="0"/>
          <w:szCs w:val="21"/>
          <w:highlight w:val="none"/>
        </w:rPr>
        <w:t>Fer-1 partially reversed the cytotoxic and cell-cycle effects induced by LIFU-MB</w:t>
      </w:r>
      <w:r>
        <w:rPr>
          <w:rFonts w:hint="eastAsia" w:ascii="Times New Roman" w:hAnsi="Times New Roman" w:cs="Times New Roman"/>
          <w:b/>
          <w:bCs/>
          <w:color w:val="auto"/>
          <w:kern w:val="0"/>
          <w:szCs w:val="21"/>
          <w:highlight w:val="none"/>
          <w:lang w:val="en-US" w:eastAsia="zh-CN"/>
        </w:rPr>
        <w:t xml:space="preserve"> treatment</w:t>
      </w:r>
      <w:r>
        <w:rPr>
          <w:rFonts w:hint="default" w:ascii="Times New Roman" w:hAnsi="Times New Roman" w:cs="Times New Roman"/>
          <w:b/>
          <w:bCs/>
          <w:color w:val="auto"/>
          <w:kern w:val="0"/>
          <w:szCs w:val="21"/>
          <w:highlight w:val="none"/>
        </w:rPr>
        <w:t xml:space="preserve">. </w:t>
      </w:r>
      <w:r>
        <w:rPr>
          <w:rFonts w:hint="default" w:ascii="Times New Roman" w:hAnsi="Times New Roman" w:eastAsia="宋体" w:cs="Times New Roman"/>
          <w:color w:val="auto"/>
          <w:szCs w:val="21"/>
          <w:highlight w:val="none"/>
        </w:rPr>
        <w:t>(A) Relative cell survival of A2780-TR300 and SKOV3-TR30 cells in the control, ultrasound cavitation, and Fer-1&amp;Cavitation groups at 0, 24, 48, and 72 h, measured by CCK-8 assay and normalized to the control. Representative images and quantification of colony formation in A2780-TR300 (B) and SKOV3-TR30 (C) cells.</w:t>
      </w:r>
      <w:r>
        <w:rPr>
          <w:rFonts w:hint="eastAsia" w:ascii="Times New Roman" w:hAnsi="Times New Roman" w:eastAsia="宋体" w:cs="Times New Roman"/>
          <w:color w:val="auto"/>
          <w:szCs w:val="21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auto"/>
          <w:szCs w:val="21"/>
          <w:highlight w:val="none"/>
        </w:rPr>
        <w:t xml:space="preserve">Quantification of cell-cycle distribution in A2780-TR300 </w:t>
      </w:r>
      <w:bookmarkStart w:id="0" w:name="_GoBack"/>
      <w:r>
        <w:rPr>
          <w:rFonts w:hint="default" w:ascii="Times New Roman" w:hAnsi="Times New Roman" w:eastAsia="宋体" w:cs="Times New Roman"/>
          <w:color w:val="auto"/>
          <w:szCs w:val="21"/>
          <w:highlight w:val="none"/>
        </w:rPr>
        <w:t>(</w:t>
      </w:r>
      <w:bookmarkEnd w:id="0"/>
      <w:r>
        <w:rPr>
          <w:rFonts w:hint="default" w:ascii="Times New Roman" w:hAnsi="Times New Roman" w:eastAsia="宋体" w:cs="Times New Roman"/>
          <w:color w:val="auto"/>
          <w:szCs w:val="21"/>
          <w:highlight w:val="none"/>
        </w:rPr>
        <w:t>D) and SKOV3-TR30 (E) cells.</w:t>
      </w:r>
      <w:r>
        <w:rPr>
          <w:rFonts w:hint="default" w:ascii="Times New Roman" w:hAnsi="Times New Roman" w:eastAsia="宋体" w:cs="Times New Roman"/>
          <w:color w:val="auto"/>
          <w:szCs w:val="21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auto"/>
          <w:szCs w:val="21"/>
          <w:highlight w:val="none"/>
        </w:rPr>
        <w:t>*</w:t>
      </w:r>
      <w:r>
        <w:rPr>
          <w:rFonts w:hint="default" w:ascii="Times New Roman" w:hAnsi="Times New Roman" w:eastAsia="宋体" w:cs="Times New Roman"/>
          <w:i/>
          <w:iCs/>
          <w:color w:val="auto"/>
          <w:szCs w:val="21"/>
          <w:highlight w:val="none"/>
        </w:rPr>
        <w:t xml:space="preserve">p </w:t>
      </w:r>
      <w:r>
        <w:rPr>
          <w:rFonts w:hint="default" w:ascii="Times New Roman" w:hAnsi="Times New Roman" w:eastAsia="宋体" w:cs="Times New Roman"/>
          <w:color w:val="auto"/>
          <w:szCs w:val="21"/>
          <w:highlight w:val="none"/>
        </w:rPr>
        <w:t>&lt; 0.05, **</w:t>
      </w:r>
      <w:r>
        <w:rPr>
          <w:rFonts w:hint="default" w:ascii="Times New Roman" w:hAnsi="Times New Roman" w:eastAsia="宋体" w:cs="Times New Roman"/>
          <w:i/>
          <w:iCs/>
          <w:color w:val="auto"/>
          <w:szCs w:val="21"/>
          <w:highlight w:val="none"/>
        </w:rPr>
        <w:t>p</w:t>
      </w:r>
      <w:r>
        <w:rPr>
          <w:rFonts w:hint="default" w:ascii="Times New Roman" w:hAnsi="Times New Roman" w:eastAsia="宋体" w:cs="Times New Roman"/>
          <w:color w:val="auto"/>
          <w:szCs w:val="21"/>
          <w:highlight w:val="none"/>
        </w:rPr>
        <w:t xml:space="preserve"> &lt; 0.01</w:t>
      </w:r>
      <w:r>
        <w:rPr>
          <w:rFonts w:hint="eastAsia" w:ascii="Times New Roman" w:hAnsi="Times New Roman" w:eastAsia="宋体" w:cs="Times New Roman"/>
          <w:color w:val="auto"/>
          <w:szCs w:val="21"/>
          <w:highlight w:val="none"/>
          <w:lang w:val="en-US" w:eastAsia="zh-CN"/>
        </w:rPr>
        <w:t>.</w:t>
      </w:r>
    </w:p>
    <w:p w14:paraId="72CB2077">
      <w:pPr>
        <w:spacing w:line="480" w:lineRule="auto"/>
        <w:rPr>
          <w:rFonts w:hint="default" w:ascii="Times New Roman" w:hAnsi="Times New Roman" w:eastAsia="宋体" w:cs="Times New Roman"/>
          <w:color w:val="auto"/>
          <w:szCs w:val="21"/>
          <w:highlight w:val="none"/>
        </w:rPr>
      </w:pPr>
    </w:p>
    <w:p w14:paraId="4564527A">
      <w:pPr>
        <w:rPr>
          <w:rFonts w:hint="default" w:ascii="Times New Roman" w:hAnsi="Times New Roman" w:cs="Times New Roman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327CB1"/>
    <w:rsid w:val="00E16FE2"/>
    <w:rsid w:val="017A26D3"/>
    <w:rsid w:val="02826321"/>
    <w:rsid w:val="04E2157A"/>
    <w:rsid w:val="05147822"/>
    <w:rsid w:val="070103DE"/>
    <w:rsid w:val="0BB05F2E"/>
    <w:rsid w:val="0FCC70AF"/>
    <w:rsid w:val="123F0014"/>
    <w:rsid w:val="127C4DBC"/>
    <w:rsid w:val="134E507A"/>
    <w:rsid w:val="14BA7E1E"/>
    <w:rsid w:val="14CD5CC8"/>
    <w:rsid w:val="176D73C9"/>
    <w:rsid w:val="1AE9320B"/>
    <w:rsid w:val="1CB05D8E"/>
    <w:rsid w:val="1E0068A1"/>
    <w:rsid w:val="1E48649A"/>
    <w:rsid w:val="1EE7180F"/>
    <w:rsid w:val="20D14525"/>
    <w:rsid w:val="222A213F"/>
    <w:rsid w:val="252512E3"/>
    <w:rsid w:val="25BD32CA"/>
    <w:rsid w:val="267A62FC"/>
    <w:rsid w:val="27E72880"/>
    <w:rsid w:val="29514455"/>
    <w:rsid w:val="298365D8"/>
    <w:rsid w:val="2A54313A"/>
    <w:rsid w:val="2B8A00F2"/>
    <w:rsid w:val="321D4C62"/>
    <w:rsid w:val="35B34746"/>
    <w:rsid w:val="360A1348"/>
    <w:rsid w:val="361473D9"/>
    <w:rsid w:val="3700570C"/>
    <w:rsid w:val="387737AC"/>
    <w:rsid w:val="3AAF722D"/>
    <w:rsid w:val="3B5878C5"/>
    <w:rsid w:val="3D791D75"/>
    <w:rsid w:val="3E015FF2"/>
    <w:rsid w:val="3E6B790F"/>
    <w:rsid w:val="3FFC1E1C"/>
    <w:rsid w:val="411A73CB"/>
    <w:rsid w:val="43757506"/>
    <w:rsid w:val="438D48CE"/>
    <w:rsid w:val="445F3A72"/>
    <w:rsid w:val="449B0822"/>
    <w:rsid w:val="44EC038E"/>
    <w:rsid w:val="46AE0CE1"/>
    <w:rsid w:val="4B5C6F5D"/>
    <w:rsid w:val="4D8C33FE"/>
    <w:rsid w:val="4F055F5E"/>
    <w:rsid w:val="518F1C21"/>
    <w:rsid w:val="51A927D1"/>
    <w:rsid w:val="533B37EB"/>
    <w:rsid w:val="550146D2"/>
    <w:rsid w:val="577B076B"/>
    <w:rsid w:val="5D6E48CE"/>
    <w:rsid w:val="60295AC6"/>
    <w:rsid w:val="616D381B"/>
    <w:rsid w:val="62741D91"/>
    <w:rsid w:val="62970423"/>
    <w:rsid w:val="65AE7F5E"/>
    <w:rsid w:val="67604831"/>
    <w:rsid w:val="6F1C062E"/>
    <w:rsid w:val="70001CFE"/>
    <w:rsid w:val="70425E72"/>
    <w:rsid w:val="765F165D"/>
    <w:rsid w:val="78DF25A7"/>
    <w:rsid w:val="7AAE6A84"/>
    <w:rsid w:val="7B4C1A2E"/>
    <w:rsid w:val="7C6501F5"/>
    <w:rsid w:val="7D8E0949"/>
    <w:rsid w:val="7E503E50"/>
    <w:rsid w:val="7F8E1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tiff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235</Words>
  <Characters>1346</Characters>
  <Lines>0</Lines>
  <Paragraphs>0</Paragraphs>
  <TotalTime>3</TotalTime>
  <ScaleCrop>false</ScaleCrop>
  <LinksUpToDate>false</LinksUpToDate>
  <CharactersWithSpaces>1576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2025-08-19T14:55:00Z</dcterms:created>
  <dc:creator>联想</dc:creator>
  <cp:lastModifiedBy>Xiaodong Wu</cp:lastModifiedBy>
  <dcterms:modified xsi:type="dcterms:W3CDTF">2026-08-10T00:44:26Z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eyJoZGlkIjoiODc0NTY4ZGQ1OWFlNTMwMDIwZGM1YjgxNDZhYzVkZTMiLCJ1c2VySWQiOiI1ODgxODM0ODgifQ==</vt:lpwstr>
  </property>
  <property fmtid="{D5CDD505-2E9C-101B-9397-08002B2CF9AE}" pid="4" name="ICV">
    <vt:lpwstr>F2A3F9F771BE44798566B967662F1AAB_12</vt:lpwstr>
  </property>
</Properties>
</file>