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147E0" w14:textId="2738D8EE" w:rsidR="002B4013" w:rsidRDefault="002B4013" w:rsidP="002B4013">
      <w:pPr>
        <w:spacing w:line="240" w:lineRule="auto"/>
        <w:jc w:val="center"/>
        <w:rPr>
          <w:rFonts w:ascii="Arial" w:hAnsi="Arial" w:cs="Arial"/>
          <w:b/>
          <w:bCs/>
          <w:sz w:val="28"/>
          <w:szCs w:val="28"/>
        </w:rPr>
      </w:pPr>
      <w:r>
        <w:rPr>
          <w:rFonts w:ascii="Arial" w:hAnsi="Arial" w:cs="Arial"/>
          <w:b/>
          <w:bCs/>
          <w:sz w:val="28"/>
          <w:szCs w:val="28"/>
        </w:rPr>
        <w:t xml:space="preserve">SUPPLEMENTAL </w:t>
      </w:r>
      <w:r w:rsidR="00113A84">
        <w:rPr>
          <w:rFonts w:ascii="Arial" w:hAnsi="Arial" w:cs="Arial"/>
          <w:b/>
          <w:bCs/>
          <w:sz w:val="28"/>
          <w:szCs w:val="28"/>
        </w:rPr>
        <w:t>MATERIAL</w:t>
      </w:r>
    </w:p>
    <w:p w14:paraId="522E029A" w14:textId="77777777" w:rsidR="002B4013" w:rsidRDefault="002B4013" w:rsidP="002B4013">
      <w:pPr>
        <w:spacing w:line="240" w:lineRule="auto"/>
        <w:jc w:val="center"/>
        <w:rPr>
          <w:rFonts w:ascii="Arial" w:hAnsi="Arial" w:cs="Arial"/>
          <w:b/>
          <w:bCs/>
          <w:sz w:val="28"/>
          <w:szCs w:val="28"/>
        </w:rPr>
      </w:pPr>
    </w:p>
    <w:p w14:paraId="382091A1" w14:textId="0E6D8D0C" w:rsidR="003B7AB0" w:rsidRDefault="003B7AB0" w:rsidP="003B7AB0">
      <w:pPr>
        <w:spacing w:line="360" w:lineRule="auto"/>
        <w:jc w:val="center"/>
        <w:rPr>
          <w:rFonts w:ascii="Arial" w:hAnsi="Arial" w:cs="Arial"/>
        </w:rPr>
      </w:pPr>
      <w:r>
        <w:rPr>
          <w:rFonts w:ascii="Arial" w:hAnsi="Arial" w:cs="Arial"/>
        </w:rPr>
        <w:t xml:space="preserve">Andreea M. Newtson </w:t>
      </w:r>
      <w:r w:rsidRPr="00BF0E94">
        <w:rPr>
          <w:rFonts w:ascii="Arial" w:hAnsi="Arial" w:cs="Arial"/>
          <w:vertAlign w:val="superscript"/>
        </w:rPr>
        <w:t>1,3</w:t>
      </w:r>
      <w:r w:rsidR="00C959DB">
        <w:rPr>
          <w:rFonts w:ascii="Arial" w:hAnsi="Arial" w:cs="Arial"/>
          <w:vertAlign w:val="superscript"/>
        </w:rPr>
        <w:t>,a</w:t>
      </w:r>
      <w:r>
        <w:rPr>
          <w:rFonts w:ascii="Arial" w:hAnsi="Arial" w:cs="Arial"/>
        </w:rPr>
        <w:t xml:space="preserve">, Danielle P. Uhl </w:t>
      </w:r>
      <w:r w:rsidRPr="00BF0E94">
        <w:rPr>
          <w:rFonts w:ascii="Arial" w:hAnsi="Arial" w:cs="Arial"/>
          <w:vertAlign w:val="superscript"/>
        </w:rPr>
        <w:t>1</w:t>
      </w:r>
      <w:r w:rsidR="00C959DB">
        <w:rPr>
          <w:rFonts w:ascii="Arial" w:hAnsi="Arial" w:cs="Arial"/>
          <w:vertAlign w:val="superscript"/>
        </w:rPr>
        <w:t>,a</w:t>
      </w:r>
      <w:r>
        <w:rPr>
          <w:rFonts w:ascii="Arial" w:hAnsi="Arial" w:cs="Arial"/>
        </w:rPr>
        <w:t xml:space="preserve">, Emily S. Kolpin </w:t>
      </w:r>
      <w:r w:rsidRPr="00BF0E94">
        <w:rPr>
          <w:rFonts w:ascii="Arial" w:hAnsi="Arial" w:cs="Arial"/>
          <w:vertAlign w:val="superscript"/>
        </w:rPr>
        <w:t>1</w:t>
      </w:r>
      <w:r>
        <w:rPr>
          <w:rFonts w:ascii="Arial" w:hAnsi="Arial" w:cs="Arial"/>
        </w:rPr>
        <w:t xml:space="preserve">, Paige K. Malmrose </w:t>
      </w:r>
      <w:r w:rsidRPr="00BF0E94">
        <w:rPr>
          <w:rFonts w:ascii="Arial" w:hAnsi="Arial" w:cs="Arial"/>
          <w:vertAlign w:val="superscript"/>
        </w:rPr>
        <w:t>1</w:t>
      </w:r>
      <w:r>
        <w:rPr>
          <w:rFonts w:ascii="Arial" w:hAnsi="Arial" w:cs="Arial"/>
        </w:rPr>
        <w:t xml:space="preserve">, Samantha Parks </w:t>
      </w:r>
      <w:r w:rsidRPr="00BF0E94">
        <w:rPr>
          <w:rFonts w:ascii="Arial" w:hAnsi="Arial" w:cs="Arial"/>
          <w:vertAlign w:val="superscript"/>
        </w:rPr>
        <w:t>1</w:t>
      </w:r>
      <w:r>
        <w:rPr>
          <w:rFonts w:ascii="Arial" w:hAnsi="Arial" w:cs="Arial"/>
        </w:rPr>
        <w:t xml:space="preserve">, Craig M. Rush </w:t>
      </w:r>
      <w:r w:rsidRPr="00BF0E94">
        <w:rPr>
          <w:rFonts w:ascii="Arial" w:hAnsi="Arial" w:cs="Arial"/>
          <w:vertAlign w:val="superscript"/>
        </w:rPr>
        <w:t>4</w:t>
      </w:r>
      <w:r>
        <w:rPr>
          <w:rFonts w:ascii="Arial" w:hAnsi="Arial" w:cs="Arial"/>
        </w:rPr>
        <w:t xml:space="preserve">, Sofia Gabrilovich </w:t>
      </w:r>
      <w:r w:rsidRPr="00BF0E94">
        <w:rPr>
          <w:rFonts w:ascii="Arial" w:hAnsi="Arial" w:cs="Arial"/>
          <w:vertAlign w:val="superscript"/>
        </w:rPr>
        <w:t>1,5</w:t>
      </w:r>
      <w:r>
        <w:rPr>
          <w:rFonts w:ascii="Arial" w:hAnsi="Arial" w:cs="Arial"/>
        </w:rPr>
        <w:t xml:space="preserve">, Jianling Bi </w:t>
      </w:r>
      <w:r w:rsidRPr="00BF0E94">
        <w:rPr>
          <w:rFonts w:ascii="Arial" w:hAnsi="Arial" w:cs="Arial"/>
          <w:vertAlign w:val="superscript"/>
        </w:rPr>
        <w:t>1</w:t>
      </w:r>
      <w:r>
        <w:rPr>
          <w:rFonts w:ascii="Arial" w:hAnsi="Arial" w:cs="Arial"/>
          <w:vertAlign w:val="superscript"/>
        </w:rPr>
        <w:t>,6</w:t>
      </w:r>
      <w:r w:rsidRPr="00BF0E94" w:rsidDel="003E3185">
        <w:rPr>
          <w:rFonts w:ascii="Arial" w:hAnsi="Arial" w:cs="Arial"/>
          <w:vertAlign w:val="superscript"/>
        </w:rPr>
        <w:t xml:space="preserve"> </w:t>
      </w:r>
      <w:r>
        <w:rPr>
          <w:rFonts w:ascii="Arial" w:hAnsi="Arial" w:cs="Arial"/>
        </w:rPr>
        <w:t xml:space="preserve">, Eric J. Devor </w:t>
      </w:r>
      <w:r w:rsidRPr="00BF0E94">
        <w:rPr>
          <w:rFonts w:ascii="Arial" w:hAnsi="Arial" w:cs="Arial"/>
          <w:vertAlign w:val="superscript"/>
        </w:rPr>
        <w:t>1,2</w:t>
      </w:r>
      <w:r>
        <w:rPr>
          <w:rFonts w:ascii="Arial" w:hAnsi="Arial" w:cs="Arial"/>
        </w:rPr>
        <w:t xml:space="preserve">, Kaitriana E. Colling </w:t>
      </w:r>
      <w:r w:rsidRPr="00CF1802">
        <w:rPr>
          <w:rFonts w:ascii="Arial" w:hAnsi="Arial" w:cs="Arial"/>
          <w:vertAlign w:val="superscript"/>
        </w:rPr>
        <w:t>1</w:t>
      </w:r>
      <w:r>
        <w:rPr>
          <w:rFonts w:ascii="Arial" w:hAnsi="Arial" w:cs="Arial"/>
        </w:rPr>
        <w:t xml:space="preserve">, Haley Losh </w:t>
      </w:r>
      <w:r w:rsidRPr="00BF0E94">
        <w:rPr>
          <w:rFonts w:ascii="Arial" w:hAnsi="Arial" w:cs="Arial"/>
          <w:vertAlign w:val="superscript"/>
        </w:rPr>
        <w:t>1</w:t>
      </w:r>
      <w:r>
        <w:rPr>
          <w:rFonts w:ascii="Arial" w:hAnsi="Arial" w:cs="Arial"/>
        </w:rPr>
        <w:t xml:space="preserve">, Jessica Andrew-Udoh </w:t>
      </w:r>
      <w:r w:rsidRPr="00BF0E94">
        <w:rPr>
          <w:rFonts w:ascii="Arial" w:hAnsi="Arial" w:cs="Arial"/>
          <w:vertAlign w:val="superscript"/>
        </w:rPr>
        <w:t>1</w:t>
      </w:r>
      <w:r>
        <w:rPr>
          <w:rFonts w:ascii="Arial" w:hAnsi="Arial" w:cs="Arial"/>
        </w:rPr>
        <w:t xml:space="preserve">, Jason Gertz </w:t>
      </w:r>
      <w:r w:rsidRPr="00BF0E94">
        <w:rPr>
          <w:rFonts w:ascii="Arial" w:hAnsi="Arial" w:cs="Arial"/>
          <w:vertAlign w:val="superscript"/>
        </w:rPr>
        <w:t>4</w:t>
      </w:r>
      <w:r>
        <w:rPr>
          <w:rFonts w:ascii="Arial" w:hAnsi="Arial" w:cs="Arial"/>
        </w:rPr>
        <w:t xml:space="preserve">, Pilar de la Puente </w:t>
      </w:r>
      <w:r>
        <w:rPr>
          <w:rFonts w:ascii="Arial" w:hAnsi="Arial" w:cs="Arial"/>
          <w:vertAlign w:val="superscript"/>
        </w:rPr>
        <w:t>7</w:t>
      </w:r>
      <w:r>
        <w:rPr>
          <w:rFonts w:ascii="Arial" w:hAnsi="Arial" w:cs="Arial"/>
        </w:rPr>
        <w:t xml:space="preserve">, Kimberly K. Leslie </w:t>
      </w:r>
      <w:r w:rsidRPr="00BF0E94">
        <w:rPr>
          <w:rFonts w:ascii="Arial" w:hAnsi="Arial" w:cs="Arial"/>
          <w:vertAlign w:val="superscript"/>
        </w:rPr>
        <w:t>1,</w:t>
      </w:r>
      <w:r>
        <w:rPr>
          <w:rFonts w:ascii="Arial" w:hAnsi="Arial" w:cs="Arial"/>
          <w:vertAlign w:val="superscript"/>
        </w:rPr>
        <w:t>8</w:t>
      </w:r>
      <w:r w:rsidRPr="00BF0E94">
        <w:rPr>
          <w:rFonts w:ascii="Arial" w:hAnsi="Arial" w:cs="Arial"/>
          <w:vertAlign w:val="superscript"/>
        </w:rPr>
        <w:t xml:space="preserve">, </w:t>
      </w:r>
      <w:r>
        <w:rPr>
          <w:rFonts w:ascii="Arial" w:hAnsi="Arial" w:cs="Arial"/>
        </w:rPr>
        <w:t xml:space="preserve"> and Kristina W. Thiel </w:t>
      </w:r>
      <w:r w:rsidRPr="00BF0E94">
        <w:rPr>
          <w:rFonts w:ascii="Arial" w:hAnsi="Arial" w:cs="Arial"/>
          <w:vertAlign w:val="superscript"/>
        </w:rPr>
        <w:t xml:space="preserve">1, 2, </w:t>
      </w:r>
    </w:p>
    <w:p w14:paraId="547FAF1E" w14:textId="77777777" w:rsidR="003B7AB0" w:rsidRDefault="003B7AB0" w:rsidP="003B7AB0">
      <w:pPr>
        <w:spacing w:line="360" w:lineRule="auto"/>
        <w:rPr>
          <w:rFonts w:ascii="Arial" w:hAnsi="Arial" w:cs="Arial"/>
        </w:rPr>
      </w:pPr>
    </w:p>
    <w:p w14:paraId="416E05BD" w14:textId="77777777" w:rsidR="003B7AB0" w:rsidRDefault="003B7AB0" w:rsidP="003B7AB0">
      <w:pPr>
        <w:spacing w:line="360" w:lineRule="auto"/>
        <w:rPr>
          <w:rFonts w:ascii="Arial" w:hAnsi="Arial" w:cs="Arial"/>
        </w:rPr>
      </w:pPr>
      <w:r>
        <w:rPr>
          <w:rFonts w:ascii="Arial" w:hAnsi="Arial" w:cs="Arial"/>
        </w:rPr>
        <w:t>1 Department of Obstetrics and Gynecology, University of Iowa, Iowa City, Iowa, USA</w:t>
      </w:r>
    </w:p>
    <w:p w14:paraId="34DEF675" w14:textId="77777777" w:rsidR="003B7AB0" w:rsidRDefault="003B7AB0" w:rsidP="003B7AB0">
      <w:pPr>
        <w:spacing w:line="360" w:lineRule="auto"/>
        <w:rPr>
          <w:rFonts w:ascii="Arial" w:hAnsi="Arial" w:cs="Arial"/>
        </w:rPr>
      </w:pPr>
      <w:r>
        <w:rPr>
          <w:rFonts w:ascii="Arial" w:hAnsi="Arial" w:cs="Arial"/>
        </w:rPr>
        <w:t>2 Holden Comprehensive Cancer Center, University of Iowa, Iowa City, Iowa, USA</w:t>
      </w:r>
    </w:p>
    <w:p w14:paraId="68A1B554" w14:textId="77777777" w:rsidR="003B7AB0" w:rsidRDefault="003B7AB0" w:rsidP="003B7AB0">
      <w:pPr>
        <w:spacing w:line="360" w:lineRule="auto"/>
        <w:rPr>
          <w:rFonts w:ascii="Arial" w:hAnsi="Arial" w:cs="Arial"/>
        </w:rPr>
      </w:pPr>
      <w:r>
        <w:rPr>
          <w:rFonts w:ascii="Arial" w:hAnsi="Arial" w:cs="Arial"/>
        </w:rPr>
        <w:t>3</w:t>
      </w:r>
      <w:r w:rsidRPr="00DD23A8">
        <w:rPr>
          <w:rFonts w:ascii="Arial" w:hAnsi="Arial" w:cs="Arial"/>
        </w:rPr>
        <w:t xml:space="preserve"> </w:t>
      </w:r>
      <w:r>
        <w:rPr>
          <w:rFonts w:ascii="Arial" w:hAnsi="Arial" w:cs="Arial"/>
        </w:rPr>
        <w:t>Endeavor Health, Evanston, Illinois, USA</w:t>
      </w:r>
    </w:p>
    <w:p w14:paraId="1EB634A7" w14:textId="77777777" w:rsidR="003B7AB0" w:rsidRDefault="003B7AB0" w:rsidP="003B7AB0">
      <w:pPr>
        <w:spacing w:line="360" w:lineRule="auto"/>
        <w:rPr>
          <w:rFonts w:ascii="Arial" w:hAnsi="Arial" w:cs="Arial"/>
        </w:rPr>
      </w:pPr>
      <w:r>
        <w:rPr>
          <w:rFonts w:ascii="Arial" w:hAnsi="Arial" w:cs="Arial"/>
        </w:rPr>
        <w:t>4 Department of Oncological Sciences, Huntsman Cancer Institute, University of Utah, Salt Lake City, Utah, USA</w:t>
      </w:r>
    </w:p>
    <w:p w14:paraId="4F0EBC0A" w14:textId="77777777" w:rsidR="003B7AB0" w:rsidRDefault="003B7AB0" w:rsidP="003B7AB0">
      <w:pPr>
        <w:spacing w:line="360" w:lineRule="auto"/>
        <w:jc w:val="both"/>
        <w:rPr>
          <w:rFonts w:ascii="Arial" w:hAnsi="Arial" w:cs="Arial"/>
        </w:rPr>
      </w:pPr>
      <w:r>
        <w:rPr>
          <w:rFonts w:ascii="Arial" w:hAnsi="Arial" w:cs="Arial"/>
        </w:rPr>
        <w:t>5 Medical College of Wisconsin, Milwaukee, Wisconsin, USA</w:t>
      </w:r>
    </w:p>
    <w:p w14:paraId="0350AF84" w14:textId="77777777" w:rsidR="003B7AB0" w:rsidRDefault="003B7AB0" w:rsidP="003B7AB0">
      <w:pPr>
        <w:spacing w:line="360" w:lineRule="auto"/>
        <w:rPr>
          <w:rFonts w:ascii="Arial" w:hAnsi="Arial" w:cs="Arial"/>
        </w:rPr>
      </w:pPr>
      <w:r>
        <w:rPr>
          <w:rFonts w:ascii="Arial" w:hAnsi="Arial" w:cs="Arial"/>
        </w:rPr>
        <w:t>6 Women and Children’s Hospital of Chongqing Medical University and the Chongqing Health Center for Women and Children, Chongqing, China</w:t>
      </w:r>
    </w:p>
    <w:p w14:paraId="496A134D" w14:textId="77777777" w:rsidR="003B7AB0" w:rsidRDefault="003B7AB0" w:rsidP="003B7AB0">
      <w:pPr>
        <w:spacing w:line="360" w:lineRule="auto"/>
        <w:rPr>
          <w:rFonts w:ascii="Arial" w:hAnsi="Arial" w:cs="Arial"/>
        </w:rPr>
      </w:pPr>
      <w:r>
        <w:rPr>
          <w:rFonts w:ascii="Arial" w:hAnsi="Arial" w:cs="Arial"/>
        </w:rPr>
        <w:t>7 Sanford Research, Sioux Falls, South Dakota, USA</w:t>
      </w:r>
    </w:p>
    <w:p w14:paraId="05733B3C" w14:textId="77777777" w:rsidR="003B7AB0" w:rsidRDefault="003B7AB0" w:rsidP="003B7AB0">
      <w:pPr>
        <w:spacing w:line="360" w:lineRule="auto"/>
        <w:rPr>
          <w:rFonts w:ascii="Arial" w:hAnsi="Arial" w:cs="Arial"/>
        </w:rPr>
      </w:pPr>
      <w:r>
        <w:rPr>
          <w:rFonts w:ascii="Arial" w:hAnsi="Arial" w:cs="Arial"/>
        </w:rPr>
        <w:t xml:space="preserve">8 University of New Mexico Health Sciences, Albuquerque, New Mexico, USA  </w:t>
      </w:r>
    </w:p>
    <w:p w14:paraId="7E3C9D5A" w14:textId="1FB71283" w:rsidR="00C959DB" w:rsidRDefault="00C959DB" w:rsidP="003B7AB0">
      <w:pPr>
        <w:spacing w:line="360" w:lineRule="auto"/>
        <w:rPr>
          <w:rFonts w:ascii="Arial" w:hAnsi="Arial" w:cs="Arial"/>
        </w:rPr>
      </w:pPr>
      <w:r>
        <w:rPr>
          <w:rFonts w:ascii="Arial" w:hAnsi="Arial" w:cs="Arial"/>
        </w:rPr>
        <w:t>a indicates equal contributions</w:t>
      </w:r>
    </w:p>
    <w:p w14:paraId="30B41123" w14:textId="77777777" w:rsidR="003B7AB0" w:rsidRDefault="003B7AB0" w:rsidP="003B7AB0">
      <w:pPr>
        <w:spacing w:line="360" w:lineRule="auto"/>
        <w:rPr>
          <w:rFonts w:ascii="Arial" w:hAnsi="Arial" w:cs="Arial"/>
        </w:rPr>
      </w:pPr>
    </w:p>
    <w:p w14:paraId="54E9B0D4" w14:textId="7FC7B990" w:rsidR="002B4013" w:rsidRDefault="002B4013">
      <w:pPr>
        <w:spacing w:after="200" w:line="276" w:lineRule="auto"/>
      </w:pPr>
    </w:p>
    <w:p w14:paraId="4437DDC9" w14:textId="1D9EB4F6" w:rsidR="00F2270C" w:rsidRDefault="00731FBF">
      <w:r>
        <w:rPr>
          <w:noProof/>
        </w:rPr>
        <w:lastRenderedPageBreak/>
        <w:drawing>
          <wp:anchor distT="0" distB="0" distL="114300" distR="114300" simplePos="0" relativeHeight="251659264" behindDoc="0" locked="0" layoutInCell="1" allowOverlap="1" wp14:anchorId="461597FC" wp14:editId="23E9EEEB">
            <wp:simplePos x="0" y="0"/>
            <wp:positionH relativeFrom="column">
              <wp:posOffset>0</wp:posOffset>
            </wp:positionH>
            <wp:positionV relativeFrom="paragraph">
              <wp:posOffset>0</wp:posOffset>
            </wp:positionV>
            <wp:extent cx="6176010" cy="3499485"/>
            <wp:effectExtent l="0" t="0" r="0" b="0"/>
            <wp:wrapTopAndBottom/>
            <wp:docPr id="341057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6010" cy="3499485"/>
                    </a:xfrm>
                    <a:prstGeom prst="rect">
                      <a:avLst/>
                    </a:prstGeom>
                    <a:noFill/>
                  </pic:spPr>
                </pic:pic>
              </a:graphicData>
            </a:graphic>
          </wp:anchor>
        </w:drawing>
      </w:r>
    </w:p>
    <w:p w14:paraId="613C5065" w14:textId="586CD6FC" w:rsidR="002B4013" w:rsidRDefault="002B4013"/>
    <w:p w14:paraId="0F4CF5ED" w14:textId="30CB9552" w:rsidR="002B4013" w:rsidRDefault="002B4013" w:rsidP="002B4013">
      <w:pPr>
        <w:pStyle w:val="NormalWeb"/>
        <w:spacing w:before="0" w:beforeAutospacing="0" w:after="0" w:afterAutospacing="0"/>
        <w:rPr>
          <w:rFonts w:ascii="Arial" w:eastAsiaTheme="minorEastAsia" w:hAnsi="Arial" w:cs="Arial"/>
          <w:color w:val="000000" w:themeColor="text1"/>
          <w:kern w:val="24"/>
          <w:sz w:val="22"/>
          <w:szCs w:val="22"/>
        </w:rPr>
      </w:pPr>
      <w:r w:rsidRPr="002B4013">
        <w:rPr>
          <w:rFonts w:ascii="Arial" w:eastAsiaTheme="minorEastAsia" w:hAnsi="Arial" w:cs="Arial"/>
          <w:b/>
          <w:bCs/>
          <w:color w:val="000000" w:themeColor="text1"/>
          <w:kern w:val="24"/>
          <w:sz w:val="22"/>
          <w:szCs w:val="22"/>
        </w:rPr>
        <w:t>Figure S1: Mutational profile comparison between primary tumor and chemotherapy-naïve organoids.</w:t>
      </w:r>
      <w:r w:rsidRPr="002B4013">
        <w:rPr>
          <w:rFonts w:ascii="Arial" w:eastAsiaTheme="minorEastAsia" w:hAnsi="Arial" w:cs="Arial"/>
          <w:color w:val="000000" w:themeColor="text1"/>
          <w:kern w:val="24"/>
          <w:sz w:val="22"/>
          <w:szCs w:val="22"/>
        </w:rPr>
        <w:t xml:space="preserve"> Genomic DNA was isolated from primary tumor specimens and paired chemotherapy-naïve PDOs and sent to </w:t>
      </w:r>
      <w:proofErr w:type="spellStart"/>
      <w:r w:rsidRPr="002B4013">
        <w:rPr>
          <w:rFonts w:ascii="Arial" w:eastAsiaTheme="minorEastAsia" w:hAnsi="Arial" w:cs="Arial"/>
          <w:color w:val="000000" w:themeColor="text1"/>
          <w:kern w:val="24"/>
          <w:sz w:val="22"/>
          <w:szCs w:val="22"/>
        </w:rPr>
        <w:t>Novagene</w:t>
      </w:r>
      <w:proofErr w:type="spellEnd"/>
      <w:r w:rsidRPr="002B4013">
        <w:rPr>
          <w:rFonts w:ascii="Arial" w:eastAsiaTheme="minorEastAsia" w:hAnsi="Arial" w:cs="Arial"/>
          <w:color w:val="000000" w:themeColor="text1"/>
          <w:kern w:val="24"/>
          <w:sz w:val="22"/>
          <w:szCs w:val="22"/>
        </w:rPr>
        <w:t xml:space="preserve"> for next generation sequencing. </w:t>
      </w:r>
      <w:r w:rsidRPr="002B4013">
        <w:rPr>
          <w:rFonts w:ascii="Arial" w:eastAsiaTheme="minorEastAsia" w:hAnsi="Arial" w:cs="Arial"/>
          <w:b/>
          <w:bCs/>
          <w:color w:val="000000" w:themeColor="text1"/>
          <w:kern w:val="24"/>
          <w:sz w:val="22"/>
          <w:szCs w:val="22"/>
        </w:rPr>
        <w:t xml:space="preserve">A: </w:t>
      </w:r>
      <w:r w:rsidRPr="002B4013">
        <w:rPr>
          <w:rFonts w:ascii="Arial" w:eastAsiaTheme="minorEastAsia" w:hAnsi="Arial" w:cs="Arial"/>
          <w:color w:val="000000" w:themeColor="text1"/>
          <w:kern w:val="24"/>
          <w:sz w:val="22"/>
          <w:szCs w:val="22"/>
        </w:rPr>
        <w:t xml:space="preserve">Comparison of shared and unique SNVs after common polymorphisms have been filtered out. </w:t>
      </w:r>
      <w:r w:rsidRPr="002B4013">
        <w:rPr>
          <w:rFonts w:ascii="Arial" w:eastAsiaTheme="minorEastAsia" w:hAnsi="Arial" w:cs="Arial"/>
          <w:b/>
          <w:bCs/>
          <w:color w:val="000000" w:themeColor="text1"/>
          <w:kern w:val="24"/>
          <w:sz w:val="22"/>
          <w:szCs w:val="22"/>
        </w:rPr>
        <w:t>B:</w:t>
      </w:r>
      <w:r w:rsidRPr="002B4013">
        <w:rPr>
          <w:rFonts w:ascii="Arial" w:eastAsiaTheme="minorEastAsia" w:hAnsi="Arial" w:cs="Arial"/>
          <w:color w:val="000000" w:themeColor="text1"/>
          <w:kern w:val="24"/>
          <w:sz w:val="22"/>
          <w:szCs w:val="22"/>
        </w:rPr>
        <w:t xml:space="preserve"> Comparison of shared and unique Indels after common polymorphisms have been filtered out. </w:t>
      </w:r>
    </w:p>
    <w:p w14:paraId="75CD6C1B" w14:textId="64B94550" w:rsidR="002B4013" w:rsidRDefault="002B4013">
      <w:pPr>
        <w:spacing w:after="200" w:line="276" w:lineRule="auto"/>
        <w:rPr>
          <w:rFonts w:ascii="Arial" w:eastAsiaTheme="minorEastAsia" w:hAnsi="Arial" w:cs="Arial"/>
          <w:color w:val="000000" w:themeColor="text1"/>
          <w:kern w:val="24"/>
        </w:rPr>
      </w:pPr>
      <w:r>
        <w:rPr>
          <w:rFonts w:ascii="Arial" w:eastAsiaTheme="minorEastAsia" w:hAnsi="Arial" w:cs="Arial"/>
          <w:color w:val="000000" w:themeColor="text1"/>
          <w:kern w:val="24"/>
        </w:rPr>
        <w:br w:type="page"/>
      </w:r>
    </w:p>
    <w:p w14:paraId="32A4F17E" w14:textId="1B1723D5" w:rsidR="002B4013" w:rsidRPr="002B4013" w:rsidRDefault="002D4CF1" w:rsidP="002B4013">
      <w:pPr>
        <w:pStyle w:val="NormalWeb"/>
        <w:spacing w:before="0" w:beforeAutospacing="0" w:after="0" w:afterAutospacing="0"/>
        <w:rPr>
          <w:rFonts w:ascii="Arial" w:hAnsi="Arial" w:cs="Arial"/>
          <w:sz w:val="22"/>
          <w:szCs w:val="22"/>
        </w:rPr>
      </w:pPr>
      <w:r>
        <w:rPr>
          <w:rFonts w:ascii="Arial" w:hAnsi="Arial" w:cs="Arial"/>
          <w:noProof/>
          <w:sz w:val="22"/>
          <w:szCs w:val="22"/>
        </w:rPr>
        <w:lastRenderedPageBreak/>
        <w:drawing>
          <wp:anchor distT="0" distB="0" distL="114300" distR="114300" simplePos="0" relativeHeight="251660288" behindDoc="0" locked="0" layoutInCell="1" allowOverlap="1" wp14:anchorId="51013ACB" wp14:editId="1F0A4C4B">
            <wp:simplePos x="0" y="0"/>
            <wp:positionH relativeFrom="margin">
              <wp:align>left</wp:align>
            </wp:positionH>
            <wp:positionV relativeFrom="paragraph">
              <wp:posOffset>29260</wp:posOffset>
            </wp:positionV>
            <wp:extent cx="6012815" cy="3889375"/>
            <wp:effectExtent l="0" t="0" r="6985" b="0"/>
            <wp:wrapTopAndBottom/>
            <wp:docPr id="8676208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a:extLst>
                        <a:ext uri="{28A0092B-C50C-407E-A947-70E740481C1C}">
                          <a14:useLocalDpi xmlns:a14="http://schemas.microsoft.com/office/drawing/2010/main" val="0"/>
                        </a:ext>
                      </a:extLst>
                    </a:blip>
                    <a:srcRect r="11122"/>
                    <a:stretch>
                      <a:fillRect/>
                    </a:stretch>
                  </pic:blipFill>
                  <pic:spPr bwMode="auto">
                    <a:xfrm>
                      <a:off x="0" y="0"/>
                      <a:ext cx="6013964" cy="38899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1E283C" w14:textId="56684401" w:rsidR="002142CC" w:rsidRDefault="002142CC">
      <w:pPr>
        <w:spacing w:after="200" w:line="276" w:lineRule="auto"/>
        <w:rPr>
          <w:rFonts w:ascii="Arial" w:hAnsi="Arial" w:cs="Arial"/>
        </w:rPr>
      </w:pPr>
    </w:p>
    <w:p w14:paraId="37607F4C" w14:textId="1EC42B37" w:rsidR="002142CC" w:rsidRPr="00EA28AB" w:rsidRDefault="002142CC" w:rsidP="002142CC">
      <w:pPr>
        <w:spacing w:line="240" w:lineRule="auto"/>
        <w:ind w:left="360"/>
        <w:rPr>
          <w:rFonts w:ascii="Arial" w:hAnsi="Arial" w:cs="Arial"/>
          <w:sz w:val="20"/>
          <w:szCs w:val="20"/>
        </w:rPr>
      </w:pPr>
      <w:r w:rsidRPr="002B4013">
        <w:rPr>
          <w:rFonts w:ascii="Arial" w:hAnsi="Arial" w:cs="Arial"/>
          <w:b/>
          <w:bCs/>
        </w:rPr>
        <w:t>Figure S</w:t>
      </w:r>
      <w:r w:rsidR="003B7AB0">
        <w:rPr>
          <w:rFonts w:ascii="Arial" w:hAnsi="Arial" w:cs="Arial"/>
          <w:b/>
          <w:bCs/>
        </w:rPr>
        <w:t>2</w:t>
      </w:r>
      <w:r w:rsidRPr="002B4013">
        <w:rPr>
          <w:rFonts w:ascii="Arial" w:hAnsi="Arial" w:cs="Arial"/>
          <w:b/>
          <w:bCs/>
        </w:rPr>
        <w:t xml:space="preserve">: </w:t>
      </w:r>
      <w:r>
        <w:rPr>
          <w:rFonts w:ascii="Arial" w:hAnsi="Arial" w:cs="Arial"/>
          <w:b/>
          <w:bCs/>
          <w:sz w:val="20"/>
          <w:szCs w:val="20"/>
        </w:rPr>
        <w:t xml:space="preserve">Organoid drug response prior to chemotherapy treatment and after chemotherapy exposure. </w:t>
      </w:r>
      <w:r>
        <w:rPr>
          <w:rFonts w:ascii="Arial" w:hAnsi="Arial" w:cs="Arial"/>
          <w:sz w:val="20"/>
          <w:szCs w:val="20"/>
        </w:rPr>
        <w:t xml:space="preserve">Drug sensitivity after chemotherapy exposure was compared to drug sensitivity of chemotherapy naïve PDOs to determine the percent change in drug sensitivity after exposure to chemotherapy as depicted in the formula in </w:t>
      </w:r>
      <w:r w:rsidRPr="002142CC">
        <w:rPr>
          <w:rFonts w:ascii="Arial" w:hAnsi="Arial" w:cs="Arial"/>
          <w:b/>
          <w:bCs/>
          <w:sz w:val="20"/>
          <w:szCs w:val="20"/>
        </w:rPr>
        <w:t>Figure 4C</w:t>
      </w:r>
      <w:r>
        <w:rPr>
          <w:rFonts w:ascii="Arial" w:hAnsi="Arial" w:cs="Arial"/>
          <w:sz w:val="20"/>
          <w:szCs w:val="20"/>
        </w:rPr>
        <w:t xml:space="preserve">. Any value above the x-axis indicates increased resistance, whereas any value below the x-axis indicates increased sensitivity after chemo-exposure. *p &lt; 0.05, **p &lt; 0.001, ***p &lt; 0.001 by one-way ANOVA with Dunnett’s multiple comparisons test. </w:t>
      </w:r>
    </w:p>
    <w:p w14:paraId="19298E79" w14:textId="0C005B22" w:rsidR="002142CC" w:rsidRDefault="002142CC" w:rsidP="002142CC">
      <w:pPr>
        <w:rPr>
          <w:rFonts w:ascii="Arial" w:hAnsi="Arial" w:cs="Arial"/>
        </w:rPr>
      </w:pPr>
    </w:p>
    <w:p w14:paraId="2DA38F27" w14:textId="292A66A0" w:rsidR="002142CC" w:rsidRDefault="002142CC">
      <w:pPr>
        <w:spacing w:after="200" w:line="276" w:lineRule="auto"/>
        <w:rPr>
          <w:rFonts w:ascii="Arial" w:hAnsi="Arial" w:cs="Arial"/>
        </w:rPr>
      </w:pPr>
      <w:r>
        <w:rPr>
          <w:rFonts w:ascii="Arial" w:hAnsi="Arial" w:cs="Arial"/>
        </w:rPr>
        <w:br w:type="page"/>
      </w:r>
    </w:p>
    <w:p w14:paraId="2F504E29" w14:textId="57DC0FEF" w:rsidR="002B4013" w:rsidRPr="002B4013" w:rsidRDefault="0049576E" w:rsidP="002B4013">
      <w:pPr>
        <w:rPr>
          <w:rFonts w:ascii="Arial" w:hAnsi="Arial" w:cs="Arial"/>
        </w:rPr>
      </w:pPr>
      <w:r>
        <w:rPr>
          <w:rFonts w:ascii="Arial" w:hAnsi="Arial" w:cs="Arial"/>
          <w:noProof/>
        </w:rPr>
        <w:lastRenderedPageBreak/>
        <w:drawing>
          <wp:anchor distT="0" distB="0" distL="114300" distR="114300" simplePos="0" relativeHeight="251661312" behindDoc="0" locked="0" layoutInCell="1" allowOverlap="1" wp14:anchorId="11095EF6" wp14:editId="15BDB427">
            <wp:simplePos x="0" y="0"/>
            <wp:positionH relativeFrom="column">
              <wp:posOffset>147015</wp:posOffset>
            </wp:positionH>
            <wp:positionV relativeFrom="paragraph">
              <wp:posOffset>0</wp:posOffset>
            </wp:positionV>
            <wp:extent cx="4978202" cy="6400800"/>
            <wp:effectExtent l="0" t="0" r="0" b="0"/>
            <wp:wrapTopAndBottom/>
            <wp:docPr id="3651875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78202" cy="6400800"/>
                    </a:xfrm>
                    <a:prstGeom prst="rect">
                      <a:avLst/>
                    </a:prstGeom>
                    <a:noFill/>
                  </pic:spPr>
                </pic:pic>
              </a:graphicData>
            </a:graphic>
            <wp14:sizeRelH relativeFrom="margin">
              <wp14:pctWidth>0</wp14:pctWidth>
            </wp14:sizeRelH>
            <wp14:sizeRelV relativeFrom="margin">
              <wp14:pctHeight>0</wp14:pctHeight>
            </wp14:sizeRelV>
          </wp:anchor>
        </w:drawing>
      </w:r>
    </w:p>
    <w:p w14:paraId="6BDA4070" w14:textId="01A11432" w:rsidR="002B4013" w:rsidRPr="002B4013" w:rsidRDefault="002B4013">
      <w:pPr>
        <w:rPr>
          <w:rFonts w:ascii="Arial" w:hAnsi="Arial" w:cs="Arial"/>
        </w:rPr>
      </w:pPr>
      <w:r w:rsidRPr="002B4013">
        <w:rPr>
          <w:rFonts w:ascii="Arial" w:hAnsi="Arial" w:cs="Arial"/>
          <w:b/>
          <w:bCs/>
        </w:rPr>
        <w:t>Figure S</w:t>
      </w:r>
      <w:r w:rsidR="003B7AB0">
        <w:rPr>
          <w:rFonts w:ascii="Arial" w:hAnsi="Arial" w:cs="Arial"/>
          <w:b/>
          <w:bCs/>
        </w:rPr>
        <w:t>3</w:t>
      </w:r>
      <w:r w:rsidRPr="002B4013">
        <w:rPr>
          <w:rFonts w:ascii="Arial" w:hAnsi="Arial" w:cs="Arial"/>
          <w:b/>
          <w:bCs/>
        </w:rPr>
        <w:t>: Mutational profile comparison between chemotherapy-naïve and chemotherapy exposed organoids</w:t>
      </w:r>
      <w:r w:rsidRPr="002B4013">
        <w:rPr>
          <w:rFonts w:ascii="Arial" w:hAnsi="Arial" w:cs="Arial"/>
        </w:rPr>
        <w:t xml:space="preserve">. Genomic DNA was isolated from chemotherapy-naïve PDOs and paired chemotherapy exposed PDOs subjected to next generation sequencing using a 484-gene panel. </w:t>
      </w:r>
      <w:r w:rsidRPr="002B4013">
        <w:rPr>
          <w:rFonts w:ascii="Arial" w:hAnsi="Arial" w:cs="Arial"/>
          <w:b/>
          <w:bCs/>
        </w:rPr>
        <w:t xml:space="preserve">A: </w:t>
      </w:r>
      <w:r w:rsidRPr="002B4013">
        <w:rPr>
          <w:rFonts w:ascii="Arial" w:hAnsi="Arial" w:cs="Arial"/>
        </w:rPr>
        <w:t xml:space="preserve">Comparison of shared and unique SNVs after common polymorphisms have been filtered out. </w:t>
      </w:r>
      <w:r w:rsidRPr="002B4013">
        <w:rPr>
          <w:rFonts w:ascii="Arial" w:hAnsi="Arial" w:cs="Arial"/>
          <w:b/>
          <w:bCs/>
        </w:rPr>
        <w:t>B:</w:t>
      </w:r>
      <w:r w:rsidRPr="002B4013">
        <w:rPr>
          <w:rFonts w:ascii="Arial" w:hAnsi="Arial" w:cs="Arial"/>
        </w:rPr>
        <w:t xml:space="preserve"> Comparison of shared and unique </w:t>
      </w:r>
      <w:r>
        <w:rPr>
          <w:rFonts w:ascii="Arial" w:hAnsi="Arial" w:cs="Arial"/>
        </w:rPr>
        <w:t>i</w:t>
      </w:r>
      <w:r w:rsidRPr="002B4013">
        <w:rPr>
          <w:rFonts w:ascii="Arial" w:hAnsi="Arial" w:cs="Arial"/>
        </w:rPr>
        <w:t>ndels after common polymorphisms have been filtered out.</w:t>
      </w:r>
      <w:r>
        <w:rPr>
          <w:rFonts w:ascii="Arial" w:hAnsi="Arial" w:cs="Arial"/>
        </w:rPr>
        <w:t xml:space="preserve"> </w:t>
      </w:r>
      <w:r>
        <w:rPr>
          <w:rFonts w:ascii="Arial" w:hAnsi="Arial" w:cs="Arial"/>
          <w:b/>
          <w:bCs/>
        </w:rPr>
        <w:t xml:space="preserve">C: </w:t>
      </w:r>
      <w:r>
        <w:rPr>
          <w:rFonts w:ascii="Arial" w:hAnsi="Arial" w:cs="Arial"/>
        </w:rPr>
        <w:t>Comparison of shared and unique indels and SNVs in PDOs created from three different sites in ONC 770</w:t>
      </w:r>
      <w:r w:rsidR="00A75661">
        <w:rPr>
          <w:rFonts w:ascii="Arial" w:hAnsi="Arial" w:cs="Arial"/>
        </w:rPr>
        <w:t>5</w:t>
      </w:r>
      <w:r>
        <w:rPr>
          <w:rFonts w:ascii="Arial" w:hAnsi="Arial" w:cs="Arial"/>
        </w:rPr>
        <w:t xml:space="preserve">. </w:t>
      </w:r>
    </w:p>
    <w:sectPr w:rsidR="002B4013" w:rsidRPr="002B40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013"/>
    <w:rsid w:val="00113A84"/>
    <w:rsid w:val="00124F8E"/>
    <w:rsid w:val="00155D0D"/>
    <w:rsid w:val="001E6D89"/>
    <w:rsid w:val="001F4F3B"/>
    <w:rsid w:val="002142CC"/>
    <w:rsid w:val="002B4013"/>
    <w:rsid w:val="002C5591"/>
    <w:rsid w:val="002D4CF1"/>
    <w:rsid w:val="003612AE"/>
    <w:rsid w:val="003B7AB0"/>
    <w:rsid w:val="00466BB6"/>
    <w:rsid w:val="0049576E"/>
    <w:rsid w:val="00554459"/>
    <w:rsid w:val="00563279"/>
    <w:rsid w:val="005E66E7"/>
    <w:rsid w:val="00602F42"/>
    <w:rsid w:val="006354CD"/>
    <w:rsid w:val="00646010"/>
    <w:rsid w:val="006E00A4"/>
    <w:rsid w:val="00731FBF"/>
    <w:rsid w:val="00912B1C"/>
    <w:rsid w:val="00A75661"/>
    <w:rsid w:val="00AD0DBA"/>
    <w:rsid w:val="00B423B0"/>
    <w:rsid w:val="00B72256"/>
    <w:rsid w:val="00B913A3"/>
    <w:rsid w:val="00BC43EF"/>
    <w:rsid w:val="00BE4ED3"/>
    <w:rsid w:val="00C3038E"/>
    <w:rsid w:val="00C959DB"/>
    <w:rsid w:val="00DD2307"/>
    <w:rsid w:val="00DE3FEA"/>
    <w:rsid w:val="00F2270C"/>
    <w:rsid w:val="00F87B77"/>
    <w:rsid w:val="00F96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64BE"/>
  <w15:chartTrackingRefBased/>
  <w15:docId w15:val="{956452E2-09DD-4DEA-9E9D-B789A2F0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013"/>
    <w:pPr>
      <w:spacing w:after="160" w:line="259"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40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303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838832">
      <w:bodyDiv w:val="1"/>
      <w:marLeft w:val="0"/>
      <w:marRight w:val="0"/>
      <w:marTop w:val="0"/>
      <w:marBottom w:val="0"/>
      <w:divBdr>
        <w:top w:val="none" w:sz="0" w:space="0" w:color="auto"/>
        <w:left w:val="none" w:sz="0" w:space="0" w:color="auto"/>
        <w:bottom w:val="none" w:sz="0" w:space="0" w:color="auto"/>
        <w:right w:val="none" w:sz="0" w:space="0" w:color="auto"/>
      </w:divBdr>
    </w:div>
    <w:div w:id="723605576">
      <w:bodyDiv w:val="1"/>
      <w:marLeft w:val="0"/>
      <w:marRight w:val="0"/>
      <w:marTop w:val="0"/>
      <w:marBottom w:val="0"/>
      <w:divBdr>
        <w:top w:val="none" w:sz="0" w:space="0" w:color="auto"/>
        <w:left w:val="none" w:sz="0" w:space="0" w:color="auto"/>
        <w:bottom w:val="none" w:sz="0" w:space="0" w:color="auto"/>
        <w:right w:val="none" w:sz="0" w:space="0" w:color="auto"/>
      </w:divBdr>
    </w:div>
    <w:div w:id="187164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Thiel, Kristina W</dc:creator>
  <cp:keywords/>
  <dc:description/>
  <cp:lastModifiedBy>thiel</cp:lastModifiedBy>
  <cp:revision>5</cp:revision>
  <dcterms:created xsi:type="dcterms:W3CDTF">2026-03-13T22:19:00Z</dcterms:created>
  <dcterms:modified xsi:type="dcterms:W3CDTF">2026-07-24T04:03:00Z</dcterms:modified>
</cp:coreProperties>
</file>