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68C70" w14:textId="188A8EF1" w:rsidR="00FE5F76" w:rsidRPr="00A04824" w:rsidRDefault="00C171B3" w:rsidP="00C171B3">
      <w:pPr>
        <w:spacing w:line="360" w:lineRule="auto"/>
        <w:rPr>
          <w:rFonts w:ascii="Times New Roman" w:hAnsi="Times New Roman" w:cs="Times New Roman"/>
          <w:sz w:val="24"/>
          <w:szCs w:val="24"/>
        </w:rPr>
      </w:pPr>
      <w:r>
        <w:rPr>
          <w:rFonts w:ascii="Times New Roman" w:hAnsi="Times New Roman" w:cs="Times New Roman"/>
          <w:b/>
          <w:bCs/>
          <w:noProof/>
        </w:rPr>
        <w:drawing>
          <wp:inline distT="0" distB="0" distL="0" distR="0" wp14:anchorId="169A5FE9" wp14:editId="4A86505C">
            <wp:extent cx="5274310" cy="3796665"/>
            <wp:effectExtent l="0" t="0" r="2540" b="0"/>
            <wp:docPr id="19677654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65403" name="图片 1967765403"/>
                    <pic:cNvPicPr/>
                  </pic:nvPicPr>
                  <pic:blipFill>
                    <a:blip r:embed="rId7"/>
                    <a:stretch>
                      <a:fillRect/>
                    </a:stretch>
                  </pic:blipFill>
                  <pic:spPr>
                    <a:xfrm>
                      <a:off x="0" y="0"/>
                      <a:ext cx="5274310" cy="3796665"/>
                    </a:xfrm>
                    <a:prstGeom prst="rect">
                      <a:avLst/>
                    </a:prstGeom>
                  </pic:spPr>
                </pic:pic>
              </a:graphicData>
            </a:graphic>
          </wp:inline>
        </w:drawing>
      </w:r>
      <w:r w:rsidR="00FE5F76" w:rsidRPr="00A04824">
        <w:rPr>
          <w:rFonts w:ascii="Times New Roman" w:hAnsi="Times New Roman" w:cs="Times New Roman"/>
          <w:b/>
          <w:bCs/>
          <w:sz w:val="24"/>
          <w:szCs w:val="24"/>
        </w:rPr>
        <w:t xml:space="preserve">Supplementary Fig 1. Quality control and model validation of follicular fluid non-targeted metabolomics data. </w:t>
      </w:r>
    </w:p>
    <w:p w14:paraId="0FE3CD8C" w14:textId="059422A0" w:rsidR="00FE5F76" w:rsidRPr="00A04824" w:rsidRDefault="00FE5F76" w:rsidP="00C171B3">
      <w:pPr>
        <w:spacing w:line="360" w:lineRule="auto"/>
        <w:rPr>
          <w:rFonts w:ascii="Times New Roman" w:hAnsi="Times New Roman" w:cs="Times New Roman"/>
          <w:sz w:val="24"/>
          <w:szCs w:val="24"/>
        </w:rPr>
      </w:pPr>
      <w:r w:rsidRPr="00055EB5">
        <w:rPr>
          <w:rFonts w:ascii="Times New Roman" w:hAnsi="Times New Roman" w:cs="Times New Roman"/>
          <w:b/>
          <w:bCs/>
          <w:sz w:val="24"/>
          <w:szCs w:val="24"/>
        </w:rPr>
        <w:t>a.</w:t>
      </w:r>
      <w:r w:rsidRPr="00A04824">
        <w:rPr>
          <w:rFonts w:ascii="Times New Roman" w:hAnsi="Times New Roman" w:cs="Times New Roman"/>
          <w:b/>
          <w:bCs/>
          <w:sz w:val="24"/>
          <w:szCs w:val="24"/>
        </w:rPr>
        <w:t xml:space="preserve"> </w:t>
      </w:r>
      <w:r w:rsidRPr="00A04824">
        <w:rPr>
          <w:rFonts w:ascii="Times New Roman" w:hAnsi="Times New Roman" w:cs="Times New Roman"/>
          <w:sz w:val="24"/>
          <w:szCs w:val="24"/>
        </w:rPr>
        <w:t xml:space="preserve">Hotelling‘s T² Test for CTRL and PCOS Group Samples. </w:t>
      </w:r>
      <w:r w:rsidRPr="00A04824">
        <w:rPr>
          <w:rFonts w:ascii="Times New Roman" w:hAnsi="Times New Roman" w:cs="Times New Roman"/>
          <w:b/>
          <w:bCs/>
          <w:sz w:val="24"/>
          <w:szCs w:val="24"/>
        </w:rPr>
        <w:t>b</w:t>
      </w:r>
      <w:r w:rsidRPr="00055EB5">
        <w:rPr>
          <w:rFonts w:ascii="Times New Roman" w:hAnsi="Times New Roman" w:cs="Times New Roman"/>
          <w:b/>
          <w:bCs/>
          <w:sz w:val="24"/>
          <w:szCs w:val="24"/>
        </w:rPr>
        <w:t>.</w:t>
      </w:r>
      <w:r w:rsidRPr="00A04824">
        <w:rPr>
          <w:rFonts w:ascii="Times New Roman" w:hAnsi="Times New Roman" w:cs="Times New Roman"/>
          <w:sz w:val="24"/>
          <w:szCs w:val="24"/>
        </w:rPr>
        <w:t xml:space="preserve"> Principal component analysis (PCA) score plot. Blue circles, CTRL group; Red squares, PCOS group; yellow open circles, quality control (QC) samples. </w:t>
      </w:r>
      <w:r w:rsidRPr="00A04824">
        <w:rPr>
          <w:rFonts w:ascii="Times New Roman" w:hAnsi="Times New Roman" w:cs="Times New Roman"/>
          <w:b/>
          <w:bCs/>
          <w:sz w:val="24"/>
          <w:szCs w:val="24"/>
        </w:rPr>
        <w:t>c</w:t>
      </w:r>
      <w:r w:rsidRPr="00055EB5">
        <w:rPr>
          <w:rFonts w:ascii="Times New Roman" w:hAnsi="Times New Roman" w:cs="Times New Roman"/>
          <w:b/>
          <w:bCs/>
          <w:sz w:val="24"/>
          <w:szCs w:val="24"/>
        </w:rPr>
        <w:t>.</w:t>
      </w:r>
      <w:r w:rsidRPr="00A04824">
        <w:rPr>
          <w:rFonts w:ascii="Times New Roman" w:hAnsi="Times New Roman" w:cs="Times New Roman"/>
          <w:sz w:val="24"/>
          <w:szCs w:val="24"/>
        </w:rPr>
        <w:t xml:space="preserve"> Permutation test (n = 200) for OPLS-DA model reliability. Blue circles represent cumulative explained variation R²Y, and red triangles represent cumulative predictive capability Q². </w:t>
      </w:r>
      <w:r w:rsidRPr="00A04824">
        <w:rPr>
          <w:rFonts w:ascii="Times New Roman" w:hAnsi="Times New Roman" w:cs="Times New Roman"/>
          <w:b/>
          <w:bCs/>
          <w:sz w:val="24"/>
          <w:szCs w:val="24"/>
        </w:rPr>
        <w:t>d</w:t>
      </w:r>
      <w:r w:rsidRPr="00055EB5">
        <w:rPr>
          <w:rFonts w:ascii="Times New Roman" w:hAnsi="Times New Roman" w:cs="Times New Roman"/>
          <w:b/>
          <w:bCs/>
          <w:sz w:val="24"/>
          <w:szCs w:val="24"/>
        </w:rPr>
        <w:t>.</w:t>
      </w:r>
      <w:r w:rsidRPr="00A04824">
        <w:rPr>
          <w:rFonts w:ascii="Times New Roman" w:hAnsi="Times New Roman" w:cs="Times New Roman"/>
          <w:sz w:val="24"/>
          <w:szCs w:val="24"/>
        </w:rPr>
        <w:t xml:space="preserve"> Pearson correlation matrix heatmap of QC samples. Diagonal panels show metabolite abundance distribution histograms for each QC sample; off-diagonal panels display Pearson correlation coefficients (r) with fitted trend lines between paired QC samples. </w:t>
      </w:r>
    </w:p>
    <w:p w14:paraId="3AC72949" w14:textId="77777777" w:rsidR="00C171B3" w:rsidRPr="00A04824" w:rsidRDefault="00C171B3" w:rsidP="00C171B3">
      <w:pPr>
        <w:spacing w:line="360" w:lineRule="auto"/>
        <w:rPr>
          <w:rFonts w:ascii="Times New Roman" w:hAnsi="Times New Roman" w:cs="Times New Roman"/>
          <w:b/>
          <w:bCs/>
          <w:sz w:val="24"/>
          <w:szCs w:val="24"/>
        </w:rPr>
      </w:pPr>
      <w:r>
        <w:rPr>
          <w:rFonts w:ascii="Times New Roman" w:hAnsi="Times New Roman" w:cs="Times New Roman"/>
          <w:b/>
          <w:bCs/>
          <w:noProof/>
        </w:rPr>
        <w:lastRenderedPageBreak/>
        <w:drawing>
          <wp:inline distT="0" distB="0" distL="0" distR="0" wp14:anchorId="09880FF0" wp14:editId="502A67C2">
            <wp:extent cx="5177993" cy="5884310"/>
            <wp:effectExtent l="0" t="0" r="3810" b="2540"/>
            <wp:docPr id="12544494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49429" name="图片 1254449429"/>
                    <pic:cNvPicPr/>
                  </pic:nvPicPr>
                  <pic:blipFill>
                    <a:blip r:embed="rId8"/>
                    <a:stretch>
                      <a:fillRect/>
                    </a:stretch>
                  </pic:blipFill>
                  <pic:spPr>
                    <a:xfrm>
                      <a:off x="0" y="0"/>
                      <a:ext cx="5183863" cy="5890980"/>
                    </a:xfrm>
                    <a:prstGeom prst="rect">
                      <a:avLst/>
                    </a:prstGeom>
                  </pic:spPr>
                </pic:pic>
              </a:graphicData>
            </a:graphic>
          </wp:inline>
        </w:drawing>
      </w:r>
      <w:r w:rsidR="00C56F4F" w:rsidRPr="00A04824">
        <w:rPr>
          <w:rFonts w:ascii="Times New Roman" w:hAnsi="Times New Roman" w:cs="Times New Roman"/>
          <w:b/>
          <w:bCs/>
          <w:sz w:val="24"/>
          <w:szCs w:val="24"/>
        </w:rPr>
        <w:t xml:space="preserve">Supplementary Fig 2. Analysis of Data Flow Patterns and Pathway Importance Metrics in the KEGG Pathway Hierarchy. </w:t>
      </w:r>
    </w:p>
    <w:p w14:paraId="23110A31" w14:textId="4293E4C5" w:rsidR="00C171B3" w:rsidRPr="00A04824" w:rsidRDefault="00C56F4F" w:rsidP="00C171B3">
      <w:pPr>
        <w:spacing w:line="360" w:lineRule="auto"/>
        <w:rPr>
          <w:rFonts w:ascii="Times New Roman" w:hAnsi="Times New Roman" w:cs="Times New Roman"/>
          <w:sz w:val="24"/>
          <w:szCs w:val="24"/>
        </w:rPr>
      </w:pPr>
      <w:r w:rsidRPr="00A04824">
        <w:rPr>
          <w:rFonts w:ascii="Times New Roman" w:hAnsi="Times New Roman" w:cs="Times New Roman"/>
          <w:b/>
          <w:bCs/>
          <w:sz w:val="24"/>
          <w:szCs w:val="24"/>
        </w:rPr>
        <w:t>a</w:t>
      </w:r>
      <w:r w:rsidRPr="00055EB5">
        <w:rPr>
          <w:rFonts w:ascii="Times New Roman" w:hAnsi="Times New Roman" w:cs="Times New Roman"/>
          <w:b/>
          <w:bCs/>
          <w:sz w:val="24"/>
          <w:szCs w:val="24"/>
        </w:rPr>
        <w:t>.</w:t>
      </w:r>
      <w:r w:rsidRPr="00A04824">
        <w:rPr>
          <w:rFonts w:ascii="Times New Roman" w:hAnsi="Times New Roman" w:cs="Times New Roman"/>
          <w:sz w:val="24"/>
          <w:szCs w:val="24"/>
        </w:rPr>
        <w:t xml:space="preserve"> Pathway impact plot of KEGG (out degree centrality).</w:t>
      </w:r>
      <w:r w:rsidR="00335B4B" w:rsidRPr="00A04824">
        <w:rPr>
          <w:rFonts w:ascii="Times New Roman" w:hAnsi="Times New Roman" w:cs="Times New Roman" w:hint="eastAsia"/>
          <w:sz w:val="24"/>
          <w:szCs w:val="24"/>
        </w:rPr>
        <w:t xml:space="preserve"> </w:t>
      </w:r>
      <w:r w:rsidR="00335B4B" w:rsidRPr="00A04824">
        <w:rPr>
          <w:rFonts w:ascii="Times New Roman" w:hAnsi="Times New Roman" w:cs="Times New Roman" w:hint="eastAsia"/>
          <w:b/>
          <w:bCs/>
          <w:sz w:val="24"/>
          <w:szCs w:val="24"/>
        </w:rPr>
        <w:t>b</w:t>
      </w:r>
      <w:r w:rsidR="00335B4B" w:rsidRPr="00055EB5">
        <w:rPr>
          <w:rFonts w:ascii="Times New Roman" w:hAnsi="Times New Roman" w:cs="Times New Roman" w:hint="eastAsia"/>
          <w:b/>
          <w:bCs/>
          <w:sz w:val="24"/>
          <w:szCs w:val="24"/>
        </w:rPr>
        <w:t>.</w:t>
      </w:r>
      <w:r w:rsidRPr="00A04824">
        <w:rPr>
          <w:rFonts w:ascii="Times New Roman" w:hAnsi="Times New Roman" w:cs="Times New Roman"/>
          <w:sz w:val="24"/>
          <w:szCs w:val="24"/>
        </w:rPr>
        <w:t xml:space="preserve"> Differential abundance (DA) score Plot of Metabolic Pathways, DA score illustrates the overall upregulation/downregulation trend of metabolic pathways by showing the proportion of significantly differential metabolites that are upregulated or downregulated. </w:t>
      </w:r>
      <w:r w:rsidRPr="00A04824">
        <w:rPr>
          <w:rFonts w:ascii="Times New Roman" w:hAnsi="Times New Roman" w:cs="Times New Roman"/>
          <w:b/>
          <w:bCs/>
          <w:sz w:val="24"/>
          <w:szCs w:val="24"/>
        </w:rPr>
        <w:t>c</w:t>
      </w:r>
      <w:r w:rsidRPr="00055EB5">
        <w:rPr>
          <w:rFonts w:ascii="Times New Roman" w:hAnsi="Times New Roman" w:cs="Times New Roman"/>
          <w:b/>
          <w:bCs/>
          <w:sz w:val="24"/>
          <w:szCs w:val="24"/>
        </w:rPr>
        <w:t>.</w:t>
      </w:r>
      <w:r w:rsidRPr="00A04824">
        <w:rPr>
          <w:rFonts w:ascii="Times New Roman" w:hAnsi="Times New Roman" w:cs="Times New Roman"/>
          <w:sz w:val="24"/>
          <w:szCs w:val="24"/>
        </w:rPr>
        <w:t xml:space="preserve"> The Sankey diagram illustrates the relationship between the top 10 pathways with significant enrichment and differential metabolites. From left to right, the components are differential metabolites (red indicates upregulation, blue indicates downregulation) and significantly enriched metabolic pathways. </w:t>
      </w:r>
    </w:p>
    <w:p w14:paraId="6F3A160B" w14:textId="226C9896" w:rsidR="00C171B3" w:rsidRPr="00A04824" w:rsidRDefault="00C171B3" w:rsidP="00C171B3">
      <w:pPr>
        <w:spacing w:line="360" w:lineRule="auto"/>
        <w:rPr>
          <w:rFonts w:ascii="Times New Roman" w:hAnsi="Times New Roman" w:cs="Times New Roman"/>
          <w:b/>
          <w:bCs/>
          <w:sz w:val="24"/>
          <w:szCs w:val="24"/>
        </w:rPr>
      </w:pPr>
      <w:r>
        <w:rPr>
          <w:rFonts w:ascii="Times New Roman" w:hAnsi="Times New Roman" w:cs="Times New Roman"/>
          <w:b/>
          <w:bCs/>
          <w:noProof/>
        </w:rPr>
        <w:lastRenderedPageBreak/>
        <w:drawing>
          <wp:inline distT="0" distB="0" distL="0" distR="0" wp14:anchorId="5489DD72" wp14:editId="6EA1F141">
            <wp:extent cx="5274310" cy="4479925"/>
            <wp:effectExtent l="0" t="0" r="2540" b="0"/>
            <wp:docPr id="5978665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866590" name="图片 597866590"/>
                    <pic:cNvPicPr/>
                  </pic:nvPicPr>
                  <pic:blipFill>
                    <a:blip r:embed="rId9"/>
                    <a:stretch>
                      <a:fillRect/>
                    </a:stretch>
                  </pic:blipFill>
                  <pic:spPr>
                    <a:xfrm>
                      <a:off x="0" y="0"/>
                      <a:ext cx="5274310" cy="4479925"/>
                    </a:xfrm>
                    <a:prstGeom prst="rect">
                      <a:avLst/>
                    </a:prstGeom>
                  </pic:spPr>
                </pic:pic>
              </a:graphicData>
            </a:graphic>
          </wp:inline>
        </w:drawing>
      </w:r>
      <w:r w:rsidR="00C56F4F" w:rsidRPr="00A04824">
        <w:rPr>
          <w:rFonts w:ascii="Times New Roman" w:hAnsi="Times New Roman" w:cs="Times New Roman"/>
          <w:b/>
          <w:bCs/>
          <w:sz w:val="24"/>
          <w:szCs w:val="24"/>
        </w:rPr>
        <w:t>Supplementary Fig 3. Receiver operating characteristic (ROC) curve of the differential lipid metabolites.</w:t>
      </w:r>
    </w:p>
    <w:p w14:paraId="4EC602DD" w14:textId="3FBFB0BB" w:rsidR="00C171B3" w:rsidRPr="00626669" w:rsidRDefault="00626669" w:rsidP="00626669">
      <w:pPr>
        <w:spacing w:line="360" w:lineRule="auto"/>
        <w:rPr>
          <w:rFonts w:ascii="Times New Roman" w:hAnsi="Times New Roman" w:cs="Times New Roman" w:hint="eastAsia"/>
          <w:sz w:val="24"/>
          <w:szCs w:val="24"/>
        </w:rPr>
      </w:pPr>
      <w:r w:rsidRPr="00626669">
        <w:rPr>
          <w:rFonts w:ascii="Times New Roman" w:hAnsi="Times New Roman" w:cs="Times New Roman" w:hint="eastAsia"/>
          <w:b/>
          <w:bCs/>
          <w:sz w:val="24"/>
          <w:szCs w:val="24"/>
        </w:rPr>
        <w:t xml:space="preserve">a. </w:t>
      </w:r>
      <w:r w:rsidR="00A04824" w:rsidRPr="00626669">
        <w:rPr>
          <w:rFonts w:ascii="Times New Roman" w:hAnsi="Times New Roman" w:cs="Times New Roman" w:hint="eastAsia"/>
          <w:sz w:val="24"/>
          <w:szCs w:val="24"/>
        </w:rPr>
        <w:t xml:space="preserve">ROC </w:t>
      </w:r>
      <w:r w:rsidR="007D5BCE" w:rsidRPr="00626669">
        <w:rPr>
          <w:rFonts w:ascii="Times New Roman" w:hAnsi="Times New Roman" w:cs="Times New Roman" w:hint="eastAsia"/>
          <w:sz w:val="24"/>
          <w:szCs w:val="24"/>
        </w:rPr>
        <w:t>curve analysis of</w:t>
      </w:r>
      <w:r w:rsidR="00A04824" w:rsidRPr="00626669">
        <w:rPr>
          <w:rFonts w:ascii="Times New Roman" w:hAnsi="Times New Roman" w:cs="Times New Roman" w:hint="eastAsia"/>
          <w:sz w:val="24"/>
          <w:szCs w:val="24"/>
        </w:rPr>
        <w:t xml:space="preserve"> </w:t>
      </w:r>
      <w:r w:rsidR="00055EB5" w:rsidRPr="00626669">
        <w:rPr>
          <w:rFonts w:ascii="Times New Roman" w:hAnsi="Times New Roman" w:cs="Times New Roman"/>
          <w:sz w:val="24"/>
          <w:szCs w:val="24"/>
        </w:rPr>
        <w:t>DG(18:3_22:5)</w:t>
      </w:r>
      <w:r w:rsidR="007D5BCE" w:rsidRPr="00626669">
        <w:rPr>
          <w:rFonts w:ascii="Times New Roman" w:hAnsi="Times New Roman" w:cs="Times New Roman" w:hint="eastAsia"/>
          <w:sz w:val="24"/>
          <w:szCs w:val="24"/>
        </w:rPr>
        <w:t xml:space="preserve"> as </w:t>
      </w:r>
      <w:r w:rsidR="007D5BCE" w:rsidRPr="00626669">
        <w:rPr>
          <w:rFonts w:ascii="Times New Roman" w:hAnsi="Times New Roman" w:cs="Times New Roman"/>
          <w:sz w:val="24"/>
          <w:szCs w:val="24"/>
        </w:rPr>
        <w:t>a</w:t>
      </w:r>
      <w:r w:rsidR="009F7D53" w:rsidRPr="00626669">
        <w:rPr>
          <w:rFonts w:ascii="Times New Roman" w:hAnsi="Times New Roman" w:cs="Times New Roman" w:hint="eastAsia"/>
          <w:sz w:val="24"/>
          <w:szCs w:val="24"/>
        </w:rPr>
        <w:t xml:space="preserve"> </w:t>
      </w:r>
      <w:r w:rsidR="007D5BCE" w:rsidRPr="00626669">
        <w:rPr>
          <w:rFonts w:ascii="Times New Roman" w:hAnsi="Times New Roman" w:cs="Times New Roman"/>
          <w:sz w:val="24"/>
          <w:szCs w:val="24"/>
        </w:rPr>
        <w:t xml:space="preserve">biomarker for distinguishing </w:t>
      </w:r>
      <w:r w:rsidR="007D5BCE" w:rsidRPr="00626669">
        <w:rPr>
          <w:rFonts w:ascii="Times New Roman" w:hAnsi="Times New Roman" w:cs="Times New Roman" w:hint="eastAsia"/>
          <w:sz w:val="24"/>
          <w:szCs w:val="24"/>
        </w:rPr>
        <w:t>PCOS</w:t>
      </w:r>
      <w:r w:rsidR="007D5BCE" w:rsidRPr="00626669">
        <w:rPr>
          <w:rFonts w:ascii="Times New Roman" w:hAnsi="Times New Roman" w:cs="Times New Roman"/>
          <w:sz w:val="24"/>
          <w:szCs w:val="24"/>
        </w:rPr>
        <w:t xml:space="preserve"> from control</w:t>
      </w:r>
      <w:r w:rsidR="007D5BCE" w:rsidRPr="00626669">
        <w:rPr>
          <w:rFonts w:ascii="Times New Roman" w:hAnsi="Times New Roman" w:cs="Times New Roman" w:hint="eastAsia"/>
          <w:sz w:val="24"/>
          <w:szCs w:val="24"/>
        </w:rPr>
        <w:t xml:space="preserve">. </w:t>
      </w:r>
      <w:r w:rsidR="007D5BCE" w:rsidRPr="00626669">
        <w:rPr>
          <w:rFonts w:ascii="Times New Roman" w:hAnsi="Times New Roman" w:cs="Times New Roman" w:hint="eastAsia"/>
          <w:b/>
          <w:bCs/>
          <w:sz w:val="24"/>
          <w:szCs w:val="24"/>
        </w:rPr>
        <w:t>b.</w:t>
      </w:r>
      <w:r w:rsidR="001B087F" w:rsidRPr="001B087F">
        <w:t xml:space="preserve"> </w:t>
      </w:r>
      <w:r w:rsidR="007D5BCE" w:rsidRPr="00626669">
        <w:rPr>
          <w:rFonts w:ascii="Times New Roman" w:hAnsi="Times New Roman" w:cs="Times New Roman" w:hint="eastAsia"/>
          <w:sz w:val="24"/>
          <w:szCs w:val="24"/>
        </w:rPr>
        <w:t xml:space="preserve">ROC curve analysis of </w:t>
      </w:r>
      <w:r w:rsidR="007D5BCE" w:rsidRPr="00626669">
        <w:rPr>
          <w:rFonts w:ascii="Times New Roman" w:hAnsi="Times New Roman" w:cs="Times New Roman"/>
          <w:sz w:val="24"/>
          <w:szCs w:val="24"/>
        </w:rPr>
        <w:t>LPC(22:0)</w:t>
      </w:r>
      <w:r w:rsidR="007D5BCE" w:rsidRPr="00626669">
        <w:rPr>
          <w:rFonts w:ascii="Times New Roman" w:hAnsi="Times New Roman" w:cs="Times New Roman" w:hint="eastAsia"/>
          <w:sz w:val="24"/>
          <w:szCs w:val="24"/>
        </w:rPr>
        <w:t xml:space="preserve"> as </w:t>
      </w:r>
      <w:r w:rsidR="007D5BCE" w:rsidRPr="00626669">
        <w:rPr>
          <w:rFonts w:ascii="Times New Roman" w:hAnsi="Times New Roman" w:cs="Times New Roman"/>
          <w:sz w:val="24"/>
          <w:szCs w:val="24"/>
        </w:rPr>
        <w:t>a</w:t>
      </w:r>
      <w:r w:rsidR="009F7D53" w:rsidRPr="00626669">
        <w:rPr>
          <w:rFonts w:ascii="Times New Roman" w:hAnsi="Times New Roman" w:cs="Times New Roman" w:hint="eastAsia"/>
          <w:sz w:val="24"/>
          <w:szCs w:val="24"/>
        </w:rPr>
        <w:t xml:space="preserve"> </w:t>
      </w:r>
      <w:r w:rsidR="007D5BCE" w:rsidRPr="00626669">
        <w:rPr>
          <w:rFonts w:ascii="Times New Roman" w:hAnsi="Times New Roman" w:cs="Times New Roman"/>
          <w:sz w:val="24"/>
          <w:szCs w:val="24"/>
        </w:rPr>
        <w:t xml:space="preserve">biomarker for distinguishing </w:t>
      </w:r>
      <w:r w:rsidR="007D5BCE" w:rsidRPr="00626669">
        <w:rPr>
          <w:rFonts w:ascii="Times New Roman" w:hAnsi="Times New Roman" w:cs="Times New Roman" w:hint="eastAsia"/>
          <w:sz w:val="24"/>
          <w:szCs w:val="24"/>
        </w:rPr>
        <w:t>PCOS</w:t>
      </w:r>
      <w:r w:rsidR="007D5BCE" w:rsidRPr="00626669">
        <w:rPr>
          <w:rFonts w:ascii="Times New Roman" w:hAnsi="Times New Roman" w:cs="Times New Roman"/>
          <w:sz w:val="24"/>
          <w:szCs w:val="24"/>
        </w:rPr>
        <w:t xml:space="preserve"> from control</w:t>
      </w:r>
      <w:r w:rsidR="007D5BCE" w:rsidRPr="00626669">
        <w:rPr>
          <w:rFonts w:ascii="Times New Roman" w:hAnsi="Times New Roman" w:cs="Times New Roman" w:hint="eastAsia"/>
          <w:sz w:val="24"/>
          <w:szCs w:val="24"/>
        </w:rPr>
        <w:t>.</w:t>
      </w:r>
      <w:r w:rsidR="007D5BCE" w:rsidRPr="00626669">
        <w:rPr>
          <w:rFonts w:ascii="Times New Roman" w:hAnsi="Times New Roman" w:cs="Times New Roman" w:hint="eastAsia"/>
          <w:sz w:val="24"/>
          <w:szCs w:val="24"/>
        </w:rPr>
        <w:t xml:space="preserve"> </w:t>
      </w:r>
      <w:r w:rsidR="007D5BCE" w:rsidRPr="00626669">
        <w:rPr>
          <w:rFonts w:ascii="Times New Roman" w:hAnsi="Times New Roman" w:cs="Times New Roman" w:hint="eastAsia"/>
          <w:b/>
          <w:bCs/>
          <w:sz w:val="24"/>
          <w:szCs w:val="24"/>
        </w:rPr>
        <w:t>c.</w:t>
      </w:r>
      <w:r w:rsidR="007D5BCE" w:rsidRPr="00626669">
        <w:rPr>
          <w:rFonts w:ascii="Times New Roman" w:hAnsi="Times New Roman" w:cs="Times New Roman" w:hint="eastAsia"/>
          <w:sz w:val="24"/>
          <w:szCs w:val="24"/>
        </w:rPr>
        <w:t xml:space="preserve"> </w:t>
      </w:r>
      <w:r w:rsidR="007D5BCE" w:rsidRPr="00626669">
        <w:rPr>
          <w:rFonts w:ascii="Times New Roman" w:hAnsi="Times New Roman" w:cs="Times New Roman" w:hint="eastAsia"/>
          <w:sz w:val="24"/>
          <w:szCs w:val="24"/>
        </w:rPr>
        <w:t xml:space="preserve">ROC curve analysis of </w:t>
      </w:r>
      <w:r w:rsidR="007D5BCE" w:rsidRPr="00626669">
        <w:rPr>
          <w:rFonts w:ascii="Times New Roman" w:hAnsi="Times New Roman" w:cs="Times New Roman"/>
          <w:sz w:val="24"/>
          <w:szCs w:val="24"/>
        </w:rPr>
        <w:t>PC(P-18:0_18:1)</w:t>
      </w:r>
      <w:r w:rsidR="007D5BCE" w:rsidRPr="00626669">
        <w:rPr>
          <w:rFonts w:ascii="Times New Roman" w:hAnsi="Times New Roman" w:cs="Times New Roman" w:hint="eastAsia"/>
          <w:sz w:val="24"/>
          <w:szCs w:val="24"/>
        </w:rPr>
        <w:t xml:space="preserve"> as </w:t>
      </w:r>
      <w:r w:rsidR="007D5BCE" w:rsidRPr="00626669">
        <w:rPr>
          <w:rFonts w:ascii="Times New Roman" w:hAnsi="Times New Roman" w:cs="Times New Roman"/>
          <w:sz w:val="24"/>
          <w:szCs w:val="24"/>
        </w:rPr>
        <w:t>a</w:t>
      </w:r>
      <w:r w:rsidR="007D5BCE" w:rsidRPr="00626669">
        <w:rPr>
          <w:rFonts w:ascii="Times New Roman" w:hAnsi="Times New Roman" w:cs="Times New Roman" w:hint="eastAsia"/>
          <w:sz w:val="24"/>
          <w:szCs w:val="24"/>
        </w:rPr>
        <w:t xml:space="preserve"> </w:t>
      </w:r>
      <w:r w:rsidR="007D5BCE" w:rsidRPr="00626669">
        <w:rPr>
          <w:rFonts w:ascii="Times New Roman" w:hAnsi="Times New Roman" w:cs="Times New Roman"/>
          <w:sz w:val="24"/>
          <w:szCs w:val="24"/>
        </w:rPr>
        <w:t xml:space="preserve">biomarker for distinguishing </w:t>
      </w:r>
      <w:r w:rsidR="007D5BCE" w:rsidRPr="00626669">
        <w:rPr>
          <w:rFonts w:ascii="Times New Roman" w:hAnsi="Times New Roman" w:cs="Times New Roman" w:hint="eastAsia"/>
          <w:sz w:val="24"/>
          <w:szCs w:val="24"/>
        </w:rPr>
        <w:t>PCOS</w:t>
      </w:r>
      <w:r w:rsidR="007D5BCE" w:rsidRPr="00626669">
        <w:rPr>
          <w:rFonts w:ascii="Times New Roman" w:hAnsi="Times New Roman" w:cs="Times New Roman"/>
          <w:sz w:val="24"/>
          <w:szCs w:val="24"/>
        </w:rPr>
        <w:t xml:space="preserve"> from control</w:t>
      </w:r>
      <w:r w:rsidR="007D5BCE" w:rsidRPr="00626669">
        <w:rPr>
          <w:rFonts w:ascii="Times New Roman" w:hAnsi="Times New Roman" w:cs="Times New Roman" w:hint="eastAsia"/>
          <w:sz w:val="24"/>
          <w:szCs w:val="24"/>
        </w:rPr>
        <w:t>.</w:t>
      </w:r>
      <w:r w:rsidR="007D5BCE" w:rsidRPr="00626669">
        <w:rPr>
          <w:rFonts w:ascii="Times New Roman" w:hAnsi="Times New Roman" w:cs="Times New Roman" w:hint="eastAsia"/>
          <w:sz w:val="24"/>
          <w:szCs w:val="24"/>
        </w:rPr>
        <w:t xml:space="preserve"> </w:t>
      </w:r>
      <w:r w:rsidR="007D5BCE" w:rsidRPr="00626669">
        <w:rPr>
          <w:rFonts w:ascii="Times New Roman" w:hAnsi="Times New Roman" w:cs="Times New Roman" w:hint="eastAsia"/>
          <w:b/>
          <w:bCs/>
          <w:sz w:val="24"/>
          <w:szCs w:val="24"/>
        </w:rPr>
        <w:t xml:space="preserve">d. </w:t>
      </w:r>
      <w:r w:rsidR="007D5BCE" w:rsidRPr="00626669">
        <w:rPr>
          <w:rFonts w:ascii="Times New Roman" w:hAnsi="Times New Roman" w:cs="Times New Roman" w:hint="eastAsia"/>
          <w:sz w:val="24"/>
          <w:szCs w:val="24"/>
        </w:rPr>
        <w:t xml:space="preserve">ROC curve analysis of </w:t>
      </w:r>
      <w:r w:rsidR="007D5BCE" w:rsidRPr="00626669">
        <w:rPr>
          <w:rFonts w:ascii="Times New Roman" w:hAnsi="Times New Roman" w:cs="Times New Roman"/>
          <w:sz w:val="24"/>
          <w:szCs w:val="24"/>
        </w:rPr>
        <w:t>PS(22:6_18:0)</w:t>
      </w:r>
      <w:r w:rsidR="007D5BCE" w:rsidRPr="00626669">
        <w:rPr>
          <w:rFonts w:ascii="Times New Roman" w:hAnsi="Times New Roman" w:cs="Times New Roman" w:hint="eastAsia"/>
          <w:sz w:val="24"/>
          <w:szCs w:val="24"/>
        </w:rPr>
        <w:t xml:space="preserve"> as </w:t>
      </w:r>
      <w:r w:rsidR="007D5BCE" w:rsidRPr="00626669">
        <w:rPr>
          <w:rFonts w:ascii="Times New Roman" w:hAnsi="Times New Roman" w:cs="Times New Roman"/>
          <w:sz w:val="24"/>
          <w:szCs w:val="24"/>
        </w:rPr>
        <w:t>a</w:t>
      </w:r>
      <w:r w:rsidR="007D5BCE" w:rsidRPr="00626669">
        <w:rPr>
          <w:rFonts w:ascii="Times New Roman" w:hAnsi="Times New Roman" w:cs="Times New Roman" w:hint="eastAsia"/>
          <w:sz w:val="24"/>
          <w:szCs w:val="24"/>
        </w:rPr>
        <w:t xml:space="preserve"> </w:t>
      </w:r>
      <w:r w:rsidR="007D5BCE" w:rsidRPr="00626669">
        <w:rPr>
          <w:rFonts w:ascii="Times New Roman" w:hAnsi="Times New Roman" w:cs="Times New Roman"/>
          <w:sz w:val="24"/>
          <w:szCs w:val="24"/>
        </w:rPr>
        <w:t xml:space="preserve">biomarker for distinguishing </w:t>
      </w:r>
      <w:r w:rsidR="007D5BCE" w:rsidRPr="00626669">
        <w:rPr>
          <w:rFonts w:ascii="Times New Roman" w:hAnsi="Times New Roman" w:cs="Times New Roman" w:hint="eastAsia"/>
          <w:sz w:val="24"/>
          <w:szCs w:val="24"/>
        </w:rPr>
        <w:t>PCOS</w:t>
      </w:r>
      <w:r w:rsidR="007D5BCE" w:rsidRPr="00626669">
        <w:rPr>
          <w:rFonts w:ascii="Times New Roman" w:hAnsi="Times New Roman" w:cs="Times New Roman"/>
          <w:sz w:val="24"/>
          <w:szCs w:val="24"/>
        </w:rPr>
        <w:t xml:space="preserve"> from control</w:t>
      </w:r>
      <w:r w:rsidR="007D5BCE" w:rsidRPr="00626669">
        <w:rPr>
          <w:rFonts w:ascii="Times New Roman" w:hAnsi="Times New Roman" w:cs="Times New Roman" w:hint="eastAsia"/>
          <w:sz w:val="24"/>
          <w:szCs w:val="24"/>
        </w:rPr>
        <w:t>.</w:t>
      </w:r>
      <w:r w:rsidR="007D5BCE" w:rsidRPr="007D5BCE">
        <w:t xml:space="preserve"> </w:t>
      </w:r>
      <w:r w:rsidR="007D5BCE" w:rsidRPr="00626669">
        <w:rPr>
          <w:rFonts w:ascii="Times New Roman" w:hAnsi="Times New Roman" w:cs="Times New Roman"/>
          <w:sz w:val="24"/>
          <w:szCs w:val="24"/>
        </w:rPr>
        <w:t>The green line represents the reference line.</w:t>
      </w:r>
      <w:r w:rsidR="000963DC" w:rsidRPr="000963DC">
        <w:t xml:space="preserve"> </w:t>
      </w:r>
      <w:r w:rsidR="000963DC" w:rsidRPr="000963DC">
        <w:rPr>
          <w:rFonts w:ascii="Times New Roman" w:hAnsi="Times New Roman" w:cs="Times New Roman"/>
          <w:sz w:val="24"/>
          <w:szCs w:val="24"/>
        </w:rPr>
        <w:t>AUC, area under ROC curve.</w:t>
      </w:r>
    </w:p>
    <w:p w14:paraId="55947B24" w14:textId="77777777" w:rsidR="00C171B3" w:rsidRPr="00A04824" w:rsidRDefault="00C171B3" w:rsidP="00C171B3">
      <w:pPr>
        <w:keepNext/>
        <w:spacing w:line="360" w:lineRule="auto"/>
        <w:rPr>
          <w:rFonts w:ascii="Times New Roman" w:hAnsi="Times New Roman" w:cs="Times New Roman"/>
          <w:b/>
          <w:bCs/>
          <w:sz w:val="24"/>
          <w:szCs w:val="24"/>
        </w:rPr>
      </w:pPr>
      <w:r>
        <w:rPr>
          <w:rFonts w:ascii="Times New Roman" w:hAnsi="Times New Roman" w:cs="Times New Roman"/>
          <w:b/>
          <w:bCs/>
          <w:noProof/>
        </w:rPr>
        <w:lastRenderedPageBreak/>
        <w:drawing>
          <wp:inline distT="0" distB="0" distL="0" distR="0" wp14:anchorId="45A70E63" wp14:editId="6E1E6E78">
            <wp:extent cx="5501726" cy="2595205"/>
            <wp:effectExtent l="0" t="0" r="3810" b="0"/>
            <wp:docPr id="13428163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16345" name="图片 1342816345"/>
                    <pic:cNvPicPr/>
                  </pic:nvPicPr>
                  <pic:blipFill>
                    <a:blip r:embed="rId10"/>
                    <a:stretch>
                      <a:fillRect/>
                    </a:stretch>
                  </pic:blipFill>
                  <pic:spPr>
                    <a:xfrm>
                      <a:off x="0" y="0"/>
                      <a:ext cx="5552118" cy="2618975"/>
                    </a:xfrm>
                    <a:prstGeom prst="rect">
                      <a:avLst/>
                    </a:prstGeom>
                  </pic:spPr>
                </pic:pic>
              </a:graphicData>
            </a:graphic>
          </wp:inline>
        </w:drawing>
      </w:r>
      <w:r w:rsidR="00C56F4F" w:rsidRPr="00A04824">
        <w:rPr>
          <w:rFonts w:ascii="Times New Roman" w:hAnsi="Times New Roman" w:cs="Times New Roman"/>
          <w:b/>
          <w:bCs/>
          <w:sz w:val="24"/>
          <w:szCs w:val="24"/>
        </w:rPr>
        <w:t xml:space="preserve">Supplementary Fig 4. Integrated analysis of FF metabolomics and targeted </w:t>
      </w:r>
      <w:proofErr w:type="spellStart"/>
      <w:r w:rsidR="00C56F4F" w:rsidRPr="00A04824">
        <w:rPr>
          <w:rFonts w:ascii="Times New Roman" w:hAnsi="Times New Roman" w:cs="Times New Roman"/>
          <w:b/>
          <w:bCs/>
          <w:sz w:val="24"/>
          <w:szCs w:val="24"/>
        </w:rPr>
        <w:t>lipidomics</w:t>
      </w:r>
      <w:proofErr w:type="spellEnd"/>
      <w:r w:rsidR="00C56F4F" w:rsidRPr="00A04824">
        <w:rPr>
          <w:rFonts w:ascii="Times New Roman" w:hAnsi="Times New Roman" w:cs="Times New Roman"/>
          <w:b/>
          <w:bCs/>
          <w:sz w:val="24"/>
          <w:szCs w:val="24"/>
        </w:rPr>
        <w:t xml:space="preserve"> in the CTRL and PCOS groups. </w:t>
      </w:r>
    </w:p>
    <w:p w14:paraId="01BCFC26" w14:textId="1D68B92B" w:rsidR="00C56F4F" w:rsidRPr="00A04824" w:rsidRDefault="00C56F4F" w:rsidP="00C171B3">
      <w:pPr>
        <w:keepNext/>
        <w:spacing w:line="360" w:lineRule="auto"/>
        <w:rPr>
          <w:rFonts w:ascii="Times New Roman" w:hAnsi="Times New Roman" w:cs="Times New Roman"/>
          <w:sz w:val="24"/>
          <w:szCs w:val="24"/>
        </w:rPr>
      </w:pPr>
      <w:r w:rsidRPr="00A04824">
        <w:rPr>
          <w:rFonts w:ascii="Times New Roman" w:hAnsi="Times New Roman" w:cs="Times New Roman"/>
          <w:b/>
          <w:bCs/>
          <w:sz w:val="24"/>
          <w:szCs w:val="24"/>
        </w:rPr>
        <w:t>a</w:t>
      </w:r>
      <w:r w:rsidRPr="00055EB5">
        <w:rPr>
          <w:rFonts w:ascii="Times New Roman" w:hAnsi="Times New Roman" w:cs="Times New Roman"/>
          <w:b/>
          <w:bCs/>
          <w:sz w:val="24"/>
          <w:szCs w:val="24"/>
        </w:rPr>
        <w:t>.</w:t>
      </w:r>
      <w:r w:rsidRPr="00A04824">
        <w:rPr>
          <w:rFonts w:ascii="Times New Roman" w:hAnsi="Times New Roman" w:cs="Times New Roman"/>
          <w:b/>
          <w:bCs/>
          <w:sz w:val="24"/>
          <w:szCs w:val="24"/>
        </w:rPr>
        <w:t xml:space="preserve"> </w:t>
      </w:r>
      <w:r w:rsidRPr="00A04824">
        <w:rPr>
          <w:rFonts w:ascii="Times New Roman" w:hAnsi="Times New Roman" w:cs="Times New Roman"/>
          <w:sz w:val="24"/>
          <w:szCs w:val="24"/>
        </w:rPr>
        <w:t xml:space="preserve">Hierarchical clustering heatmap showing the correlations between differentially expressed molecules identified in the metabolomics and targeted </w:t>
      </w:r>
      <w:proofErr w:type="spellStart"/>
      <w:r w:rsidRPr="00A04824">
        <w:rPr>
          <w:rFonts w:ascii="Times New Roman" w:hAnsi="Times New Roman" w:cs="Times New Roman"/>
          <w:sz w:val="24"/>
          <w:szCs w:val="24"/>
        </w:rPr>
        <w:t>lipidomics</w:t>
      </w:r>
      <w:proofErr w:type="spellEnd"/>
      <w:r w:rsidRPr="00A04824">
        <w:rPr>
          <w:rFonts w:ascii="Times New Roman" w:hAnsi="Times New Roman" w:cs="Times New Roman"/>
          <w:sz w:val="24"/>
          <w:szCs w:val="24"/>
        </w:rPr>
        <w:t xml:space="preserve"> analyses of the CTRL and PCOS groups. Each row represents a metabolite, and each column represents a lipid metabolite. *** indicates a correlation test p-value &lt; 0.001, ** indicates p &lt; 0.01, and * indicates p &lt; 0.05. </w:t>
      </w:r>
      <w:r w:rsidRPr="00A04824">
        <w:rPr>
          <w:rFonts w:ascii="Times New Roman" w:hAnsi="Times New Roman" w:cs="Times New Roman"/>
          <w:b/>
          <w:bCs/>
          <w:sz w:val="24"/>
          <w:szCs w:val="24"/>
        </w:rPr>
        <w:t>b</w:t>
      </w:r>
      <w:r w:rsidRPr="00055EB5">
        <w:rPr>
          <w:rFonts w:ascii="Times New Roman" w:hAnsi="Times New Roman" w:cs="Times New Roman"/>
          <w:b/>
          <w:bCs/>
          <w:sz w:val="24"/>
          <w:szCs w:val="24"/>
        </w:rPr>
        <w:t>.</w:t>
      </w:r>
      <w:r w:rsidRPr="00A04824">
        <w:rPr>
          <w:rFonts w:ascii="Times New Roman" w:hAnsi="Times New Roman" w:cs="Times New Roman"/>
          <w:sz w:val="24"/>
          <w:szCs w:val="24"/>
        </w:rPr>
        <w:t xml:space="preserve"> Heatmap of shared KEGG signaling pathways between the CTRL and PCOS groups based on metabolomics and targeted </w:t>
      </w:r>
      <w:proofErr w:type="spellStart"/>
      <w:r w:rsidRPr="00A04824">
        <w:rPr>
          <w:rFonts w:ascii="Times New Roman" w:hAnsi="Times New Roman" w:cs="Times New Roman"/>
          <w:sz w:val="24"/>
          <w:szCs w:val="24"/>
        </w:rPr>
        <w:t>lipidomics</w:t>
      </w:r>
      <w:proofErr w:type="spellEnd"/>
      <w:r w:rsidRPr="00A04824">
        <w:rPr>
          <w:rFonts w:ascii="Times New Roman" w:hAnsi="Times New Roman" w:cs="Times New Roman"/>
          <w:sz w:val="24"/>
          <w:szCs w:val="24"/>
        </w:rPr>
        <w:t xml:space="preserve"> data.</w:t>
      </w:r>
    </w:p>
    <w:sectPr w:rsidR="00C56F4F" w:rsidRPr="00A048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46C0A" w14:textId="77777777" w:rsidR="009965D0" w:rsidRDefault="009965D0" w:rsidP="00132B5F">
      <w:r>
        <w:separator/>
      </w:r>
    </w:p>
  </w:endnote>
  <w:endnote w:type="continuationSeparator" w:id="0">
    <w:p w14:paraId="75160A48" w14:textId="77777777" w:rsidR="009965D0" w:rsidRDefault="009965D0" w:rsidP="00132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95C2D" w14:textId="77777777" w:rsidR="009965D0" w:rsidRDefault="009965D0" w:rsidP="00132B5F">
      <w:r>
        <w:separator/>
      </w:r>
    </w:p>
  </w:footnote>
  <w:footnote w:type="continuationSeparator" w:id="0">
    <w:p w14:paraId="53720E63" w14:textId="77777777" w:rsidR="009965D0" w:rsidRDefault="009965D0" w:rsidP="00132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7E1"/>
    <w:multiLevelType w:val="hybridMultilevel"/>
    <w:tmpl w:val="DD06BF92"/>
    <w:lvl w:ilvl="0" w:tplc="18967390">
      <w:start w:val="1"/>
      <w:numFmt w:val="low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2611EDB"/>
    <w:multiLevelType w:val="hybridMultilevel"/>
    <w:tmpl w:val="B406C9FC"/>
    <w:lvl w:ilvl="0" w:tplc="4224D5A4">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0647497"/>
    <w:multiLevelType w:val="hybridMultilevel"/>
    <w:tmpl w:val="C1345D28"/>
    <w:lvl w:ilvl="0" w:tplc="112AB63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782D1968"/>
    <w:multiLevelType w:val="hybridMultilevel"/>
    <w:tmpl w:val="55F4F578"/>
    <w:lvl w:ilvl="0" w:tplc="A65CC32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7816772">
    <w:abstractNumId w:val="0"/>
  </w:num>
  <w:num w:numId="2" w16cid:durableId="110898909">
    <w:abstractNumId w:val="1"/>
  </w:num>
  <w:num w:numId="3" w16cid:durableId="1233931871">
    <w:abstractNumId w:val="3"/>
  </w:num>
  <w:num w:numId="4" w16cid:durableId="730271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B88"/>
    <w:rsid w:val="00055EB5"/>
    <w:rsid w:val="000963DC"/>
    <w:rsid w:val="00103BC5"/>
    <w:rsid w:val="00127464"/>
    <w:rsid w:val="00132B5F"/>
    <w:rsid w:val="00133BBD"/>
    <w:rsid w:val="001B087F"/>
    <w:rsid w:val="00324CBB"/>
    <w:rsid w:val="00335B4B"/>
    <w:rsid w:val="00366A56"/>
    <w:rsid w:val="00463103"/>
    <w:rsid w:val="004A7D2E"/>
    <w:rsid w:val="0052479B"/>
    <w:rsid w:val="00626669"/>
    <w:rsid w:val="00764B88"/>
    <w:rsid w:val="007A60EF"/>
    <w:rsid w:val="007D5BCE"/>
    <w:rsid w:val="009965D0"/>
    <w:rsid w:val="009F7D53"/>
    <w:rsid w:val="00A04824"/>
    <w:rsid w:val="00A159E0"/>
    <w:rsid w:val="00B257F9"/>
    <w:rsid w:val="00BC264D"/>
    <w:rsid w:val="00C171B3"/>
    <w:rsid w:val="00C56F4F"/>
    <w:rsid w:val="00C8769A"/>
    <w:rsid w:val="00CA5521"/>
    <w:rsid w:val="00E2592D"/>
    <w:rsid w:val="00E25F05"/>
    <w:rsid w:val="00EE6BB2"/>
    <w:rsid w:val="00FE5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301E6F"/>
  <w15:docId w15:val="{F1E979AA-163F-40C2-8D39-0875E89DA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2B5F"/>
    <w:pPr>
      <w:tabs>
        <w:tab w:val="center" w:pos="4153"/>
        <w:tab w:val="right" w:pos="8306"/>
      </w:tabs>
      <w:snapToGrid w:val="0"/>
      <w:jc w:val="center"/>
    </w:pPr>
    <w:rPr>
      <w:sz w:val="18"/>
      <w:szCs w:val="18"/>
    </w:rPr>
  </w:style>
  <w:style w:type="character" w:customStyle="1" w:styleId="a4">
    <w:name w:val="页眉 字符"/>
    <w:basedOn w:val="a0"/>
    <w:link w:val="a3"/>
    <w:uiPriority w:val="99"/>
    <w:rsid w:val="00132B5F"/>
    <w:rPr>
      <w:sz w:val="18"/>
      <w:szCs w:val="18"/>
    </w:rPr>
  </w:style>
  <w:style w:type="paragraph" w:styleId="a5">
    <w:name w:val="footer"/>
    <w:basedOn w:val="a"/>
    <w:link w:val="a6"/>
    <w:uiPriority w:val="99"/>
    <w:unhideWhenUsed/>
    <w:rsid w:val="00132B5F"/>
    <w:pPr>
      <w:tabs>
        <w:tab w:val="center" w:pos="4153"/>
        <w:tab w:val="right" w:pos="8306"/>
      </w:tabs>
      <w:snapToGrid w:val="0"/>
      <w:jc w:val="left"/>
    </w:pPr>
    <w:rPr>
      <w:sz w:val="18"/>
      <w:szCs w:val="18"/>
    </w:rPr>
  </w:style>
  <w:style w:type="character" w:customStyle="1" w:styleId="a6">
    <w:name w:val="页脚 字符"/>
    <w:basedOn w:val="a0"/>
    <w:link w:val="a5"/>
    <w:uiPriority w:val="99"/>
    <w:rsid w:val="00132B5F"/>
    <w:rPr>
      <w:sz w:val="18"/>
      <w:szCs w:val="18"/>
    </w:rPr>
  </w:style>
  <w:style w:type="paragraph" w:styleId="a7">
    <w:name w:val="List Paragraph"/>
    <w:basedOn w:val="a"/>
    <w:uiPriority w:val="34"/>
    <w:qFormat/>
    <w:rsid w:val="00132B5F"/>
    <w:pPr>
      <w:ind w:firstLineChars="200" w:firstLine="420"/>
    </w:pPr>
  </w:style>
  <w:style w:type="character" w:styleId="a8">
    <w:name w:val="annotation reference"/>
    <w:basedOn w:val="a0"/>
    <w:uiPriority w:val="99"/>
    <w:semiHidden/>
    <w:unhideWhenUsed/>
    <w:rsid w:val="00E2592D"/>
    <w:rPr>
      <w:sz w:val="21"/>
      <w:szCs w:val="21"/>
    </w:rPr>
  </w:style>
  <w:style w:type="paragraph" w:styleId="a9">
    <w:name w:val="annotation text"/>
    <w:basedOn w:val="a"/>
    <w:link w:val="aa"/>
    <w:uiPriority w:val="99"/>
    <w:unhideWhenUsed/>
    <w:rsid w:val="00E2592D"/>
    <w:pPr>
      <w:jc w:val="left"/>
    </w:pPr>
  </w:style>
  <w:style w:type="character" w:customStyle="1" w:styleId="aa">
    <w:name w:val="批注文字 字符"/>
    <w:basedOn w:val="a0"/>
    <w:link w:val="a9"/>
    <w:uiPriority w:val="99"/>
    <w:rsid w:val="00E2592D"/>
  </w:style>
  <w:style w:type="paragraph" w:styleId="ab">
    <w:name w:val="annotation subject"/>
    <w:basedOn w:val="a9"/>
    <w:next w:val="a9"/>
    <w:link w:val="ac"/>
    <w:uiPriority w:val="99"/>
    <w:semiHidden/>
    <w:unhideWhenUsed/>
    <w:rsid w:val="00E2592D"/>
    <w:rPr>
      <w:b/>
      <w:bCs/>
    </w:rPr>
  </w:style>
  <w:style w:type="character" w:customStyle="1" w:styleId="ac">
    <w:name w:val="批注主题 字符"/>
    <w:basedOn w:val="aa"/>
    <w:link w:val="ab"/>
    <w:uiPriority w:val="99"/>
    <w:semiHidden/>
    <w:rsid w:val="00E259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451522">
      <w:bodyDiv w:val="1"/>
      <w:marLeft w:val="0"/>
      <w:marRight w:val="0"/>
      <w:marTop w:val="0"/>
      <w:marBottom w:val="0"/>
      <w:divBdr>
        <w:top w:val="none" w:sz="0" w:space="0" w:color="auto"/>
        <w:left w:val="none" w:sz="0" w:space="0" w:color="auto"/>
        <w:bottom w:val="none" w:sz="0" w:space="0" w:color="auto"/>
        <w:right w:val="none" w:sz="0" w:space="0" w:color="auto"/>
      </w:divBdr>
    </w:div>
    <w:div w:id="539560258">
      <w:bodyDiv w:val="1"/>
      <w:marLeft w:val="0"/>
      <w:marRight w:val="0"/>
      <w:marTop w:val="0"/>
      <w:marBottom w:val="0"/>
      <w:divBdr>
        <w:top w:val="none" w:sz="0" w:space="0" w:color="auto"/>
        <w:left w:val="none" w:sz="0" w:space="0" w:color="auto"/>
        <w:bottom w:val="none" w:sz="0" w:space="0" w:color="auto"/>
        <w:right w:val="none" w:sz="0" w:space="0" w:color="auto"/>
      </w:divBdr>
    </w:div>
    <w:div w:id="559949992">
      <w:bodyDiv w:val="1"/>
      <w:marLeft w:val="0"/>
      <w:marRight w:val="0"/>
      <w:marTop w:val="0"/>
      <w:marBottom w:val="0"/>
      <w:divBdr>
        <w:top w:val="none" w:sz="0" w:space="0" w:color="auto"/>
        <w:left w:val="none" w:sz="0" w:space="0" w:color="auto"/>
        <w:bottom w:val="none" w:sz="0" w:space="0" w:color="auto"/>
        <w:right w:val="none" w:sz="0" w:space="0" w:color="auto"/>
      </w:divBdr>
    </w:div>
    <w:div w:id="588391079">
      <w:bodyDiv w:val="1"/>
      <w:marLeft w:val="0"/>
      <w:marRight w:val="0"/>
      <w:marTop w:val="0"/>
      <w:marBottom w:val="0"/>
      <w:divBdr>
        <w:top w:val="none" w:sz="0" w:space="0" w:color="auto"/>
        <w:left w:val="none" w:sz="0" w:space="0" w:color="auto"/>
        <w:bottom w:val="none" w:sz="0" w:space="0" w:color="auto"/>
        <w:right w:val="none" w:sz="0" w:space="0" w:color="auto"/>
      </w:divBdr>
    </w:div>
    <w:div w:id="1277449433">
      <w:bodyDiv w:val="1"/>
      <w:marLeft w:val="0"/>
      <w:marRight w:val="0"/>
      <w:marTop w:val="0"/>
      <w:marBottom w:val="0"/>
      <w:divBdr>
        <w:top w:val="none" w:sz="0" w:space="0" w:color="auto"/>
        <w:left w:val="none" w:sz="0" w:space="0" w:color="auto"/>
        <w:bottom w:val="none" w:sz="0" w:space="0" w:color="auto"/>
        <w:right w:val="none" w:sz="0" w:space="0" w:color="auto"/>
      </w:divBdr>
    </w:div>
    <w:div w:id="1324705116">
      <w:bodyDiv w:val="1"/>
      <w:marLeft w:val="0"/>
      <w:marRight w:val="0"/>
      <w:marTop w:val="0"/>
      <w:marBottom w:val="0"/>
      <w:divBdr>
        <w:top w:val="none" w:sz="0" w:space="0" w:color="auto"/>
        <w:left w:val="none" w:sz="0" w:space="0" w:color="auto"/>
        <w:bottom w:val="none" w:sz="0" w:space="0" w:color="auto"/>
        <w:right w:val="none" w:sz="0" w:space="0" w:color="auto"/>
      </w:divBdr>
    </w:div>
    <w:div w:id="1513568532">
      <w:bodyDiv w:val="1"/>
      <w:marLeft w:val="0"/>
      <w:marRight w:val="0"/>
      <w:marTop w:val="0"/>
      <w:marBottom w:val="0"/>
      <w:divBdr>
        <w:top w:val="none" w:sz="0" w:space="0" w:color="auto"/>
        <w:left w:val="none" w:sz="0" w:space="0" w:color="auto"/>
        <w:bottom w:val="none" w:sz="0" w:space="0" w:color="auto"/>
        <w:right w:val="none" w:sz="0" w:space="0" w:color="auto"/>
      </w:divBdr>
    </w:div>
    <w:div w:id="1682777274">
      <w:bodyDiv w:val="1"/>
      <w:marLeft w:val="0"/>
      <w:marRight w:val="0"/>
      <w:marTop w:val="0"/>
      <w:marBottom w:val="0"/>
      <w:divBdr>
        <w:top w:val="none" w:sz="0" w:space="0" w:color="auto"/>
        <w:left w:val="none" w:sz="0" w:space="0" w:color="auto"/>
        <w:bottom w:val="none" w:sz="0" w:space="0" w:color="auto"/>
        <w:right w:val="none" w:sz="0" w:space="0" w:color="auto"/>
      </w:divBdr>
    </w:div>
    <w:div w:id="1707562660">
      <w:bodyDiv w:val="1"/>
      <w:marLeft w:val="0"/>
      <w:marRight w:val="0"/>
      <w:marTop w:val="0"/>
      <w:marBottom w:val="0"/>
      <w:divBdr>
        <w:top w:val="none" w:sz="0" w:space="0" w:color="auto"/>
        <w:left w:val="none" w:sz="0" w:space="0" w:color="auto"/>
        <w:bottom w:val="none" w:sz="0" w:space="0" w:color="auto"/>
        <w:right w:val="none" w:sz="0" w:space="0" w:color="auto"/>
      </w:divBdr>
    </w:div>
    <w:div w:id="174668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2420</TotalTime>
  <Pages>4</Pages>
  <Words>369</Words>
  <Characters>2301</Characters>
  <Application>Microsoft Office Word</Application>
  <DocSecurity>0</DocSecurity>
  <Lines>39</Lines>
  <Paragraphs>11</Paragraphs>
  <ScaleCrop>false</ScaleCrop>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webuser</dc:creator>
  <cp:keywords/>
  <dc:description/>
  <cp:lastModifiedBy>dong tian</cp:lastModifiedBy>
  <cp:revision>13</cp:revision>
  <dcterms:created xsi:type="dcterms:W3CDTF">2026-07-29T03:15:00Z</dcterms:created>
  <dcterms:modified xsi:type="dcterms:W3CDTF">2026-08-10T14:57:00Z</dcterms:modified>
</cp:coreProperties>
</file>