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9E3" w:rsidRDefault="000359E3" w:rsidP="00D0786E">
      <w:pPr>
        <w:jc w:val="both"/>
        <w:rPr>
          <w:b/>
          <w:sz w:val="28"/>
          <w:szCs w:val="28"/>
          <w:u w:val="single"/>
        </w:rPr>
      </w:pPr>
    </w:p>
    <w:p w:rsidR="000359E3" w:rsidRPr="00BC4BD6" w:rsidRDefault="00CC5804" w:rsidP="000359E3">
      <w:pPr>
        <w:spacing w:line="480" w:lineRule="auto"/>
        <w:jc w:val="center"/>
        <w:rPr>
          <w:b/>
        </w:rPr>
      </w:pPr>
      <w:r>
        <w:rPr>
          <w:b/>
        </w:rPr>
        <w:t>Additional file 1</w:t>
      </w:r>
    </w:p>
    <w:p w:rsidR="000359E3" w:rsidRDefault="000359E3" w:rsidP="000359E3">
      <w:pPr>
        <w:spacing w:line="480" w:lineRule="auto"/>
        <w:jc w:val="center"/>
      </w:pPr>
    </w:p>
    <w:p w:rsidR="000359E3" w:rsidRDefault="000359E3" w:rsidP="000359E3">
      <w:pPr>
        <w:spacing w:line="480" w:lineRule="auto"/>
        <w:jc w:val="center"/>
      </w:pPr>
    </w:p>
    <w:p w:rsidR="000359E3" w:rsidRPr="000359E3" w:rsidRDefault="000359E3" w:rsidP="000359E3">
      <w:pPr>
        <w:spacing w:line="480" w:lineRule="auto"/>
        <w:jc w:val="center"/>
      </w:pPr>
    </w:p>
    <w:p w:rsidR="000359E3" w:rsidRPr="000359E3" w:rsidRDefault="000359E3" w:rsidP="000359E3">
      <w:pPr>
        <w:ind w:left="142"/>
        <w:jc w:val="center"/>
        <w:rPr>
          <w:shd w:val="clear" w:color="auto" w:fill="FFFFFF"/>
        </w:rPr>
      </w:pPr>
      <w:r w:rsidRPr="000359E3">
        <w:rPr>
          <w:color w:val="222222"/>
          <w:shd w:val="clear" w:color="auto" w:fill="FFFFFF"/>
        </w:rPr>
        <w:t>A systematic review on the rotational thrombelastometry (ROTEM</w:t>
      </w:r>
      <w:r w:rsidRPr="000359E3">
        <w:rPr>
          <w:color w:val="222222"/>
          <w:shd w:val="clear" w:color="auto" w:fill="FFFFFF"/>
          <w:vertAlign w:val="superscript"/>
        </w:rPr>
        <w:t>®</w:t>
      </w:r>
      <w:r w:rsidRPr="000359E3">
        <w:rPr>
          <w:color w:val="222222"/>
          <w:shd w:val="clear" w:color="auto" w:fill="FFFFFF"/>
        </w:rPr>
        <w:t>) values for the diagnosis of coagulopathy, prediction and guidance of blood transfusion and prediction of mortality in trauma patients</w:t>
      </w:r>
    </w:p>
    <w:p w:rsidR="000359E3" w:rsidRDefault="000359E3" w:rsidP="000359E3">
      <w:pPr>
        <w:spacing w:line="480" w:lineRule="auto"/>
        <w:jc w:val="center"/>
      </w:pPr>
    </w:p>
    <w:p w:rsidR="000359E3" w:rsidRDefault="000359E3" w:rsidP="000359E3">
      <w:pPr>
        <w:spacing w:line="480" w:lineRule="auto"/>
        <w:jc w:val="center"/>
      </w:pPr>
    </w:p>
    <w:p w:rsidR="000359E3" w:rsidRDefault="000359E3" w:rsidP="000359E3">
      <w:pPr>
        <w:spacing w:line="480" w:lineRule="auto"/>
        <w:jc w:val="center"/>
      </w:pPr>
    </w:p>
    <w:p w:rsidR="000359E3" w:rsidRDefault="000359E3" w:rsidP="000359E3">
      <w:pPr>
        <w:spacing w:line="480" w:lineRule="auto"/>
        <w:jc w:val="center"/>
      </w:pPr>
    </w:p>
    <w:p w:rsidR="000359E3" w:rsidRDefault="000359E3" w:rsidP="000359E3">
      <w:pPr>
        <w:spacing w:line="480" w:lineRule="auto"/>
        <w:jc w:val="center"/>
        <w:rPr>
          <w:lang w:val="pt-BR"/>
        </w:rPr>
      </w:pPr>
      <w:r>
        <w:rPr>
          <w:lang w:val="pt-BR"/>
        </w:rPr>
        <w:t xml:space="preserve">Precilla V Veigas, Jeannie Callum, Sandro Rizoli, </w:t>
      </w:r>
    </w:p>
    <w:p w:rsidR="000359E3" w:rsidRPr="000359E3" w:rsidRDefault="000359E3" w:rsidP="000359E3">
      <w:pPr>
        <w:spacing w:line="480" w:lineRule="auto"/>
        <w:jc w:val="center"/>
        <w:rPr>
          <w:lang w:val="pt-BR"/>
        </w:rPr>
      </w:pPr>
      <w:r w:rsidRPr="003036B3">
        <w:rPr>
          <w:lang w:val="pt-BR"/>
        </w:rPr>
        <w:t xml:space="preserve">Bartolomeu Nascimento, </w:t>
      </w:r>
      <w:r>
        <w:rPr>
          <w:lang w:val="pt-BR"/>
        </w:rPr>
        <w:t>Luis Teodoro da Luz</w:t>
      </w:r>
    </w:p>
    <w:p w:rsidR="000359E3" w:rsidRDefault="000359E3" w:rsidP="000359E3">
      <w:pPr>
        <w:spacing w:line="480" w:lineRule="auto"/>
        <w:ind w:firstLine="720"/>
      </w:pPr>
      <w:r w:rsidRPr="000359E3">
        <w:br w:type="page"/>
      </w:r>
      <w:r>
        <w:lastRenderedPageBreak/>
        <w:t xml:space="preserve">This supplement provides details of the search strategy for this systematic review. It also provides a list of included and excluded studies. </w:t>
      </w:r>
    </w:p>
    <w:p w:rsidR="00D0786E" w:rsidRDefault="00D0786E" w:rsidP="00D0786E">
      <w:pPr>
        <w:jc w:val="both"/>
      </w:pPr>
    </w:p>
    <w:p w:rsidR="00D0786E" w:rsidRDefault="000359E3" w:rsidP="00D0786E">
      <w:pPr>
        <w:jc w:val="both"/>
        <w:rPr>
          <w:b/>
        </w:rPr>
      </w:pPr>
      <w:r>
        <w:rPr>
          <w:b/>
        </w:rPr>
        <w:t xml:space="preserve">1 - </w:t>
      </w:r>
      <w:r w:rsidR="00D0786E" w:rsidRPr="00D0786E">
        <w:rPr>
          <w:b/>
        </w:rPr>
        <w:t>D</w:t>
      </w:r>
      <w:r w:rsidR="00106F43">
        <w:rPr>
          <w:b/>
        </w:rPr>
        <w:t>ata sources and search strategy</w:t>
      </w:r>
    </w:p>
    <w:p w:rsidR="00A71557" w:rsidRPr="00D0786E" w:rsidRDefault="00A71557" w:rsidP="00D0786E">
      <w:pPr>
        <w:jc w:val="both"/>
        <w:rPr>
          <w:b/>
        </w:rPr>
      </w:pPr>
    </w:p>
    <w:p w:rsidR="0061211E" w:rsidRPr="000F45D5" w:rsidRDefault="0061211E" w:rsidP="0061211E">
      <w:pPr>
        <w:pStyle w:val="PlainText"/>
        <w:rPr>
          <w:rFonts w:ascii="Arial" w:hAnsi="Arial" w:cs="Arial"/>
          <w:b/>
          <w:sz w:val="24"/>
          <w:szCs w:val="24"/>
        </w:rPr>
      </w:pPr>
      <w:r w:rsidRPr="000F45D5">
        <w:rPr>
          <w:rFonts w:ascii="Arial" w:hAnsi="Arial" w:cs="Arial"/>
          <w:b/>
          <w:sz w:val="24"/>
          <w:szCs w:val="24"/>
        </w:rPr>
        <w:t>Database: Ovid MEDLINE(R) &lt;1946 to March Week 2 2016&gt;</w:t>
      </w:r>
    </w:p>
    <w:p w:rsidR="0061211E" w:rsidRPr="00DF7666" w:rsidRDefault="0061211E" w:rsidP="0061211E">
      <w:pPr>
        <w:pStyle w:val="PlainText"/>
        <w:rPr>
          <w:rFonts w:ascii="Arial" w:hAnsi="Arial" w:cs="Arial"/>
          <w:sz w:val="24"/>
          <w:szCs w:val="24"/>
        </w:rPr>
      </w:pPr>
      <w:r w:rsidRPr="00DF7666">
        <w:rPr>
          <w:rFonts w:ascii="Arial" w:hAnsi="Arial" w:cs="Arial"/>
          <w:sz w:val="24"/>
          <w:szCs w:val="24"/>
        </w:rPr>
        <w:t>----------------------------------------------------------------------</w:t>
      </w:r>
      <w:r w:rsidR="000F45D5">
        <w:rPr>
          <w:rFonts w:ascii="Arial" w:hAnsi="Arial" w:cs="Arial"/>
          <w:sz w:val="24"/>
          <w:szCs w:val="24"/>
        </w:rPr>
        <w:t>----</w:t>
      </w:r>
      <w:r w:rsidRPr="00DF7666">
        <w:rPr>
          <w:rFonts w:ascii="Arial" w:hAnsi="Arial" w:cs="Arial"/>
          <w:sz w:val="24"/>
          <w:szCs w:val="24"/>
        </w:rPr>
        <w:t>----------</w:t>
      </w:r>
    </w:p>
    <w:p w:rsidR="0061211E" w:rsidRPr="00DF7666" w:rsidRDefault="0061211E" w:rsidP="0061211E">
      <w:pPr>
        <w:pStyle w:val="PlainText"/>
        <w:rPr>
          <w:rFonts w:ascii="Arial" w:hAnsi="Arial" w:cs="Arial"/>
          <w:sz w:val="24"/>
          <w:szCs w:val="24"/>
        </w:rPr>
      </w:pPr>
      <w:r w:rsidRPr="00DF7666">
        <w:rPr>
          <w:rFonts w:ascii="Arial" w:hAnsi="Arial" w:cs="Arial"/>
          <w:sz w:val="24"/>
          <w:szCs w:val="24"/>
        </w:rPr>
        <w:t>1     exp Thrombelastography/ (4040)</w:t>
      </w:r>
    </w:p>
    <w:p w:rsidR="0061211E" w:rsidRPr="00DF7666" w:rsidRDefault="0061211E" w:rsidP="0061211E">
      <w:pPr>
        <w:pStyle w:val="PlainText"/>
        <w:rPr>
          <w:rFonts w:ascii="Arial" w:hAnsi="Arial" w:cs="Arial"/>
          <w:sz w:val="24"/>
          <w:szCs w:val="24"/>
        </w:rPr>
      </w:pPr>
      <w:r w:rsidRPr="00DF7666">
        <w:rPr>
          <w:rFonts w:ascii="Arial" w:hAnsi="Arial" w:cs="Arial"/>
          <w:sz w:val="24"/>
          <w:szCs w:val="24"/>
        </w:rPr>
        <w:t>2     (thromb</w:t>
      </w:r>
      <w:proofErr w:type="gramStart"/>
      <w:r w:rsidRPr="00DF7666">
        <w:rPr>
          <w:rFonts w:ascii="Arial" w:hAnsi="Arial" w:cs="Arial"/>
          <w:sz w:val="24"/>
          <w:szCs w:val="24"/>
        </w:rPr>
        <w:t>?elastometr</w:t>
      </w:r>
      <w:proofErr w:type="gramEnd"/>
      <w:r w:rsidRPr="00DF7666">
        <w:rPr>
          <w:rFonts w:ascii="Arial" w:hAnsi="Arial" w:cs="Arial"/>
          <w:sz w:val="24"/>
          <w:szCs w:val="24"/>
        </w:rPr>
        <w:t>* or thromb?elastogra* or (thromb* adj2 elastometr*) or (thromb* adj2 elastogr*) or ROTEM or TEG</w:t>
      </w:r>
    </w:p>
    <w:p w:rsidR="0061211E" w:rsidRPr="00DF7666" w:rsidRDefault="0061211E" w:rsidP="0061211E">
      <w:pPr>
        <w:pStyle w:val="PlainText"/>
        <w:rPr>
          <w:rFonts w:ascii="Arial" w:hAnsi="Arial" w:cs="Arial"/>
          <w:sz w:val="24"/>
          <w:szCs w:val="24"/>
        </w:rPr>
      </w:pPr>
      <w:proofErr w:type="gramStart"/>
      <w:r w:rsidRPr="00DF7666">
        <w:rPr>
          <w:rFonts w:ascii="Arial" w:hAnsi="Arial" w:cs="Arial"/>
          <w:sz w:val="24"/>
          <w:szCs w:val="24"/>
        </w:rPr>
        <w:t>or</w:t>
      </w:r>
      <w:proofErr w:type="gramEnd"/>
      <w:r w:rsidRPr="00DF7666">
        <w:rPr>
          <w:rFonts w:ascii="Arial" w:hAnsi="Arial" w:cs="Arial"/>
          <w:sz w:val="24"/>
          <w:szCs w:val="24"/>
        </w:rPr>
        <w:t xml:space="preserve"> ROTEG).mp. [</w:t>
      </w:r>
      <w:proofErr w:type="gramStart"/>
      <w:r w:rsidRPr="00DF7666">
        <w:rPr>
          <w:rFonts w:ascii="Arial" w:hAnsi="Arial" w:cs="Arial"/>
          <w:sz w:val="24"/>
          <w:szCs w:val="24"/>
        </w:rPr>
        <w:t>mp=</w:t>
      </w:r>
      <w:proofErr w:type="gramEnd"/>
      <w:r w:rsidRPr="00DF7666">
        <w:rPr>
          <w:rFonts w:ascii="Arial" w:hAnsi="Arial" w:cs="Arial"/>
          <w:sz w:val="24"/>
          <w:szCs w:val="24"/>
        </w:rPr>
        <w:t>title, abstract, original title, name of substance word, subject heading word, keyword heading word,</w:t>
      </w:r>
    </w:p>
    <w:p w:rsidR="0061211E" w:rsidRPr="00DF7666" w:rsidRDefault="0061211E" w:rsidP="0061211E">
      <w:pPr>
        <w:pStyle w:val="PlainText"/>
        <w:rPr>
          <w:rFonts w:ascii="Arial" w:hAnsi="Arial" w:cs="Arial"/>
          <w:sz w:val="24"/>
          <w:szCs w:val="24"/>
        </w:rPr>
      </w:pPr>
      <w:proofErr w:type="gramStart"/>
      <w:r w:rsidRPr="00DF7666">
        <w:rPr>
          <w:rFonts w:ascii="Arial" w:hAnsi="Arial" w:cs="Arial"/>
          <w:sz w:val="24"/>
          <w:szCs w:val="24"/>
        </w:rPr>
        <w:t>protocol</w:t>
      </w:r>
      <w:proofErr w:type="gramEnd"/>
      <w:r w:rsidRPr="00DF7666">
        <w:rPr>
          <w:rFonts w:ascii="Arial" w:hAnsi="Arial" w:cs="Arial"/>
          <w:sz w:val="24"/>
          <w:szCs w:val="24"/>
        </w:rPr>
        <w:t xml:space="preserve"> supplementary concept word, rare disease supplementary concept word, unique identifier] (5234)</w:t>
      </w:r>
    </w:p>
    <w:p w:rsidR="0061211E" w:rsidRPr="00DF7666" w:rsidRDefault="0061211E" w:rsidP="0061211E">
      <w:pPr>
        <w:pStyle w:val="PlainText"/>
        <w:rPr>
          <w:rFonts w:ascii="Arial" w:hAnsi="Arial" w:cs="Arial"/>
          <w:sz w:val="24"/>
          <w:szCs w:val="24"/>
        </w:rPr>
      </w:pPr>
      <w:r w:rsidRPr="00DF7666">
        <w:rPr>
          <w:rFonts w:ascii="Arial" w:hAnsi="Arial" w:cs="Arial"/>
          <w:sz w:val="24"/>
          <w:szCs w:val="24"/>
        </w:rPr>
        <w:t>3     1 or 2 [ROTEM] (5234)</w:t>
      </w:r>
    </w:p>
    <w:p w:rsidR="0061211E" w:rsidRPr="00DF7666" w:rsidRDefault="0061211E" w:rsidP="0061211E">
      <w:pPr>
        <w:pStyle w:val="PlainText"/>
        <w:rPr>
          <w:rFonts w:ascii="Arial" w:hAnsi="Arial" w:cs="Arial"/>
          <w:sz w:val="24"/>
          <w:szCs w:val="24"/>
        </w:rPr>
      </w:pPr>
      <w:r w:rsidRPr="00DF7666">
        <w:rPr>
          <w:rFonts w:ascii="Arial" w:hAnsi="Arial" w:cs="Arial"/>
          <w:sz w:val="24"/>
          <w:szCs w:val="24"/>
        </w:rPr>
        <w:t>4     Trauma.mp. [</w:t>
      </w:r>
      <w:proofErr w:type="gramStart"/>
      <w:r w:rsidRPr="00DF7666">
        <w:rPr>
          <w:rFonts w:ascii="Arial" w:hAnsi="Arial" w:cs="Arial"/>
          <w:sz w:val="24"/>
          <w:szCs w:val="24"/>
        </w:rPr>
        <w:t>mp=</w:t>
      </w:r>
      <w:proofErr w:type="gramEnd"/>
      <w:r w:rsidRPr="00DF7666">
        <w:rPr>
          <w:rFonts w:ascii="Arial" w:hAnsi="Arial" w:cs="Arial"/>
          <w:sz w:val="24"/>
          <w:szCs w:val="24"/>
        </w:rPr>
        <w:t>title, abstract, original title, name of substance word, subject heading word, keyword heading</w:t>
      </w:r>
    </w:p>
    <w:p w:rsidR="0061211E" w:rsidRPr="00DF7666" w:rsidRDefault="0061211E" w:rsidP="0061211E">
      <w:pPr>
        <w:pStyle w:val="PlainText"/>
        <w:rPr>
          <w:rFonts w:ascii="Arial" w:hAnsi="Arial" w:cs="Arial"/>
          <w:sz w:val="24"/>
          <w:szCs w:val="24"/>
        </w:rPr>
      </w:pPr>
      <w:proofErr w:type="gramStart"/>
      <w:r w:rsidRPr="00DF7666">
        <w:rPr>
          <w:rFonts w:ascii="Arial" w:hAnsi="Arial" w:cs="Arial"/>
          <w:sz w:val="24"/>
          <w:szCs w:val="24"/>
        </w:rPr>
        <w:t>word</w:t>
      </w:r>
      <w:proofErr w:type="gramEnd"/>
      <w:r w:rsidRPr="00DF7666">
        <w:rPr>
          <w:rFonts w:ascii="Arial" w:hAnsi="Arial" w:cs="Arial"/>
          <w:sz w:val="24"/>
          <w:szCs w:val="24"/>
        </w:rPr>
        <w:t>, protocol supplementary concept word, rare disease supplementary concept word, unique identifier] (185523)</w:t>
      </w:r>
    </w:p>
    <w:p w:rsidR="0061211E" w:rsidRPr="00DF7666" w:rsidRDefault="0061211E" w:rsidP="0061211E">
      <w:pPr>
        <w:pStyle w:val="PlainText"/>
        <w:rPr>
          <w:rFonts w:ascii="Arial" w:hAnsi="Arial" w:cs="Arial"/>
          <w:sz w:val="24"/>
          <w:szCs w:val="24"/>
        </w:rPr>
      </w:pPr>
      <w:r w:rsidRPr="00DF7666">
        <w:rPr>
          <w:rFonts w:ascii="Arial" w:hAnsi="Arial" w:cs="Arial"/>
          <w:sz w:val="24"/>
          <w:szCs w:val="24"/>
        </w:rPr>
        <w:t>5     exp Trauma Centers/ (7479)</w:t>
      </w:r>
    </w:p>
    <w:p w:rsidR="0061211E" w:rsidRPr="00DF7666" w:rsidRDefault="0061211E" w:rsidP="0061211E">
      <w:pPr>
        <w:pStyle w:val="PlainText"/>
        <w:rPr>
          <w:rFonts w:ascii="Arial" w:hAnsi="Arial" w:cs="Arial"/>
          <w:sz w:val="24"/>
          <w:szCs w:val="24"/>
        </w:rPr>
      </w:pPr>
      <w:r w:rsidRPr="00DF7666">
        <w:rPr>
          <w:rFonts w:ascii="Arial" w:hAnsi="Arial" w:cs="Arial"/>
          <w:sz w:val="24"/>
          <w:szCs w:val="24"/>
        </w:rPr>
        <w:t>6     4 or 5 [TRAUMA] (185523)</w:t>
      </w:r>
    </w:p>
    <w:p w:rsidR="0061211E" w:rsidRPr="00DF7666" w:rsidRDefault="0061211E" w:rsidP="0061211E">
      <w:pPr>
        <w:pStyle w:val="PlainText"/>
        <w:rPr>
          <w:rFonts w:ascii="Arial" w:hAnsi="Arial" w:cs="Arial"/>
          <w:sz w:val="24"/>
          <w:szCs w:val="24"/>
        </w:rPr>
      </w:pPr>
      <w:r w:rsidRPr="00DF7666">
        <w:rPr>
          <w:rFonts w:ascii="Arial" w:hAnsi="Arial" w:cs="Arial"/>
          <w:sz w:val="24"/>
          <w:szCs w:val="24"/>
        </w:rPr>
        <w:t>7     3 and 6 (365)</w:t>
      </w:r>
    </w:p>
    <w:p w:rsidR="0061211E" w:rsidRPr="00DF7666" w:rsidRDefault="0061211E" w:rsidP="0061211E">
      <w:pPr>
        <w:pStyle w:val="PlainText"/>
        <w:rPr>
          <w:rFonts w:ascii="Arial" w:hAnsi="Arial" w:cs="Arial"/>
          <w:sz w:val="24"/>
          <w:szCs w:val="24"/>
        </w:rPr>
      </w:pPr>
      <w:r w:rsidRPr="00DF7666">
        <w:rPr>
          <w:rFonts w:ascii="Arial" w:hAnsi="Arial" w:cs="Arial"/>
          <w:sz w:val="24"/>
          <w:szCs w:val="24"/>
        </w:rPr>
        <w:t>8     limit 7 to yr="2015 -Current" (40)</w:t>
      </w:r>
    </w:p>
    <w:p w:rsidR="0061211E" w:rsidRPr="00DF7666" w:rsidRDefault="0061211E" w:rsidP="0061211E">
      <w:pPr>
        <w:pStyle w:val="PlainText"/>
        <w:rPr>
          <w:rFonts w:ascii="Arial" w:hAnsi="Arial" w:cs="Arial"/>
          <w:sz w:val="24"/>
          <w:szCs w:val="24"/>
        </w:rPr>
      </w:pPr>
      <w:r w:rsidRPr="00DF7666">
        <w:rPr>
          <w:rFonts w:ascii="Arial" w:hAnsi="Arial" w:cs="Arial"/>
          <w:sz w:val="24"/>
          <w:szCs w:val="24"/>
        </w:rPr>
        <w:t>9     remove duplicates from 8 (35)</w:t>
      </w:r>
    </w:p>
    <w:p w:rsidR="0061211E" w:rsidRPr="00DF7666" w:rsidRDefault="000F45D5" w:rsidP="0061211E">
      <w:pPr>
        <w:pStyle w:val="PlainTex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   </w:t>
      </w:r>
      <w:r w:rsidR="0061211E" w:rsidRPr="00DF7666">
        <w:rPr>
          <w:rFonts w:ascii="Arial" w:hAnsi="Arial" w:cs="Arial"/>
          <w:sz w:val="24"/>
          <w:szCs w:val="24"/>
        </w:rPr>
        <w:t xml:space="preserve">limit </w:t>
      </w:r>
      <w:proofErr w:type="gramStart"/>
      <w:r w:rsidR="0061211E" w:rsidRPr="00DF7666">
        <w:rPr>
          <w:rFonts w:ascii="Arial" w:hAnsi="Arial" w:cs="Arial"/>
          <w:sz w:val="24"/>
          <w:szCs w:val="24"/>
        </w:rPr>
        <w:t>9</w:t>
      </w:r>
      <w:proofErr w:type="gramEnd"/>
      <w:r w:rsidR="0061211E" w:rsidRPr="00DF7666">
        <w:rPr>
          <w:rFonts w:ascii="Arial" w:hAnsi="Arial" w:cs="Arial"/>
          <w:sz w:val="24"/>
          <w:szCs w:val="24"/>
        </w:rPr>
        <w:t xml:space="preserve"> to english language (35)</w:t>
      </w:r>
    </w:p>
    <w:p w:rsidR="00D0786E" w:rsidRDefault="00D0786E" w:rsidP="00D0786E">
      <w:pPr>
        <w:pStyle w:val="PlainText"/>
        <w:rPr>
          <w:rFonts w:ascii="Times New Roman" w:hAnsi="Times New Roman"/>
          <w:sz w:val="24"/>
          <w:szCs w:val="24"/>
        </w:rPr>
      </w:pPr>
    </w:p>
    <w:p w:rsidR="007E2475" w:rsidRDefault="007E2475" w:rsidP="00D0786E">
      <w:pPr>
        <w:pStyle w:val="PlainText"/>
        <w:rPr>
          <w:rFonts w:ascii="Times New Roman" w:hAnsi="Times New Roman"/>
          <w:sz w:val="24"/>
          <w:szCs w:val="24"/>
        </w:rPr>
      </w:pPr>
    </w:p>
    <w:p w:rsidR="0061211E" w:rsidRPr="000F45D5" w:rsidRDefault="0061211E" w:rsidP="0061211E">
      <w:pPr>
        <w:pStyle w:val="PlainText"/>
        <w:rPr>
          <w:rFonts w:ascii="Arial" w:hAnsi="Arial" w:cs="Arial"/>
          <w:b/>
          <w:sz w:val="24"/>
          <w:szCs w:val="24"/>
        </w:rPr>
      </w:pPr>
      <w:r w:rsidRPr="000F45D5">
        <w:rPr>
          <w:rFonts w:ascii="Arial" w:hAnsi="Arial" w:cs="Arial"/>
          <w:b/>
          <w:sz w:val="24"/>
          <w:szCs w:val="24"/>
        </w:rPr>
        <w:t>Database: Embase Classic+Embase &lt;1947 to 2016 Week 12&gt;</w:t>
      </w:r>
    </w:p>
    <w:p w:rsidR="0061211E" w:rsidRPr="00DF7666" w:rsidRDefault="0061211E" w:rsidP="0061211E">
      <w:pPr>
        <w:pStyle w:val="PlainText"/>
        <w:rPr>
          <w:rFonts w:ascii="Arial" w:hAnsi="Arial" w:cs="Arial"/>
          <w:sz w:val="24"/>
          <w:szCs w:val="24"/>
        </w:rPr>
      </w:pPr>
      <w:r w:rsidRPr="00DF7666">
        <w:rPr>
          <w:rFonts w:ascii="Arial" w:hAnsi="Arial" w:cs="Arial"/>
          <w:sz w:val="24"/>
          <w:szCs w:val="24"/>
        </w:rPr>
        <w:t>------------------------------------------------------------------------</w:t>
      </w:r>
      <w:r w:rsidR="000F45D5">
        <w:rPr>
          <w:rFonts w:ascii="Arial" w:hAnsi="Arial" w:cs="Arial"/>
          <w:sz w:val="24"/>
          <w:szCs w:val="24"/>
        </w:rPr>
        <w:t>-------</w:t>
      </w:r>
      <w:r w:rsidRPr="00DF7666">
        <w:rPr>
          <w:rFonts w:ascii="Arial" w:hAnsi="Arial" w:cs="Arial"/>
          <w:sz w:val="24"/>
          <w:szCs w:val="24"/>
        </w:rPr>
        <w:t>--------</w:t>
      </w:r>
    </w:p>
    <w:p w:rsidR="0061211E" w:rsidRPr="00DF7666" w:rsidRDefault="0061211E" w:rsidP="0061211E">
      <w:pPr>
        <w:pStyle w:val="PlainText"/>
        <w:rPr>
          <w:rFonts w:ascii="Arial" w:hAnsi="Arial" w:cs="Arial"/>
          <w:sz w:val="24"/>
          <w:szCs w:val="24"/>
        </w:rPr>
      </w:pPr>
      <w:r w:rsidRPr="00DF7666">
        <w:rPr>
          <w:rFonts w:ascii="Arial" w:hAnsi="Arial" w:cs="Arial"/>
          <w:sz w:val="24"/>
          <w:szCs w:val="24"/>
        </w:rPr>
        <w:t>1     exp Thrombelastography/ (6716)</w:t>
      </w:r>
    </w:p>
    <w:p w:rsidR="0061211E" w:rsidRPr="00DF7666" w:rsidRDefault="0061211E" w:rsidP="0061211E">
      <w:pPr>
        <w:pStyle w:val="PlainText"/>
        <w:rPr>
          <w:rFonts w:ascii="Arial" w:hAnsi="Arial" w:cs="Arial"/>
          <w:sz w:val="24"/>
          <w:szCs w:val="24"/>
        </w:rPr>
      </w:pPr>
      <w:r w:rsidRPr="00DF7666">
        <w:rPr>
          <w:rFonts w:ascii="Arial" w:hAnsi="Arial" w:cs="Arial"/>
          <w:sz w:val="24"/>
          <w:szCs w:val="24"/>
        </w:rPr>
        <w:t>2     (thromb</w:t>
      </w:r>
      <w:proofErr w:type="gramStart"/>
      <w:r w:rsidRPr="00DF7666">
        <w:rPr>
          <w:rFonts w:ascii="Arial" w:hAnsi="Arial" w:cs="Arial"/>
          <w:sz w:val="24"/>
          <w:szCs w:val="24"/>
        </w:rPr>
        <w:t>?elastometr</w:t>
      </w:r>
      <w:proofErr w:type="gramEnd"/>
      <w:r w:rsidRPr="00DF7666">
        <w:rPr>
          <w:rFonts w:ascii="Arial" w:hAnsi="Arial" w:cs="Arial"/>
          <w:sz w:val="24"/>
          <w:szCs w:val="24"/>
        </w:rPr>
        <w:t>* or thromb?elastogra* or (thromb* adj2 elastometr*) or (thromb* adj2 elastogr*) or ROTEM or TEG</w:t>
      </w:r>
    </w:p>
    <w:p w:rsidR="0061211E" w:rsidRPr="00DF7666" w:rsidRDefault="0061211E" w:rsidP="0061211E">
      <w:pPr>
        <w:pStyle w:val="PlainText"/>
        <w:rPr>
          <w:rFonts w:ascii="Arial" w:hAnsi="Arial" w:cs="Arial"/>
          <w:sz w:val="24"/>
          <w:szCs w:val="24"/>
        </w:rPr>
      </w:pPr>
      <w:proofErr w:type="gramStart"/>
      <w:r w:rsidRPr="00DF7666">
        <w:rPr>
          <w:rFonts w:ascii="Arial" w:hAnsi="Arial" w:cs="Arial"/>
          <w:sz w:val="24"/>
          <w:szCs w:val="24"/>
        </w:rPr>
        <w:t>or</w:t>
      </w:r>
      <w:proofErr w:type="gramEnd"/>
      <w:r w:rsidRPr="00DF7666">
        <w:rPr>
          <w:rFonts w:ascii="Arial" w:hAnsi="Arial" w:cs="Arial"/>
          <w:sz w:val="24"/>
          <w:szCs w:val="24"/>
        </w:rPr>
        <w:t xml:space="preserve"> ROTEG).mp. [</w:t>
      </w:r>
      <w:proofErr w:type="gramStart"/>
      <w:r w:rsidRPr="00DF7666">
        <w:rPr>
          <w:rFonts w:ascii="Arial" w:hAnsi="Arial" w:cs="Arial"/>
          <w:sz w:val="24"/>
          <w:szCs w:val="24"/>
        </w:rPr>
        <w:t>mp=</w:t>
      </w:r>
      <w:proofErr w:type="gramEnd"/>
      <w:r w:rsidRPr="00DF7666">
        <w:rPr>
          <w:rFonts w:ascii="Arial" w:hAnsi="Arial" w:cs="Arial"/>
          <w:sz w:val="24"/>
          <w:szCs w:val="24"/>
        </w:rPr>
        <w:t>title, abstract, heading word, drug trade name, original title, device manufacturer, drug</w:t>
      </w:r>
    </w:p>
    <w:p w:rsidR="0061211E" w:rsidRPr="00DF7666" w:rsidRDefault="0061211E" w:rsidP="0061211E">
      <w:pPr>
        <w:pStyle w:val="PlainText"/>
        <w:rPr>
          <w:rFonts w:ascii="Arial" w:hAnsi="Arial" w:cs="Arial"/>
          <w:sz w:val="24"/>
          <w:szCs w:val="24"/>
        </w:rPr>
      </w:pPr>
      <w:proofErr w:type="gramStart"/>
      <w:r w:rsidRPr="00DF7666">
        <w:rPr>
          <w:rFonts w:ascii="Arial" w:hAnsi="Arial" w:cs="Arial"/>
          <w:sz w:val="24"/>
          <w:szCs w:val="24"/>
        </w:rPr>
        <w:t>manufacturer</w:t>
      </w:r>
      <w:proofErr w:type="gramEnd"/>
      <w:r w:rsidRPr="00DF7666">
        <w:rPr>
          <w:rFonts w:ascii="Arial" w:hAnsi="Arial" w:cs="Arial"/>
          <w:sz w:val="24"/>
          <w:szCs w:val="24"/>
        </w:rPr>
        <w:t>, device trade name, keyword] (9720)</w:t>
      </w:r>
    </w:p>
    <w:p w:rsidR="0061211E" w:rsidRPr="00DF7666" w:rsidRDefault="0061211E" w:rsidP="0061211E">
      <w:pPr>
        <w:pStyle w:val="PlainText"/>
        <w:rPr>
          <w:rFonts w:ascii="Arial" w:hAnsi="Arial" w:cs="Arial"/>
          <w:sz w:val="24"/>
          <w:szCs w:val="24"/>
        </w:rPr>
      </w:pPr>
      <w:r w:rsidRPr="00DF7666">
        <w:rPr>
          <w:rFonts w:ascii="Arial" w:hAnsi="Arial" w:cs="Arial"/>
          <w:sz w:val="24"/>
          <w:szCs w:val="24"/>
        </w:rPr>
        <w:t>3     1 or 2 [ROTEM] (9720)</w:t>
      </w:r>
    </w:p>
    <w:p w:rsidR="0061211E" w:rsidRPr="00DF7666" w:rsidRDefault="0061211E" w:rsidP="0061211E">
      <w:pPr>
        <w:pStyle w:val="PlainText"/>
        <w:rPr>
          <w:rFonts w:ascii="Arial" w:hAnsi="Arial" w:cs="Arial"/>
          <w:sz w:val="24"/>
          <w:szCs w:val="24"/>
        </w:rPr>
      </w:pPr>
      <w:r w:rsidRPr="00DF7666">
        <w:rPr>
          <w:rFonts w:ascii="Arial" w:hAnsi="Arial" w:cs="Arial"/>
          <w:sz w:val="24"/>
          <w:szCs w:val="24"/>
        </w:rPr>
        <w:t>4     Trauma.mp. [</w:t>
      </w:r>
      <w:proofErr w:type="gramStart"/>
      <w:r w:rsidRPr="00DF7666">
        <w:rPr>
          <w:rFonts w:ascii="Arial" w:hAnsi="Arial" w:cs="Arial"/>
          <w:sz w:val="24"/>
          <w:szCs w:val="24"/>
        </w:rPr>
        <w:t>mp=</w:t>
      </w:r>
      <w:proofErr w:type="gramEnd"/>
      <w:r w:rsidRPr="00DF7666">
        <w:rPr>
          <w:rFonts w:ascii="Arial" w:hAnsi="Arial" w:cs="Arial"/>
          <w:sz w:val="24"/>
          <w:szCs w:val="24"/>
        </w:rPr>
        <w:t>title, abstract, heading word, drug trade name, original title, device manufacturer, drug</w:t>
      </w:r>
    </w:p>
    <w:p w:rsidR="0061211E" w:rsidRPr="00DF7666" w:rsidRDefault="0061211E" w:rsidP="0061211E">
      <w:pPr>
        <w:pStyle w:val="PlainText"/>
        <w:rPr>
          <w:rFonts w:ascii="Arial" w:hAnsi="Arial" w:cs="Arial"/>
          <w:sz w:val="24"/>
          <w:szCs w:val="24"/>
        </w:rPr>
      </w:pPr>
      <w:proofErr w:type="gramStart"/>
      <w:r w:rsidRPr="00DF7666">
        <w:rPr>
          <w:rFonts w:ascii="Arial" w:hAnsi="Arial" w:cs="Arial"/>
          <w:sz w:val="24"/>
          <w:szCs w:val="24"/>
        </w:rPr>
        <w:t>manufacturer</w:t>
      </w:r>
      <w:proofErr w:type="gramEnd"/>
      <w:r w:rsidRPr="00DF7666">
        <w:rPr>
          <w:rFonts w:ascii="Arial" w:hAnsi="Arial" w:cs="Arial"/>
          <w:sz w:val="24"/>
          <w:szCs w:val="24"/>
        </w:rPr>
        <w:t>, device trade name, keyword] (270348)</w:t>
      </w:r>
    </w:p>
    <w:p w:rsidR="0061211E" w:rsidRPr="00DF7666" w:rsidRDefault="0061211E" w:rsidP="0061211E">
      <w:pPr>
        <w:pStyle w:val="PlainText"/>
        <w:rPr>
          <w:rFonts w:ascii="Arial" w:hAnsi="Arial" w:cs="Arial"/>
          <w:sz w:val="24"/>
          <w:szCs w:val="24"/>
        </w:rPr>
      </w:pPr>
      <w:r w:rsidRPr="00DF7666">
        <w:rPr>
          <w:rFonts w:ascii="Arial" w:hAnsi="Arial" w:cs="Arial"/>
          <w:sz w:val="24"/>
          <w:szCs w:val="24"/>
        </w:rPr>
        <w:t>5     exp traumatology/ (9989)</w:t>
      </w:r>
    </w:p>
    <w:p w:rsidR="0061211E" w:rsidRPr="00DF7666" w:rsidRDefault="0061211E" w:rsidP="0061211E">
      <w:pPr>
        <w:pStyle w:val="PlainText"/>
        <w:rPr>
          <w:rFonts w:ascii="Arial" w:hAnsi="Arial" w:cs="Arial"/>
          <w:sz w:val="24"/>
          <w:szCs w:val="24"/>
        </w:rPr>
      </w:pPr>
      <w:r w:rsidRPr="00DF7666">
        <w:rPr>
          <w:rFonts w:ascii="Arial" w:hAnsi="Arial" w:cs="Arial"/>
          <w:sz w:val="24"/>
          <w:szCs w:val="24"/>
        </w:rPr>
        <w:t>6     exp emergency health service/ (76742)</w:t>
      </w:r>
    </w:p>
    <w:p w:rsidR="0061211E" w:rsidRPr="00DF7666" w:rsidRDefault="0061211E" w:rsidP="0061211E">
      <w:pPr>
        <w:pStyle w:val="PlainText"/>
        <w:rPr>
          <w:rFonts w:ascii="Arial" w:hAnsi="Arial" w:cs="Arial"/>
          <w:sz w:val="24"/>
          <w:szCs w:val="24"/>
        </w:rPr>
      </w:pPr>
      <w:r w:rsidRPr="00DF7666">
        <w:rPr>
          <w:rFonts w:ascii="Arial" w:hAnsi="Arial" w:cs="Arial"/>
          <w:sz w:val="24"/>
          <w:szCs w:val="24"/>
        </w:rPr>
        <w:t>7     4 or 5 or 6 [TRAUMA] (340246)</w:t>
      </w:r>
    </w:p>
    <w:p w:rsidR="0061211E" w:rsidRPr="00DF7666" w:rsidRDefault="0061211E" w:rsidP="0061211E">
      <w:pPr>
        <w:pStyle w:val="PlainText"/>
        <w:rPr>
          <w:rFonts w:ascii="Arial" w:hAnsi="Arial" w:cs="Arial"/>
          <w:sz w:val="24"/>
          <w:szCs w:val="24"/>
        </w:rPr>
      </w:pPr>
      <w:r w:rsidRPr="00DF7666">
        <w:rPr>
          <w:rFonts w:ascii="Arial" w:hAnsi="Arial" w:cs="Arial"/>
          <w:sz w:val="24"/>
          <w:szCs w:val="24"/>
        </w:rPr>
        <w:t>8     3 and 7 (852)</w:t>
      </w:r>
    </w:p>
    <w:p w:rsidR="0061211E" w:rsidRPr="00DF7666" w:rsidRDefault="0061211E" w:rsidP="0061211E">
      <w:pPr>
        <w:pStyle w:val="PlainText"/>
        <w:rPr>
          <w:rFonts w:ascii="Arial" w:hAnsi="Arial" w:cs="Arial"/>
          <w:sz w:val="24"/>
          <w:szCs w:val="24"/>
        </w:rPr>
      </w:pPr>
      <w:r w:rsidRPr="00DF7666">
        <w:rPr>
          <w:rFonts w:ascii="Arial" w:hAnsi="Arial" w:cs="Arial"/>
          <w:sz w:val="24"/>
          <w:szCs w:val="24"/>
        </w:rPr>
        <w:t>9     limit 8 to yr="2015 -Current" (122)</w:t>
      </w:r>
    </w:p>
    <w:p w:rsidR="0061211E" w:rsidRPr="00DF7666" w:rsidRDefault="0061211E" w:rsidP="0061211E">
      <w:pPr>
        <w:pStyle w:val="PlainText"/>
        <w:rPr>
          <w:rFonts w:ascii="Arial" w:hAnsi="Arial" w:cs="Arial"/>
          <w:sz w:val="24"/>
          <w:szCs w:val="24"/>
        </w:rPr>
      </w:pPr>
      <w:r w:rsidRPr="00DF7666">
        <w:rPr>
          <w:rFonts w:ascii="Arial" w:hAnsi="Arial" w:cs="Arial"/>
          <w:sz w:val="24"/>
          <w:szCs w:val="24"/>
        </w:rPr>
        <w:lastRenderedPageBreak/>
        <w:t>10     remove duplicates from 9 (121)</w:t>
      </w:r>
    </w:p>
    <w:p w:rsidR="0061211E" w:rsidRPr="00DF7666" w:rsidRDefault="0061211E" w:rsidP="0061211E">
      <w:pPr>
        <w:pStyle w:val="PlainText"/>
        <w:rPr>
          <w:rFonts w:ascii="Arial" w:hAnsi="Arial" w:cs="Arial"/>
          <w:sz w:val="24"/>
          <w:szCs w:val="24"/>
        </w:rPr>
      </w:pPr>
      <w:r w:rsidRPr="00DF7666">
        <w:rPr>
          <w:rFonts w:ascii="Arial" w:hAnsi="Arial" w:cs="Arial"/>
          <w:sz w:val="24"/>
          <w:szCs w:val="24"/>
        </w:rPr>
        <w:t xml:space="preserve">11     limit 10 to </w:t>
      </w:r>
      <w:proofErr w:type="gramStart"/>
      <w:r w:rsidRPr="00DF7666">
        <w:rPr>
          <w:rFonts w:ascii="Arial" w:hAnsi="Arial" w:cs="Arial"/>
          <w:sz w:val="24"/>
          <w:szCs w:val="24"/>
        </w:rPr>
        <w:t>english</w:t>
      </w:r>
      <w:proofErr w:type="gramEnd"/>
      <w:r w:rsidRPr="00DF7666">
        <w:rPr>
          <w:rFonts w:ascii="Arial" w:hAnsi="Arial" w:cs="Arial"/>
          <w:sz w:val="24"/>
          <w:szCs w:val="24"/>
        </w:rPr>
        <w:t xml:space="preserve"> language (119)</w:t>
      </w:r>
    </w:p>
    <w:p w:rsidR="0061211E" w:rsidRPr="00DF7666" w:rsidRDefault="0061211E" w:rsidP="0061211E">
      <w:pPr>
        <w:pStyle w:val="PlainText"/>
        <w:rPr>
          <w:rFonts w:ascii="Arial" w:hAnsi="Arial" w:cs="Arial"/>
          <w:sz w:val="24"/>
          <w:szCs w:val="24"/>
        </w:rPr>
      </w:pPr>
      <w:r w:rsidRPr="00DF7666">
        <w:rPr>
          <w:rFonts w:ascii="Arial" w:hAnsi="Arial" w:cs="Arial"/>
          <w:sz w:val="24"/>
          <w:szCs w:val="24"/>
        </w:rPr>
        <w:t>12     exp Thrombelastography/ (6716)</w:t>
      </w:r>
    </w:p>
    <w:p w:rsidR="0061211E" w:rsidRPr="00DF7666" w:rsidRDefault="0061211E" w:rsidP="0061211E">
      <w:pPr>
        <w:pStyle w:val="PlainText"/>
        <w:rPr>
          <w:rFonts w:ascii="Arial" w:hAnsi="Arial" w:cs="Arial"/>
          <w:sz w:val="24"/>
          <w:szCs w:val="24"/>
        </w:rPr>
      </w:pPr>
      <w:r w:rsidRPr="00DF7666">
        <w:rPr>
          <w:rFonts w:ascii="Arial" w:hAnsi="Arial" w:cs="Arial"/>
          <w:sz w:val="24"/>
          <w:szCs w:val="24"/>
        </w:rPr>
        <w:t>13     (thromb</w:t>
      </w:r>
      <w:proofErr w:type="gramStart"/>
      <w:r w:rsidRPr="00DF7666">
        <w:rPr>
          <w:rFonts w:ascii="Arial" w:hAnsi="Arial" w:cs="Arial"/>
          <w:sz w:val="24"/>
          <w:szCs w:val="24"/>
        </w:rPr>
        <w:t>?elastometr</w:t>
      </w:r>
      <w:proofErr w:type="gramEnd"/>
      <w:r w:rsidRPr="00DF7666">
        <w:rPr>
          <w:rFonts w:ascii="Arial" w:hAnsi="Arial" w:cs="Arial"/>
          <w:sz w:val="24"/>
          <w:szCs w:val="24"/>
        </w:rPr>
        <w:t>* or thromb?elastogra* or (thromb* adj2 elastometr*) or (thromb* adj2 elastogr*) or ROTEM or</w:t>
      </w:r>
    </w:p>
    <w:p w:rsidR="0061211E" w:rsidRPr="00DF7666" w:rsidRDefault="0061211E" w:rsidP="0061211E">
      <w:pPr>
        <w:pStyle w:val="PlainText"/>
        <w:rPr>
          <w:rFonts w:ascii="Arial" w:hAnsi="Arial" w:cs="Arial"/>
          <w:sz w:val="24"/>
          <w:szCs w:val="24"/>
        </w:rPr>
      </w:pPr>
      <w:proofErr w:type="gramStart"/>
      <w:r w:rsidRPr="00DF7666">
        <w:rPr>
          <w:rFonts w:ascii="Arial" w:hAnsi="Arial" w:cs="Arial"/>
          <w:sz w:val="24"/>
          <w:szCs w:val="24"/>
        </w:rPr>
        <w:t>TEG or ROTEG).mp.</w:t>
      </w:r>
      <w:proofErr w:type="gramEnd"/>
      <w:r w:rsidRPr="00DF7666">
        <w:rPr>
          <w:rFonts w:ascii="Arial" w:hAnsi="Arial" w:cs="Arial"/>
          <w:sz w:val="24"/>
          <w:szCs w:val="24"/>
        </w:rPr>
        <w:t xml:space="preserve"> [</w:t>
      </w:r>
      <w:proofErr w:type="gramStart"/>
      <w:r w:rsidRPr="00DF7666">
        <w:rPr>
          <w:rFonts w:ascii="Arial" w:hAnsi="Arial" w:cs="Arial"/>
          <w:sz w:val="24"/>
          <w:szCs w:val="24"/>
        </w:rPr>
        <w:t>mp=</w:t>
      </w:r>
      <w:proofErr w:type="gramEnd"/>
      <w:r w:rsidRPr="00DF7666">
        <w:rPr>
          <w:rFonts w:ascii="Arial" w:hAnsi="Arial" w:cs="Arial"/>
          <w:sz w:val="24"/>
          <w:szCs w:val="24"/>
        </w:rPr>
        <w:t>title, abstract, heading word, drug trade name, original title, device manufacturer, drug</w:t>
      </w:r>
    </w:p>
    <w:p w:rsidR="0061211E" w:rsidRPr="00DF7666" w:rsidRDefault="0061211E" w:rsidP="0061211E">
      <w:pPr>
        <w:pStyle w:val="PlainText"/>
        <w:rPr>
          <w:rFonts w:ascii="Arial" w:hAnsi="Arial" w:cs="Arial"/>
          <w:sz w:val="24"/>
          <w:szCs w:val="24"/>
        </w:rPr>
      </w:pPr>
      <w:proofErr w:type="gramStart"/>
      <w:r w:rsidRPr="00DF7666">
        <w:rPr>
          <w:rFonts w:ascii="Arial" w:hAnsi="Arial" w:cs="Arial"/>
          <w:sz w:val="24"/>
          <w:szCs w:val="24"/>
        </w:rPr>
        <w:t>manufacturer</w:t>
      </w:r>
      <w:proofErr w:type="gramEnd"/>
      <w:r w:rsidRPr="00DF7666">
        <w:rPr>
          <w:rFonts w:ascii="Arial" w:hAnsi="Arial" w:cs="Arial"/>
          <w:sz w:val="24"/>
          <w:szCs w:val="24"/>
        </w:rPr>
        <w:t>, device trade name, keyword] (9720)</w:t>
      </w:r>
    </w:p>
    <w:p w:rsidR="0061211E" w:rsidRPr="00DF7666" w:rsidRDefault="0061211E" w:rsidP="0061211E">
      <w:pPr>
        <w:pStyle w:val="PlainText"/>
        <w:rPr>
          <w:rFonts w:ascii="Arial" w:hAnsi="Arial" w:cs="Arial"/>
          <w:sz w:val="24"/>
          <w:szCs w:val="24"/>
        </w:rPr>
      </w:pPr>
      <w:r w:rsidRPr="00DF7666">
        <w:rPr>
          <w:rFonts w:ascii="Arial" w:hAnsi="Arial" w:cs="Arial"/>
          <w:sz w:val="24"/>
          <w:szCs w:val="24"/>
        </w:rPr>
        <w:t>14     12 or 13 [ROTEM] (9720)</w:t>
      </w:r>
    </w:p>
    <w:p w:rsidR="0061211E" w:rsidRPr="00DF7666" w:rsidRDefault="0061211E" w:rsidP="0061211E">
      <w:pPr>
        <w:pStyle w:val="PlainText"/>
        <w:rPr>
          <w:rFonts w:ascii="Arial" w:hAnsi="Arial" w:cs="Arial"/>
          <w:sz w:val="24"/>
          <w:szCs w:val="24"/>
        </w:rPr>
      </w:pPr>
      <w:r w:rsidRPr="00DF7666">
        <w:rPr>
          <w:rFonts w:ascii="Arial" w:hAnsi="Arial" w:cs="Arial"/>
          <w:sz w:val="24"/>
          <w:szCs w:val="24"/>
        </w:rPr>
        <w:t>15     Trauma.mp. [</w:t>
      </w:r>
      <w:proofErr w:type="gramStart"/>
      <w:r w:rsidRPr="00DF7666">
        <w:rPr>
          <w:rFonts w:ascii="Arial" w:hAnsi="Arial" w:cs="Arial"/>
          <w:sz w:val="24"/>
          <w:szCs w:val="24"/>
        </w:rPr>
        <w:t>mp=</w:t>
      </w:r>
      <w:proofErr w:type="gramEnd"/>
      <w:r w:rsidRPr="00DF7666">
        <w:rPr>
          <w:rFonts w:ascii="Arial" w:hAnsi="Arial" w:cs="Arial"/>
          <w:sz w:val="24"/>
          <w:szCs w:val="24"/>
        </w:rPr>
        <w:t>title, abstract, heading word, drug trade name, original title, device manufacturer, drug</w:t>
      </w:r>
    </w:p>
    <w:p w:rsidR="0061211E" w:rsidRPr="00DF7666" w:rsidRDefault="0061211E" w:rsidP="0061211E">
      <w:pPr>
        <w:pStyle w:val="PlainText"/>
        <w:rPr>
          <w:rFonts w:ascii="Arial" w:hAnsi="Arial" w:cs="Arial"/>
          <w:sz w:val="24"/>
          <w:szCs w:val="24"/>
        </w:rPr>
      </w:pPr>
      <w:proofErr w:type="gramStart"/>
      <w:r w:rsidRPr="00DF7666">
        <w:rPr>
          <w:rFonts w:ascii="Arial" w:hAnsi="Arial" w:cs="Arial"/>
          <w:sz w:val="24"/>
          <w:szCs w:val="24"/>
        </w:rPr>
        <w:t>manufacturer</w:t>
      </w:r>
      <w:proofErr w:type="gramEnd"/>
      <w:r w:rsidRPr="00DF7666">
        <w:rPr>
          <w:rFonts w:ascii="Arial" w:hAnsi="Arial" w:cs="Arial"/>
          <w:sz w:val="24"/>
          <w:szCs w:val="24"/>
        </w:rPr>
        <w:t>, device trade name, keyword] (270348)</w:t>
      </w:r>
    </w:p>
    <w:p w:rsidR="0061211E" w:rsidRPr="00DF7666" w:rsidRDefault="0061211E" w:rsidP="0061211E">
      <w:pPr>
        <w:pStyle w:val="PlainText"/>
        <w:rPr>
          <w:rFonts w:ascii="Arial" w:hAnsi="Arial" w:cs="Arial"/>
          <w:sz w:val="24"/>
          <w:szCs w:val="24"/>
        </w:rPr>
      </w:pPr>
      <w:r w:rsidRPr="00DF7666">
        <w:rPr>
          <w:rFonts w:ascii="Arial" w:hAnsi="Arial" w:cs="Arial"/>
          <w:sz w:val="24"/>
          <w:szCs w:val="24"/>
        </w:rPr>
        <w:t>16     exp traumatology/ (9989)</w:t>
      </w:r>
    </w:p>
    <w:p w:rsidR="0061211E" w:rsidRPr="00DF7666" w:rsidRDefault="0061211E" w:rsidP="0061211E">
      <w:pPr>
        <w:pStyle w:val="PlainText"/>
        <w:rPr>
          <w:rFonts w:ascii="Arial" w:hAnsi="Arial" w:cs="Arial"/>
          <w:sz w:val="24"/>
          <w:szCs w:val="24"/>
        </w:rPr>
      </w:pPr>
      <w:r w:rsidRPr="00DF7666">
        <w:rPr>
          <w:rFonts w:ascii="Arial" w:hAnsi="Arial" w:cs="Arial"/>
          <w:sz w:val="24"/>
          <w:szCs w:val="24"/>
        </w:rPr>
        <w:t>17     exp emergency health service/ (76742)</w:t>
      </w:r>
    </w:p>
    <w:p w:rsidR="0061211E" w:rsidRPr="00DF7666" w:rsidRDefault="0061211E" w:rsidP="0061211E">
      <w:pPr>
        <w:pStyle w:val="PlainText"/>
        <w:rPr>
          <w:rFonts w:ascii="Arial" w:hAnsi="Arial" w:cs="Arial"/>
          <w:sz w:val="24"/>
          <w:szCs w:val="24"/>
        </w:rPr>
      </w:pPr>
      <w:r w:rsidRPr="00DF7666">
        <w:rPr>
          <w:rFonts w:ascii="Arial" w:hAnsi="Arial" w:cs="Arial"/>
          <w:sz w:val="24"/>
          <w:szCs w:val="24"/>
        </w:rPr>
        <w:t>18     15 or 16 or 17 [TRAUMA] (340246)</w:t>
      </w:r>
    </w:p>
    <w:p w:rsidR="0061211E" w:rsidRPr="00DF7666" w:rsidRDefault="0061211E" w:rsidP="0061211E">
      <w:pPr>
        <w:pStyle w:val="PlainText"/>
        <w:rPr>
          <w:rFonts w:ascii="Arial" w:hAnsi="Arial" w:cs="Arial"/>
          <w:sz w:val="24"/>
          <w:szCs w:val="24"/>
        </w:rPr>
      </w:pPr>
      <w:r w:rsidRPr="00DF7666">
        <w:rPr>
          <w:rFonts w:ascii="Arial" w:hAnsi="Arial" w:cs="Arial"/>
          <w:sz w:val="24"/>
          <w:szCs w:val="24"/>
        </w:rPr>
        <w:t>19     14 and 18 (852)</w:t>
      </w:r>
    </w:p>
    <w:p w:rsidR="0061211E" w:rsidRPr="0061211E" w:rsidRDefault="0061211E" w:rsidP="0061211E">
      <w:pPr>
        <w:pStyle w:val="PlainText"/>
        <w:rPr>
          <w:rFonts w:ascii="Arial" w:hAnsi="Arial" w:cs="Arial"/>
          <w:sz w:val="24"/>
          <w:szCs w:val="24"/>
        </w:rPr>
      </w:pPr>
      <w:r w:rsidRPr="0061211E">
        <w:rPr>
          <w:rFonts w:ascii="Arial" w:hAnsi="Arial" w:cs="Arial"/>
          <w:sz w:val="24"/>
          <w:szCs w:val="24"/>
        </w:rPr>
        <w:t>20     limit 19 to yr="2015 -Current" (122)</w:t>
      </w:r>
    </w:p>
    <w:p w:rsidR="0061211E" w:rsidRPr="0061211E" w:rsidRDefault="0061211E" w:rsidP="0061211E">
      <w:pPr>
        <w:pStyle w:val="PlainText"/>
        <w:rPr>
          <w:rFonts w:ascii="Arial" w:hAnsi="Arial" w:cs="Arial"/>
          <w:sz w:val="24"/>
          <w:szCs w:val="24"/>
        </w:rPr>
      </w:pPr>
      <w:r w:rsidRPr="0061211E">
        <w:rPr>
          <w:rFonts w:ascii="Arial" w:hAnsi="Arial" w:cs="Arial"/>
          <w:sz w:val="24"/>
          <w:szCs w:val="24"/>
        </w:rPr>
        <w:t>21     remove duplicates from 20 (121)</w:t>
      </w:r>
    </w:p>
    <w:p w:rsidR="0061211E" w:rsidRPr="00DF7666" w:rsidRDefault="0061211E" w:rsidP="0061211E">
      <w:pPr>
        <w:pStyle w:val="PlainText"/>
        <w:rPr>
          <w:rFonts w:ascii="Arial" w:hAnsi="Arial" w:cs="Arial"/>
          <w:sz w:val="24"/>
          <w:szCs w:val="24"/>
        </w:rPr>
      </w:pPr>
      <w:r w:rsidRPr="0061211E">
        <w:rPr>
          <w:rFonts w:ascii="Arial" w:hAnsi="Arial" w:cs="Arial"/>
          <w:sz w:val="24"/>
          <w:szCs w:val="24"/>
        </w:rPr>
        <w:t xml:space="preserve">22     limit 21 to </w:t>
      </w:r>
      <w:proofErr w:type="gramStart"/>
      <w:r w:rsidRPr="0061211E">
        <w:rPr>
          <w:rFonts w:ascii="Arial" w:hAnsi="Arial" w:cs="Arial"/>
          <w:sz w:val="24"/>
          <w:szCs w:val="24"/>
        </w:rPr>
        <w:t>english</w:t>
      </w:r>
      <w:proofErr w:type="gramEnd"/>
      <w:r w:rsidRPr="0061211E">
        <w:rPr>
          <w:rFonts w:ascii="Arial" w:hAnsi="Arial" w:cs="Arial"/>
          <w:sz w:val="24"/>
          <w:szCs w:val="24"/>
        </w:rPr>
        <w:t xml:space="preserve"> language (119)</w:t>
      </w:r>
    </w:p>
    <w:p w:rsidR="0061211E" w:rsidRPr="00DF7666" w:rsidRDefault="0061211E" w:rsidP="0061211E">
      <w:pPr>
        <w:pStyle w:val="PlainText"/>
        <w:rPr>
          <w:rFonts w:ascii="Arial" w:hAnsi="Arial" w:cs="Arial"/>
          <w:sz w:val="24"/>
          <w:szCs w:val="24"/>
        </w:rPr>
      </w:pPr>
      <w:r w:rsidRPr="00DF7666">
        <w:rPr>
          <w:rFonts w:ascii="Arial" w:hAnsi="Arial" w:cs="Arial"/>
          <w:sz w:val="24"/>
          <w:szCs w:val="24"/>
        </w:rPr>
        <w:t>23     21 not 22 (2)</w:t>
      </w:r>
    </w:p>
    <w:p w:rsidR="007E2475" w:rsidRDefault="007E2475" w:rsidP="00D0786E">
      <w:pPr>
        <w:pStyle w:val="PlainText"/>
        <w:rPr>
          <w:rFonts w:ascii="Times New Roman" w:hAnsi="Times New Roman"/>
          <w:sz w:val="24"/>
          <w:szCs w:val="24"/>
        </w:rPr>
      </w:pPr>
    </w:p>
    <w:p w:rsidR="0061211E" w:rsidRDefault="0061211E" w:rsidP="00D0786E">
      <w:pPr>
        <w:pStyle w:val="PlainText"/>
        <w:rPr>
          <w:rFonts w:ascii="Times New Roman" w:hAnsi="Times New Roman"/>
          <w:sz w:val="24"/>
          <w:szCs w:val="24"/>
        </w:rPr>
      </w:pPr>
    </w:p>
    <w:p w:rsidR="0061211E" w:rsidRPr="000F45D5" w:rsidRDefault="0061211E" w:rsidP="0061211E">
      <w:pPr>
        <w:pStyle w:val="PlainText"/>
        <w:rPr>
          <w:rFonts w:ascii="Arial" w:hAnsi="Arial" w:cs="Arial"/>
          <w:b/>
          <w:sz w:val="24"/>
          <w:szCs w:val="24"/>
        </w:rPr>
      </w:pPr>
      <w:r w:rsidRPr="000F45D5">
        <w:rPr>
          <w:rFonts w:ascii="Arial" w:hAnsi="Arial" w:cs="Arial"/>
          <w:b/>
          <w:sz w:val="24"/>
          <w:szCs w:val="24"/>
        </w:rPr>
        <w:t xml:space="preserve">Database: EBM Reviews - Cochrane Central Register of Controlled Trials &lt;February 2016&gt; </w:t>
      </w:r>
    </w:p>
    <w:p w:rsidR="0061211E" w:rsidRPr="00DF7666" w:rsidRDefault="0061211E" w:rsidP="0061211E">
      <w:pPr>
        <w:pStyle w:val="PlainText"/>
        <w:rPr>
          <w:rFonts w:ascii="Arial" w:hAnsi="Arial" w:cs="Arial"/>
          <w:sz w:val="24"/>
          <w:szCs w:val="24"/>
        </w:rPr>
      </w:pPr>
      <w:r w:rsidRPr="00DF7666">
        <w:rPr>
          <w:rFonts w:ascii="Arial" w:hAnsi="Arial" w:cs="Arial"/>
          <w:sz w:val="24"/>
          <w:szCs w:val="24"/>
        </w:rPr>
        <w:t>----------------------------------------------------------------</w:t>
      </w:r>
      <w:r w:rsidR="000F45D5">
        <w:rPr>
          <w:rFonts w:ascii="Arial" w:hAnsi="Arial" w:cs="Arial"/>
          <w:sz w:val="24"/>
          <w:szCs w:val="24"/>
        </w:rPr>
        <w:t>-------------------------</w:t>
      </w:r>
      <w:r w:rsidRPr="00DF7666">
        <w:rPr>
          <w:rFonts w:ascii="Arial" w:hAnsi="Arial" w:cs="Arial"/>
          <w:sz w:val="24"/>
          <w:szCs w:val="24"/>
        </w:rPr>
        <w:t>----------------</w:t>
      </w:r>
    </w:p>
    <w:p w:rsidR="0061211E" w:rsidRPr="0061211E" w:rsidRDefault="0061211E" w:rsidP="0061211E">
      <w:pPr>
        <w:pStyle w:val="PlainText"/>
        <w:rPr>
          <w:rFonts w:ascii="Arial" w:hAnsi="Arial" w:cs="Arial"/>
          <w:sz w:val="24"/>
          <w:szCs w:val="24"/>
        </w:rPr>
      </w:pPr>
      <w:r w:rsidRPr="0061211E">
        <w:rPr>
          <w:rFonts w:ascii="Arial" w:hAnsi="Arial" w:cs="Arial"/>
          <w:sz w:val="24"/>
          <w:szCs w:val="24"/>
        </w:rPr>
        <w:t>1     exp Thrombelastography/ (181)</w:t>
      </w:r>
    </w:p>
    <w:p w:rsidR="0061211E" w:rsidRPr="0061211E" w:rsidRDefault="0061211E" w:rsidP="0061211E">
      <w:pPr>
        <w:pStyle w:val="PlainText"/>
        <w:rPr>
          <w:rFonts w:ascii="Arial" w:hAnsi="Arial" w:cs="Arial"/>
          <w:sz w:val="24"/>
          <w:szCs w:val="24"/>
        </w:rPr>
      </w:pPr>
      <w:r w:rsidRPr="0061211E">
        <w:rPr>
          <w:rFonts w:ascii="Arial" w:hAnsi="Arial" w:cs="Arial"/>
          <w:sz w:val="24"/>
          <w:szCs w:val="24"/>
        </w:rPr>
        <w:t>2     (thromb</w:t>
      </w:r>
      <w:proofErr w:type="gramStart"/>
      <w:r w:rsidRPr="0061211E">
        <w:rPr>
          <w:rFonts w:ascii="Arial" w:hAnsi="Arial" w:cs="Arial"/>
          <w:sz w:val="24"/>
          <w:szCs w:val="24"/>
        </w:rPr>
        <w:t>?elastometr</w:t>
      </w:r>
      <w:proofErr w:type="gramEnd"/>
      <w:r w:rsidRPr="0061211E">
        <w:rPr>
          <w:rFonts w:ascii="Arial" w:hAnsi="Arial" w:cs="Arial"/>
          <w:sz w:val="24"/>
          <w:szCs w:val="24"/>
        </w:rPr>
        <w:t>* or thromb?elastogra* or (thromb* adj2 elastometr*) or (thromb* adj2 elastogr*) or ROTEM or TEG</w:t>
      </w:r>
    </w:p>
    <w:p w:rsidR="0061211E" w:rsidRPr="0061211E" w:rsidRDefault="0061211E" w:rsidP="0061211E">
      <w:pPr>
        <w:pStyle w:val="PlainText"/>
        <w:rPr>
          <w:rFonts w:ascii="Arial" w:hAnsi="Arial" w:cs="Arial"/>
          <w:sz w:val="24"/>
          <w:szCs w:val="24"/>
        </w:rPr>
      </w:pPr>
      <w:proofErr w:type="gramStart"/>
      <w:r w:rsidRPr="0061211E">
        <w:rPr>
          <w:rFonts w:ascii="Arial" w:hAnsi="Arial" w:cs="Arial"/>
          <w:sz w:val="24"/>
          <w:szCs w:val="24"/>
        </w:rPr>
        <w:t>or</w:t>
      </w:r>
      <w:proofErr w:type="gramEnd"/>
      <w:r w:rsidRPr="0061211E">
        <w:rPr>
          <w:rFonts w:ascii="Arial" w:hAnsi="Arial" w:cs="Arial"/>
          <w:sz w:val="24"/>
          <w:szCs w:val="24"/>
        </w:rPr>
        <w:t xml:space="preserve"> ROTEG).mp. [</w:t>
      </w:r>
      <w:proofErr w:type="gramStart"/>
      <w:r w:rsidRPr="0061211E">
        <w:rPr>
          <w:rFonts w:ascii="Arial" w:hAnsi="Arial" w:cs="Arial"/>
          <w:sz w:val="24"/>
          <w:szCs w:val="24"/>
        </w:rPr>
        <w:t>mp=</w:t>
      </w:r>
      <w:proofErr w:type="gramEnd"/>
      <w:r w:rsidRPr="0061211E">
        <w:rPr>
          <w:rFonts w:ascii="Arial" w:hAnsi="Arial" w:cs="Arial"/>
          <w:sz w:val="24"/>
          <w:szCs w:val="24"/>
        </w:rPr>
        <w:t>title, original title, abstract, mesh headings, heading words, keyword] (417)</w:t>
      </w:r>
    </w:p>
    <w:p w:rsidR="0061211E" w:rsidRPr="0061211E" w:rsidRDefault="0061211E" w:rsidP="0061211E">
      <w:pPr>
        <w:pStyle w:val="PlainText"/>
        <w:rPr>
          <w:rFonts w:ascii="Arial" w:hAnsi="Arial" w:cs="Arial"/>
          <w:sz w:val="24"/>
          <w:szCs w:val="24"/>
        </w:rPr>
      </w:pPr>
      <w:r w:rsidRPr="0061211E">
        <w:rPr>
          <w:rFonts w:ascii="Arial" w:hAnsi="Arial" w:cs="Arial"/>
          <w:sz w:val="24"/>
          <w:szCs w:val="24"/>
        </w:rPr>
        <w:t>3     1 or 2 [ROTEM] (417)</w:t>
      </w:r>
    </w:p>
    <w:p w:rsidR="0061211E" w:rsidRPr="0061211E" w:rsidRDefault="0061211E" w:rsidP="0061211E">
      <w:pPr>
        <w:pStyle w:val="PlainText"/>
        <w:rPr>
          <w:rFonts w:ascii="Arial" w:hAnsi="Arial" w:cs="Arial"/>
          <w:sz w:val="24"/>
          <w:szCs w:val="24"/>
        </w:rPr>
      </w:pPr>
      <w:r w:rsidRPr="0061211E">
        <w:rPr>
          <w:rFonts w:ascii="Arial" w:hAnsi="Arial" w:cs="Arial"/>
          <w:sz w:val="24"/>
          <w:szCs w:val="24"/>
        </w:rPr>
        <w:t>4     Trauma.mp. [</w:t>
      </w:r>
      <w:proofErr w:type="gramStart"/>
      <w:r w:rsidRPr="0061211E">
        <w:rPr>
          <w:rFonts w:ascii="Arial" w:hAnsi="Arial" w:cs="Arial"/>
          <w:sz w:val="24"/>
          <w:szCs w:val="24"/>
        </w:rPr>
        <w:t>mp=</w:t>
      </w:r>
      <w:proofErr w:type="gramEnd"/>
      <w:r w:rsidRPr="0061211E">
        <w:rPr>
          <w:rFonts w:ascii="Arial" w:hAnsi="Arial" w:cs="Arial"/>
          <w:sz w:val="24"/>
          <w:szCs w:val="24"/>
        </w:rPr>
        <w:t>title, original title, abstract, mesh headings, heading words, keyword] (6145)</w:t>
      </w:r>
    </w:p>
    <w:p w:rsidR="0061211E" w:rsidRPr="0061211E" w:rsidRDefault="0061211E" w:rsidP="0061211E">
      <w:pPr>
        <w:pStyle w:val="PlainText"/>
        <w:rPr>
          <w:rFonts w:ascii="Arial" w:hAnsi="Arial" w:cs="Arial"/>
          <w:sz w:val="24"/>
          <w:szCs w:val="24"/>
        </w:rPr>
      </w:pPr>
      <w:r w:rsidRPr="0061211E">
        <w:rPr>
          <w:rFonts w:ascii="Arial" w:hAnsi="Arial" w:cs="Arial"/>
          <w:sz w:val="24"/>
          <w:szCs w:val="24"/>
        </w:rPr>
        <w:t>5     exp Trauma Centers/ (134)</w:t>
      </w:r>
    </w:p>
    <w:p w:rsidR="0061211E" w:rsidRPr="0061211E" w:rsidRDefault="0061211E" w:rsidP="0061211E">
      <w:pPr>
        <w:pStyle w:val="PlainText"/>
        <w:rPr>
          <w:rFonts w:ascii="Arial" w:hAnsi="Arial" w:cs="Arial"/>
          <w:sz w:val="24"/>
          <w:szCs w:val="24"/>
        </w:rPr>
      </w:pPr>
      <w:r w:rsidRPr="0061211E">
        <w:rPr>
          <w:rFonts w:ascii="Arial" w:hAnsi="Arial" w:cs="Arial"/>
          <w:sz w:val="24"/>
          <w:szCs w:val="24"/>
        </w:rPr>
        <w:t>6     4 or 5 [TRAUMA] (6145)</w:t>
      </w:r>
    </w:p>
    <w:p w:rsidR="0061211E" w:rsidRPr="0061211E" w:rsidRDefault="0061211E" w:rsidP="0061211E">
      <w:pPr>
        <w:pStyle w:val="PlainText"/>
        <w:rPr>
          <w:rFonts w:ascii="Arial" w:hAnsi="Arial" w:cs="Arial"/>
          <w:sz w:val="24"/>
          <w:szCs w:val="24"/>
        </w:rPr>
      </w:pPr>
      <w:r w:rsidRPr="0061211E">
        <w:rPr>
          <w:rFonts w:ascii="Arial" w:hAnsi="Arial" w:cs="Arial"/>
          <w:sz w:val="24"/>
          <w:szCs w:val="24"/>
        </w:rPr>
        <w:t>7     3 and 6 (17)</w:t>
      </w:r>
    </w:p>
    <w:p w:rsidR="0061211E" w:rsidRPr="0061211E" w:rsidRDefault="0061211E" w:rsidP="0061211E">
      <w:pPr>
        <w:pStyle w:val="PlainText"/>
        <w:rPr>
          <w:rFonts w:ascii="Arial" w:hAnsi="Arial" w:cs="Arial"/>
          <w:sz w:val="24"/>
          <w:szCs w:val="24"/>
        </w:rPr>
      </w:pPr>
      <w:r w:rsidRPr="0061211E">
        <w:rPr>
          <w:rFonts w:ascii="Arial" w:hAnsi="Arial" w:cs="Arial"/>
          <w:sz w:val="24"/>
          <w:szCs w:val="24"/>
        </w:rPr>
        <w:t>8     limit 7 to yr="2015 -Current" (3)</w:t>
      </w:r>
    </w:p>
    <w:p w:rsidR="0061211E" w:rsidRPr="0061211E" w:rsidRDefault="0061211E" w:rsidP="0061211E">
      <w:pPr>
        <w:pStyle w:val="PlainText"/>
        <w:rPr>
          <w:rFonts w:ascii="Arial" w:hAnsi="Arial" w:cs="Arial"/>
          <w:sz w:val="24"/>
          <w:szCs w:val="24"/>
        </w:rPr>
      </w:pPr>
      <w:r w:rsidRPr="0061211E">
        <w:rPr>
          <w:rFonts w:ascii="Arial" w:hAnsi="Arial" w:cs="Arial"/>
          <w:sz w:val="24"/>
          <w:szCs w:val="24"/>
        </w:rPr>
        <w:t>9     remove duplicates from 8 (3)</w:t>
      </w:r>
    </w:p>
    <w:p w:rsidR="0061211E" w:rsidRPr="00DF7666" w:rsidRDefault="000F45D5" w:rsidP="0061211E">
      <w:pPr>
        <w:pStyle w:val="PlainTex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   </w:t>
      </w:r>
      <w:r w:rsidR="0061211E" w:rsidRPr="0061211E">
        <w:rPr>
          <w:rFonts w:ascii="Arial" w:hAnsi="Arial" w:cs="Arial"/>
          <w:sz w:val="24"/>
          <w:szCs w:val="24"/>
        </w:rPr>
        <w:t xml:space="preserve">limit </w:t>
      </w:r>
      <w:proofErr w:type="gramStart"/>
      <w:r w:rsidR="0061211E" w:rsidRPr="0061211E">
        <w:rPr>
          <w:rFonts w:ascii="Arial" w:hAnsi="Arial" w:cs="Arial"/>
          <w:sz w:val="24"/>
          <w:szCs w:val="24"/>
        </w:rPr>
        <w:t>9</w:t>
      </w:r>
      <w:proofErr w:type="gramEnd"/>
      <w:r w:rsidR="0061211E" w:rsidRPr="0061211E">
        <w:rPr>
          <w:rFonts w:ascii="Arial" w:hAnsi="Arial" w:cs="Arial"/>
          <w:sz w:val="24"/>
          <w:szCs w:val="24"/>
        </w:rPr>
        <w:t xml:space="preserve"> to english language (3)</w:t>
      </w:r>
    </w:p>
    <w:p w:rsidR="00D0786E" w:rsidRDefault="00D0786E" w:rsidP="00D0786E">
      <w:pPr>
        <w:jc w:val="both"/>
      </w:pPr>
    </w:p>
    <w:p w:rsidR="0061211E" w:rsidRDefault="0061211E" w:rsidP="00D0786E">
      <w:pPr>
        <w:pStyle w:val="PlainText"/>
        <w:rPr>
          <w:rFonts w:ascii="Arial" w:hAnsi="Arial" w:cs="Arial"/>
          <w:sz w:val="24"/>
          <w:szCs w:val="24"/>
        </w:rPr>
      </w:pPr>
    </w:p>
    <w:p w:rsidR="0061211E" w:rsidRPr="000F45D5" w:rsidRDefault="0061211E" w:rsidP="0061211E">
      <w:pPr>
        <w:pStyle w:val="PlainText"/>
        <w:rPr>
          <w:rFonts w:ascii="Arial" w:hAnsi="Arial" w:cs="Arial"/>
          <w:b/>
          <w:sz w:val="24"/>
          <w:szCs w:val="24"/>
        </w:rPr>
      </w:pPr>
      <w:r w:rsidRPr="000F45D5">
        <w:rPr>
          <w:rFonts w:ascii="Arial" w:hAnsi="Arial" w:cs="Arial"/>
          <w:b/>
          <w:sz w:val="24"/>
          <w:szCs w:val="24"/>
        </w:rPr>
        <w:t xml:space="preserve">Database: EBM Reviews - Cochrane Database of Systematic Reviews &lt;2005 to </w:t>
      </w:r>
      <w:r w:rsidR="000F45D5">
        <w:rPr>
          <w:rFonts w:ascii="Arial" w:hAnsi="Arial" w:cs="Arial"/>
          <w:b/>
          <w:sz w:val="24"/>
          <w:szCs w:val="24"/>
        </w:rPr>
        <w:t>March 16, 2016&gt;</w:t>
      </w:r>
    </w:p>
    <w:p w:rsidR="0061211E" w:rsidRPr="00DF7666" w:rsidRDefault="0061211E" w:rsidP="0061211E">
      <w:pPr>
        <w:pStyle w:val="PlainText"/>
        <w:rPr>
          <w:rFonts w:ascii="Arial" w:hAnsi="Arial" w:cs="Arial"/>
          <w:sz w:val="24"/>
          <w:szCs w:val="24"/>
        </w:rPr>
      </w:pPr>
      <w:r w:rsidRPr="00DF7666">
        <w:rPr>
          <w:rFonts w:ascii="Arial" w:hAnsi="Arial" w:cs="Arial"/>
          <w:sz w:val="24"/>
          <w:szCs w:val="24"/>
        </w:rPr>
        <w:t>----------------------------------------------</w:t>
      </w:r>
      <w:r w:rsidR="000F45D5">
        <w:rPr>
          <w:rFonts w:ascii="Arial" w:hAnsi="Arial" w:cs="Arial"/>
          <w:sz w:val="24"/>
          <w:szCs w:val="24"/>
        </w:rPr>
        <w:t>--------------------------------</w:t>
      </w:r>
      <w:r w:rsidRPr="00DF7666">
        <w:rPr>
          <w:rFonts w:ascii="Arial" w:hAnsi="Arial" w:cs="Arial"/>
          <w:sz w:val="24"/>
          <w:szCs w:val="24"/>
        </w:rPr>
        <w:t>----------------------------------</w:t>
      </w:r>
    </w:p>
    <w:p w:rsidR="0061211E" w:rsidRPr="00DF7666" w:rsidRDefault="0061211E" w:rsidP="0061211E">
      <w:pPr>
        <w:pStyle w:val="PlainText"/>
        <w:rPr>
          <w:rFonts w:ascii="Arial" w:hAnsi="Arial" w:cs="Arial"/>
          <w:sz w:val="24"/>
          <w:szCs w:val="24"/>
        </w:rPr>
      </w:pPr>
      <w:r w:rsidRPr="00DF7666">
        <w:rPr>
          <w:rFonts w:ascii="Arial" w:hAnsi="Arial" w:cs="Arial"/>
          <w:sz w:val="24"/>
          <w:szCs w:val="24"/>
        </w:rPr>
        <w:t>1     (thromb</w:t>
      </w:r>
      <w:proofErr w:type="gramStart"/>
      <w:r w:rsidRPr="00DF7666">
        <w:rPr>
          <w:rFonts w:ascii="Arial" w:hAnsi="Arial" w:cs="Arial"/>
          <w:sz w:val="24"/>
          <w:szCs w:val="24"/>
        </w:rPr>
        <w:t>?elastometr</w:t>
      </w:r>
      <w:proofErr w:type="gramEnd"/>
      <w:r w:rsidRPr="00DF7666">
        <w:rPr>
          <w:rFonts w:ascii="Arial" w:hAnsi="Arial" w:cs="Arial"/>
          <w:sz w:val="24"/>
          <w:szCs w:val="24"/>
        </w:rPr>
        <w:t>* or thromb?elastogra* or (thromb* adj2 elastometr*) or (thromb* adj2 elastogr*) or ROTEM or TEG</w:t>
      </w:r>
    </w:p>
    <w:p w:rsidR="0061211E" w:rsidRPr="00DF7666" w:rsidRDefault="0061211E" w:rsidP="0061211E">
      <w:pPr>
        <w:pStyle w:val="PlainText"/>
        <w:rPr>
          <w:rFonts w:ascii="Arial" w:hAnsi="Arial" w:cs="Arial"/>
          <w:sz w:val="24"/>
          <w:szCs w:val="24"/>
        </w:rPr>
      </w:pPr>
      <w:proofErr w:type="gramStart"/>
      <w:r w:rsidRPr="00DF7666">
        <w:rPr>
          <w:rFonts w:ascii="Arial" w:hAnsi="Arial" w:cs="Arial"/>
          <w:sz w:val="24"/>
          <w:szCs w:val="24"/>
        </w:rPr>
        <w:lastRenderedPageBreak/>
        <w:t>or</w:t>
      </w:r>
      <w:proofErr w:type="gramEnd"/>
      <w:r w:rsidRPr="00DF7666">
        <w:rPr>
          <w:rFonts w:ascii="Arial" w:hAnsi="Arial" w:cs="Arial"/>
          <w:sz w:val="24"/>
          <w:szCs w:val="24"/>
        </w:rPr>
        <w:t xml:space="preserve"> ROTEG).mp. [</w:t>
      </w:r>
      <w:proofErr w:type="gramStart"/>
      <w:r w:rsidRPr="00DF7666">
        <w:rPr>
          <w:rFonts w:ascii="Arial" w:hAnsi="Arial" w:cs="Arial"/>
          <w:sz w:val="24"/>
          <w:szCs w:val="24"/>
        </w:rPr>
        <w:t>mp=</w:t>
      </w:r>
      <w:proofErr w:type="gramEnd"/>
      <w:r w:rsidRPr="00DF7666">
        <w:rPr>
          <w:rFonts w:ascii="Arial" w:hAnsi="Arial" w:cs="Arial"/>
          <w:sz w:val="24"/>
          <w:szCs w:val="24"/>
        </w:rPr>
        <w:t>title, abstract, full text, keywords, caption text] (14)</w:t>
      </w:r>
    </w:p>
    <w:p w:rsidR="0061211E" w:rsidRPr="00DF7666" w:rsidRDefault="0061211E" w:rsidP="0061211E">
      <w:pPr>
        <w:pStyle w:val="PlainText"/>
        <w:rPr>
          <w:rFonts w:ascii="Arial" w:hAnsi="Arial" w:cs="Arial"/>
          <w:sz w:val="24"/>
          <w:szCs w:val="24"/>
        </w:rPr>
      </w:pPr>
      <w:r w:rsidRPr="00DF7666">
        <w:rPr>
          <w:rFonts w:ascii="Arial" w:hAnsi="Arial" w:cs="Arial"/>
          <w:sz w:val="24"/>
          <w:szCs w:val="24"/>
        </w:rPr>
        <w:t>2     Trauma.mp. [</w:t>
      </w:r>
      <w:proofErr w:type="gramStart"/>
      <w:r w:rsidRPr="00DF7666">
        <w:rPr>
          <w:rFonts w:ascii="Arial" w:hAnsi="Arial" w:cs="Arial"/>
          <w:sz w:val="24"/>
          <w:szCs w:val="24"/>
        </w:rPr>
        <w:t>mp=</w:t>
      </w:r>
      <w:proofErr w:type="gramEnd"/>
      <w:r w:rsidRPr="00DF7666">
        <w:rPr>
          <w:rFonts w:ascii="Arial" w:hAnsi="Arial" w:cs="Arial"/>
          <w:sz w:val="24"/>
          <w:szCs w:val="24"/>
        </w:rPr>
        <w:t>title, abstract, full text, keywords, caption text] (1473)</w:t>
      </w:r>
    </w:p>
    <w:p w:rsidR="0061211E" w:rsidRPr="00DF7666" w:rsidRDefault="0061211E" w:rsidP="0061211E">
      <w:pPr>
        <w:pStyle w:val="PlainText"/>
        <w:rPr>
          <w:rFonts w:ascii="Arial" w:hAnsi="Arial" w:cs="Arial"/>
          <w:sz w:val="24"/>
          <w:szCs w:val="24"/>
        </w:rPr>
      </w:pPr>
      <w:r w:rsidRPr="00DF7666">
        <w:rPr>
          <w:rFonts w:ascii="Arial" w:hAnsi="Arial" w:cs="Arial"/>
          <w:sz w:val="24"/>
          <w:szCs w:val="24"/>
        </w:rPr>
        <w:t>3     1 and 2 (7)</w:t>
      </w:r>
    </w:p>
    <w:p w:rsidR="0061211E" w:rsidRPr="00DF7666" w:rsidRDefault="0061211E" w:rsidP="0061211E">
      <w:pPr>
        <w:pStyle w:val="PlainText"/>
        <w:rPr>
          <w:rFonts w:ascii="Arial" w:hAnsi="Arial" w:cs="Arial"/>
          <w:sz w:val="24"/>
          <w:szCs w:val="24"/>
        </w:rPr>
      </w:pPr>
      <w:r w:rsidRPr="00DF7666">
        <w:rPr>
          <w:rFonts w:ascii="Arial" w:hAnsi="Arial" w:cs="Arial"/>
          <w:sz w:val="24"/>
          <w:szCs w:val="24"/>
        </w:rPr>
        <w:t>4     limit 3 to last year (1)</w:t>
      </w:r>
    </w:p>
    <w:p w:rsidR="00823161" w:rsidRDefault="00823161" w:rsidP="00D0786E">
      <w:pPr>
        <w:pStyle w:val="PlainText"/>
        <w:rPr>
          <w:rFonts w:ascii="Times New Roman" w:hAnsi="Times New Roman"/>
          <w:sz w:val="24"/>
          <w:szCs w:val="24"/>
        </w:rPr>
      </w:pPr>
    </w:p>
    <w:p w:rsidR="000300D4" w:rsidRDefault="000300D4" w:rsidP="00D0786E">
      <w:pPr>
        <w:pStyle w:val="PlainText"/>
        <w:rPr>
          <w:rFonts w:ascii="Times New Roman" w:hAnsi="Times New Roman"/>
          <w:b/>
          <w:sz w:val="24"/>
          <w:szCs w:val="24"/>
          <w:u w:val="single"/>
        </w:rPr>
      </w:pPr>
    </w:p>
    <w:p w:rsidR="00106F43" w:rsidRPr="000300D4" w:rsidRDefault="000359E3" w:rsidP="00D0786E">
      <w:pPr>
        <w:pStyle w:val="PlainTex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2 - </w:t>
      </w:r>
      <w:r w:rsidR="00106F43">
        <w:rPr>
          <w:rFonts w:ascii="Times New Roman" w:hAnsi="Times New Roman"/>
          <w:b/>
          <w:sz w:val="24"/>
          <w:szCs w:val="24"/>
        </w:rPr>
        <w:t>Articles included in the review</w:t>
      </w:r>
    </w:p>
    <w:p w:rsidR="00D0786E" w:rsidRDefault="00D0786E" w:rsidP="00D0786E">
      <w:pPr>
        <w:pStyle w:val="PlainText"/>
        <w:rPr>
          <w:rFonts w:ascii="Times New Roman" w:hAnsi="Times New Roman"/>
          <w:sz w:val="24"/>
          <w:szCs w:val="24"/>
        </w:rPr>
      </w:pPr>
    </w:p>
    <w:p w:rsidR="00D0786E" w:rsidRDefault="00106F43" w:rsidP="00106F43">
      <w:pPr>
        <w:tabs>
          <w:tab w:val="left" w:pos="426"/>
          <w:tab w:val="right" w:pos="540"/>
        </w:tabs>
        <w:spacing w:after="240"/>
        <w:rPr>
          <w:noProof/>
        </w:rPr>
      </w:pPr>
      <w:r w:rsidRPr="00106F43">
        <w:rPr>
          <w:noProof/>
          <w:lang w:val="pt-BR"/>
        </w:rPr>
        <w:t xml:space="preserve">1. </w:t>
      </w:r>
      <w:r w:rsidR="00D0786E" w:rsidRPr="00106F43">
        <w:rPr>
          <w:noProof/>
          <w:lang w:val="pt-BR"/>
        </w:rPr>
        <w:t xml:space="preserve">Rugeri L, Levrat A, David JS et al. </w:t>
      </w:r>
      <w:r w:rsidR="00D0786E">
        <w:rPr>
          <w:noProof/>
        </w:rPr>
        <w:t>Diagnosis of early coagulation abnormalities in trauma patients by rotation thrombelastography. J Thromb Haemost 2007;5(2):289-295.</w:t>
      </w:r>
    </w:p>
    <w:p w:rsidR="00D0786E" w:rsidRDefault="00106F43" w:rsidP="00106F43">
      <w:pPr>
        <w:tabs>
          <w:tab w:val="left" w:pos="426"/>
          <w:tab w:val="right" w:pos="540"/>
        </w:tabs>
        <w:spacing w:after="240"/>
        <w:rPr>
          <w:noProof/>
        </w:rPr>
      </w:pPr>
      <w:r w:rsidRPr="00106F43">
        <w:rPr>
          <w:noProof/>
        </w:rPr>
        <w:t>2.</w:t>
      </w:r>
      <w:r w:rsidR="00D0786E" w:rsidRPr="00106F43">
        <w:rPr>
          <w:noProof/>
        </w:rPr>
        <w:t xml:space="preserve"> Levrat A, Gros A, Rugeri L et al. </w:t>
      </w:r>
      <w:r w:rsidR="00D0786E">
        <w:rPr>
          <w:noProof/>
        </w:rPr>
        <w:t>Evaluation of rotation thrombelastography for the diagnosis of hyperfibrinolysis in trauma patients. Br J Anaesth 2008;100(6):792-797.</w:t>
      </w:r>
    </w:p>
    <w:p w:rsidR="00D0786E" w:rsidRDefault="00106F43" w:rsidP="00106F43">
      <w:pPr>
        <w:tabs>
          <w:tab w:val="left" w:pos="426"/>
          <w:tab w:val="right" w:pos="540"/>
        </w:tabs>
        <w:spacing w:after="240"/>
        <w:rPr>
          <w:noProof/>
        </w:rPr>
      </w:pPr>
      <w:r>
        <w:rPr>
          <w:noProof/>
        </w:rPr>
        <w:t>3.</w:t>
      </w:r>
      <w:r w:rsidR="00D0786E">
        <w:rPr>
          <w:noProof/>
        </w:rPr>
        <w:t xml:space="preserve"> Schochl H, Frietsch T, Pavelka M, Jambor C. Hyperfibrinolysis after major trauma: differential diagnosis of lysis patterns and prognostic value of thrombelastometry. J Trauma 2009;67(1):125-131.</w:t>
      </w:r>
    </w:p>
    <w:p w:rsidR="00D0786E" w:rsidRDefault="00106F43" w:rsidP="00106F43">
      <w:pPr>
        <w:tabs>
          <w:tab w:val="left" w:pos="0"/>
          <w:tab w:val="right" w:pos="540"/>
        </w:tabs>
        <w:spacing w:after="240"/>
        <w:rPr>
          <w:noProof/>
        </w:rPr>
      </w:pPr>
      <w:r>
        <w:rPr>
          <w:noProof/>
        </w:rPr>
        <w:t xml:space="preserve">4. </w:t>
      </w:r>
      <w:r w:rsidR="00D0786E">
        <w:rPr>
          <w:noProof/>
        </w:rPr>
        <w:t>Doran CM, Woolley T, Midwinter MJ. Feasibility of using rotational thromboelastometry to assess coagulation status of combat casualties in a deployed setting. J Trauma 2010;69 Suppl 1:S40-S48.</w:t>
      </w:r>
    </w:p>
    <w:p w:rsidR="00D0786E" w:rsidRDefault="00106F43" w:rsidP="00106F43">
      <w:pPr>
        <w:tabs>
          <w:tab w:val="left" w:pos="426"/>
          <w:tab w:val="right" w:pos="540"/>
        </w:tabs>
        <w:spacing w:after="240"/>
        <w:rPr>
          <w:noProof/>
        </w:rPr>
      </w:pPr>
      <w:r>
        <w:rPr>
          <w:noProof/>
        </w:rPr>
        <w:t xml:space="preserve">5. </w:t>
      </w:r>
      <w:r w:rsidR="00D0786E">
        <w:rPr>
          <w:noProof/>
        </w:rPr>
        <w:t>Leemann H, Lustenberger T, Talving P et al. The role of rotation thromboelastometry in early prediction of massive transfusion. J Trauma 2010;69(6):1403-1408</w:t>
      </w:r>
    </w:p>
    <w:p w:rsidR="00D0786E" w:rsidRDefault="00106F43" w:rsidP="00106F43">
      <w:pPr>
        <w:tabs>
          <w:tab w:val="left" w:pos="0"/>
          <w:tab w:val="right" w:pos="540"/>
        </w:tabs>
        <w:spacing w:after="240"/>
        <w:rPr>
          <w:noProof/>
        </w:rPr>
      </w:pPr>
      <w:r>
        <w:rPr>
          <w:noProof/>
        </w:rPr>
        <w:t xml:space="preserve">6. </w:t>
      </w:r>
      <w:r w:rsidR="00D0786E">
        <w:rPr>
          <w:noProof/>
        </w:rPr>
        <w:t>Schochl H, Nienaber U, Hofer G et al. Goal-directed coagulation management of major trauma patients using thromboelastometry (ROTEM)-guided administration of fibrinogen concentrate and prothrombin complex concentrate. Crit Care 2010;14(2):R55.</w:t>
      </w:r>
    </w:p>
    <w:p w:rsidR="00D0786E" w:rsidRDefault="00106F43" w:rsidP="00106F43">
      <w:pPr>
        <w:tabs>
          <w:tab w:val="left" w:pos="0"/>
          <w:tab w:val="right" w:pos="540"/>
        </w:tabs>
        <w:spacing w:after="240"/>
        <w:rPr>
          <w:noProof/>
        </w:rPr>
      </w:pPr>
      <w:r>
        <w:rPr>
          <w:noProof/>
        </w:rPr>
        <w:t xml:space="preserve">7. </w:t>
      </w:r>
      <w:r w:rsidR="00D0786E">
        <w:rPr>
          <w:noProof/>
        </w:rPr>
        <w:t>Tauber H, Innerhofer P, Breitkopf R et al. Prevalence and impact of abnormal ROTEM(R) assays in severe blunt trauma: results of the 'Diagnosis and Treatment of Trauma-Induced Coagulopathy (DIA-TRE-TIC) study'. Br J Anaesth 2011;107(3):378-387.</w:t>
      </w:r>
    </w:p>
    <w:p w:rsidR="00D0786E" w:rsidRDefault="00106F43" w:rsidP="00106F43">
      <w:pPr>
        <w:tabs>
          <w:tab w:val="left" w:pos="0"/>
          <w:tab w:val="right" w:pos="540"/>
        </w:tabs>
        <w:spacing w:after="240"/>
        <w:rPr>
          <w:noProof/>
        </w:rPr>
      </w:pPr>
      <w:r>
        <w:rPr>
          <w:noProof/>
        </w:rPr>
        <w:t xml:space="preserve">8. </w:t>
      </w:r>
      <w:r w:rsidR="00D0786E">
        <w:rPr>
          <w:noProof/>
        </w:rPr>
        <w:t>Schochl H, Solomon C, Traintinger S et al. Thromboelastometric (ROTEM) findings in patients suffering from isolated severe traumatic brain injury. J Neurotrauma 2011;28(10):2033-2041.</w:t>
      </w:r>
    </w:p>
    <w:p w:rsidR="00D0786E" w:rsidRDefault="00106F43" w:rsidP="00106F43">
      <w:pPr>
        <w:tabs>
          <w:tab w:val="left" w:pos="0"/>
          <w:tab w:val="right" w:pos="540"/>
        </w:tabs>
        <w:spacing w:after="240"/>
        <w:rPr>
          <w:noProof/>
        </w:rPr>
      </w:pPr>
      <w:r>
        <w:rPr>
          <w:noProof/>
        </w:rPr>
        <w:t xml:space="preserve">9. </w:t>
      </w:r>
      <w:r w:rsidR="00D0786E">
        <w:rPr>
          <w:noProof/>
        </w:rPr>
        <w:t>Schochl H, Cotton B, Inaba K et al. FIBTEM provides early prediction of massive transfusion in trauma. Crit Care 2011;15(6):R265.</w:t>
      </w:r>
    </w:p>
    <w:p w:rsidR="00D0786E" w:rsidRDefault="00106F43" w:rsidP="00106F43">
      <w:pPr>
        <w:tabs>
          <w:tab w:val="left" w:pos="0"/>
          <w:tab w:val="right" w:pos="540"/>
        </w:tabs>
        <w:spacing w:after="240"/>
        <w:rPr>
          <w:noProof/>
        </w:rPr>
      </w:pPr>
      <w:r>
        <w:rPr>
          <w:noProof/>
        </w:rPr>
        <w:t xml:space="preserve">10. </w:t>
      </w:r>
      <w:r w:rsidR="00D0786E">
        <w:rPr>
          <w:noProof/>
        </w:rPr>
        <w:t>Davenport R, Manson J, De'Ath H et al. Functional definition and characterization of acute traumatic coagulopathy. Crit Care Med 2011;39(12):2652-2658.</w:t>
      </w:r>
    </w:p>
    <w:p w:rsidR="00D0786E" w:rsidRDefault="00106F43" w:rsidP="00106F43">
      <w:pPr>
        <w:tabs>
          <w:tab w:val="left" w:pos="0"/>
          <w:tab w:val="right" w:pos="540"/>
        </w:tabs>
        <w:spacing w:after="240"/>
        <w:rPr>
          <w:noProof/>
        </w:rPr>
      </w:pPr>
      <w:r>
        <w:rPr>
          <w:noProof/>
        </w:rPr>
        <w:t xml:space="preserve">11. </w:t>
      </w:r>
      <w:r w:rsidR="00D0786E">
        <w:rPr>
          <w:noProof/>
        </w:rPr>
        <w:t>Rourke C, Curry N, Khan S et al. Fibrinogen levels during trauma hemorrhage, response to replacement therapy, and association with patient outcomes. J Thromb Haemost 2012;10(7):1342-1351.</w:t>
      </w:r>
    </w:p>
    <w:p w:rsidR="00D0786E" w:rsidRDefault="00106F43" w:rsidP="00106F43">
      <w:pPr>
        <w:tabs>
          <w:tab w:val="left" w:pos="0"/>
          <w:tab w:val="right" w:pos="540"/>
        </w:tabs>
        <w:spacing w:after="240"/>
        <w:rPr>
          <w:noProof/>
        </w:rPr>
      </w:pPr>
      <w:r>
        <w:rPr>
          <w:noProof/>
        </w:rPr>
        <w:lastRenderedPageBreak/>
        <w:t xml:space="preserve">12. </w:t>
      </w:r>
      <w:r w:rsidR="00D0786E">
        <w:rPr>
          <w:noProof/>
        </w:rPr>
        <w:t>Woolley T, Midwinter M, Spencer P et al. Utility of interim ROTEM((R)) values of clot strength, A5 and A10, in predicting final assessment of coagulation status in severely injured battle patients. Injury 2013;44(5):593-599.</w:t>
      </w:r>
    </w:p>
    <w:p w:rsidR="00D753DC" w:rsidRPr="002B24B5" w:rsidRDefault="00106F43" w:rsidP="00106F43">
      <w:pPr>
        <w:tabs>
          <w:tab w:val="left" w:pos="0"/>
          <w:tab w:val="right" w:pos="540"/>
        </w:tabs>
        <w:spacing w:after="240"/>
        <w:rPr>
          <w:noProof/>
        </w:rPr>
      </w:pPr>
      <w:r>
        <w:rPr>
          <w:noProof/>
        </w:rPr>
        <w:t xml:space="preserve">13. </w:t>
      </w:r>
      <w:r w:rsidR="00D753DC">
        <w:rPr>
          <w:noProof/>
        </w:rPr>
        <w:t xml:space="preserve">Hagemo JS, Christiaans SC, Stanworth SJ et al. </w:t>
      </w:r>
      <w:r w:rsidR="00D753DC" w:rsidRPr="00D753DC">
        <w:t>Detection of acute traumatic coagulopathy and</w:t>
      </w:r>
      <w:r w:rsidR="00D753DC">
        <w:t xml:space="preserve"> </w:t>
      </w:r>
      <w:r w:rsidR="00D753DC" w:rsidRPr="00D753DC">
        <w:t>massive transfusion requirements by means of</w:t>
      </w:r>
      <w:r w:rsidR="00D753DC">
        <w:t xml:space="preserve"> </w:t>
      </w:r>
      <w:r w:rsidR="00D753DC" w:rsidRPr="00D753DC">
        <w:t>rotational thromboelastometry: an international</w:t>
      </w:r>
      <w:r w:rsidR="00D753DC">
        <w:t xml:space="preserve"> </w:t>
      </w:r>
      <w:r w:rsidR="00D753DC" w:rsidRPr="00D753DC">
        <w:t>prospective validation study</w:t>
      </w:r>
      <w:r w:rsidR="002B24B5">
        <w:t xml:space="preserve">. </w:t>
      </w:r>
      <w:r w:rsidR="002B24B5" w:rsidRPr="002B24B5">
        <w:t>Critical Care (2015) 19:97</w:t>
      </w:r>
    </w:p>
    <w:p w:rsidR="000359E3" w:rsidRDefault="000359E3">
      <w:pPr>
        <w:rPr>
          <w:b/>
          <w:noProof/>
        </w:rPr>
      </w:pPr>
    </w:p>
    <w:p w:rsidR="001F1551" w:rsidRPr="00106F43" w:rsidRDefault="000359E3">
      <w:pPr>
        <w:rPr>
          <w:b/>
        </w:rPr>
      </w:pPr>
      <w:r>
        <w:rPr>
          <w:b/>
          <w:noProof/>
        </w:rPr>
        <w:t xml:space="preserve">3 - </w:t>
      </w:r>
      <w:r w:rsidR="00FB1E1B" w:rsidRPr="00106F43">
        <w:rPr>
          <w:b/>
        </w:rPr>
        <w:t>Studies excluded after full text evaluation</w:t>
      </w:r>
      <w:r w:rsidR="00FB1E1B" w:rsidRPr="00106F43">
        <w:rPr>
          <w:b/>
        </w:rPr>
        <w:br/>
      </w:r>
    </w:p>
    <w:p w:rsidR="00A82588" w:rsidRPr="00106F43" w:rsidRDefault="000359E3">
      <w:pPr>
        <w:rPr>
          <w:u w:val="single"/>
        </w:rPr>
      </w:pPr>
      <w:r>
        <w:rPr>
          <w:b/>
        </w:rPr>
        <w:t xml:space="preserve">3.1. </w:t>
      </w:r>
      <w:r w:rsidR="008F0957" w:rsidRPr="00106F43">
        <w:rPr>
          <w:b/>
        </w:rPr>
        <w:t>Review articles</w:t>
      </w:r>
      <w:r w:rsidR="00A6436D" w:rsidRPr="00106F43">
        <w:rPr>
          <w:b/>
        </w:rPr>
        <w:t xml:space="preserve"> (8)</w:t>
      </w:r>
      <w:r w:rsidR="00A82588" w:rsidRPr="00106F43">
        <w:rPr>
          <w:u w:val="single"/>
        </w:rPr>
        <w:br/>
      </w:r>
    </w:p>
    <w:p w:rsidR="00A82588" w:rsidRDefault="00A82588" w:rsidP="00A82588">
      <w:pPr>
        <w:tabs>
          <w:tab w:val="right" w:pos="360"/>
          <w:tab w:val="left" w:pos="540"/>
        </w:tabs>
        <w:spacing w:after="240"/>
        <w:ind w:left="540" w:hanging="540"/>
        <w:rPr>
          <w:noProof/>
        </w:rPr>
      </w:pPr>
      <w:r>
        <w:rPr>
          <w:noProof/>
        </w:rPr>
        <w:t>1. Schochl H, Maegele M, Solomon C, Gorlinger K, Voelckel W. Early and individualized goal-directed therapy for trauma-induced coagulopathy. Scand J Trauma Resusc Emerg Med 2012;20:15.</w:t>
      </w:r>
    </w:p>
    <w:p w:rsidR="00A82588" w:rsidRDefault="00A82588" w:rsidP="00A82588">
      <w:pPr>
        <w:tabs>
          <w:tab w:val="right" w:pos="360"/>
          <w:tab w:val="left" w:pos="540"/>
        </w:tabs>
        <w:spacing w:after="240"/>
        <w:ind w:left="540" w:hanging="540"/>
        <w:rPr>
          <w:noProof/>
        </w:rPr>
      </w:pPr>
      <w:r>
        <w:rPr>
          <w:noProof/>
        </w:rPr>
        <w:t xml:space="preserve">2. </w:t>
      </w:r>
      <w:r>
        <w:rPr>
          <w:noProof/>
        </w:rPr>
        <w:tab/>
        <w:t>Tarmey NT, Woolley T, Jansen JO et al. Evolution of coagulopathy monitoring in military damage-control resuscitation. J Trauma Acute Care Surg 2012;73(6 Suppl 5):S417-S422.</w:t>
      </w:r>
    </w:p>
    <w:p w:rsidR="00A82588" w:rsidRDefault="00A82588" w:rsidP="00A82588">
      <w:pPr>
        <w:tabs>
          <w:tab w:val="right" w:pos="360"/>
          <w:tab w:val="left" w:pos="540"/>
        </w:tabs>
        <w:spacing w:after="240"/>
        <w:ind w:left="540" w:hanging="540"/>
        <w:rPr>
          <w:noProof/>
        </w:rPr>
      </w:pPr>
      <w:r>
        <w:rPr>
          <w:noProof/>
        </w:rPr>
        <w:t xml:space="preserve">3. </w:t>
      </w:r>
      <w:r>
        <w:rPr>
          <w:noProof/>
        </w:rPr>
        <w:tab/>
        <w:t>Blackbourne LH, Baer DG, Eastridge BJ et al. Military medical revolution: deployed hospital and en route care. J Trauma Acute Care Surg 2012;73(6 Suppl 5):S378-S387.</w:t>
      </w:r>
    </w:p>
    <w:p w:rsidR="00A82588" w:rsidRDefault="00A82588" w:rsidP="00A82588">
      <w:pPr>
        <w:tabs>
          <w:tab w:val="right" w:pos="360"/>
          <w:tab w:val="left" w:pos="540"/>
        </w:tabs>
        <w:spacing w:after="240"/>
        <w:ind w:left="540" w:hanging="540"/>
        <w:rPr>
          <w:noProof/>
        </w:rPr>
      </w:pPr>
      <w:r>
        <w:rPr>
          <w:noProof/>
        </w:rPr>
        <w:t xml:space="preserve">4. </w:t>
      </w:r>
      <w:r>
        <w:rPr>
          <w:noProof/>
        </w:rPr>
        <w:tab/>
        <w:t>Theusinger OM, Madjdpour C, Spahn DR. Resuscitation and transfusion management in trauma patients: emerging concepts. Curr Opin Crit Care 2012;18(6):661-670.</w:t>
      </w:r>
    </w:p>
    <w:p w:rsidR="00A82588" w:rsidRDefault="00A82588" w:rsidP="00A82588">
      <w:pPr>
        <w:tabs>
          <w:tab w:val="right" w:pos="360"/>
          <w:tab w:val="left" w:pos="540"/>
        </w:tabs>
        <w:spacing w:after="240"/>
        <w:ind w:left="540" w:hanging="540"/>
        <w:rPr>
          <w:noProof/>
        </w:rPr>
      </w:pPr>
      <w:r>
        <w:rPr>
          <w:noProof/>
        </w:rPr>
        <w:t xml:space="preserve">5. </w:t>
      </w:r>
      <w:r>
        <w:rPr>
          <w:noProof/>
        </w:rPr>
        <w:tab/>
        <w:t>Luddington RJ. Thrombelastography/thromboelastometry. Clin Lab Haematol 2005;27(2):81-90.</w:t>
      </w:r>
    </w:p>
    <w:p w:rsidR="00A82588" w:rsidRDefault="00A82588" w:rsidP="00A82588">
      <w:pPr>
        <w:tabs>
          <w:tab w:val="right" w:pos="360"/>
          <w:tab w:val="left" w:pos="540"/>
        </w:tabs>
        <w:spacing w:after="240"/>
        <w:ind w:left="540" w:hanging="540"/>
        <w:rPr>
          <w:noProof/>
        </w:rPr>
      </w:pPr>
      <w:r>
        <w:rPr>
          <w:noProof/>
        </w:rPr>
        <w:t>6. Johansson PI, Stissing T, Bochsen L, Ostrowski SR. Thrombelastography and tromboelastometry in assessing coagulopathy in trauma. Scand J Trauma Resusc Emerg Med 2009;17:45.</w:t>
      </w:r>
    </w:p>
    <w:p w:rsidR="00A82588" w:rsidRDefault="00A82588" w:rsidP="00A82588">
      <w:pPr>
        <w:tabs>
          <w:tab w:val="right" w:pos="360"/>
          <w:tab w:val="left" w:pos="540"/>
        </w:tabs>
        <w:spacing w:after="240"/>
        <w:ind w:left="540" w:hanging="540"/>
        <w:rPr>
          <w:noProof/>
        </w:rPr>
      </w:pPr>
      <w:r>
        <w:rPr>
          <w:noProof/>
        </w:rPr>
        <w:t xml:space="preserve">7. </w:t>
      </w:r>
      <w:r>
        <w:rPr>
          <w:noProof/>
        </w:rPr>
        <w:tab/>
        <w:t>Theusinger OM, Levy JH. Point of care devices for assessing bleeding and coagulation in the trauma patient. Anesthesiol Clin 2013;31(1):55-65.</w:t>
      </w:r>
    </w:p>
    <w:p w:rsidR="00A82588" w:rsidRDefault="00A82588" w:rsidP="00A82588">
      <w:pPr>
        <w:tabs>
          <w:tab w:val="right" w:pos="360"/>
          <w:tab w:val="left" w:pos="540"/>
        </w:tabs>
        <w:spacing w:after="240"/>
        <w:ind w:left="540" w:hanging="540"/>
        <w:rPr>
          <w:noProof/>
        </w:rPr>
      </w:pPr>
      <w:r>
        <w:rPr>
          <w:noProof/>
        </w:rPr>
        <w:t xml:space="preserve">8. </w:t>
      </w:r>
      <w:r>
        <w:rPr>
          <w:noProof/>
        </w:rPr>
        <w:tab/>
        <w:t>Lier H, Vorweg M, Hanke A, Gorlinger K. Thromboelastometry guided therapy of severe bleeding. Essener Runde algorithm. Hamostaseologie 2013;33(1):51-61.</w:t>
      </w:r>
    </w:p>
    <w:p w:rsidR="00A82588" w:rsidRPr="0097641D" w:rsidRDefault="000359E3" w:rsidP="00A82588">
      <w:pPr>
        <w:tabs>
          <w:tab w:val="right" w:pos="360"/>
          <w:tab w:val="left" w:pos="540"/>
        </w:tabs>
        <w:spacing w:after="240"/>
        <w:ind w:left="540" w:hanging="540"/>
        <w:rPr>
          <w:b/>
          <w:noProof/>
        </w:rPr>
      </w:pPr>
      <w:r>
        <w:rPr>
          <w:b/>
          <w:noProof/>
        </w:rPr>
        <w:t xml:space="preserve">3.2. </w:t>
      </w:r>
      <w:r w:rsidR="00A82588" w:rsidRPr="0097641D">
        <w:rPr>
          <w:b/>
          <w:noProof/>
        </w:rPr>
        <w:t>Letter</w:t>
      </w:r>
      <w:r w:rsidR="00A6436D" w:rsidRPr="0097641D">
        <w:rPr>
          <w:b/>
          <w:noProof/>
        </w:rPr>
        <w:t xml:space="preserve"> (1)</w:t>
      </w:r>
    </w:p>
    <w:p w:rsidR="00A82588" w:rsidRDefault="00A82588" w:rsidP="008C0824">
      <w:pPr>
        <w:pStyle w:val="ListParagraph"/>
        <w:numPr>
          <w:ilvl w:val="0"/>
          <w:numId w:val="1"/>
        </w:numPr>
        <w:tabs>
          <w:tab w:val="right" w:pos="360"/>
          <w:tab w:val="left" w:pos="540"/>
        </w:tabs>
        <w:spacing w:after="240"/>
        <w:ind w:left="0" w:firstLine="0"/>
        <w:rPr>
          <w:noProof/>
        </w:rPr>
      </w:pPr>
      <w:r w:rsidRPr="000359E3">
        <w:rPr>
          <w:noProof/>
        </w:rPr>
        <w:t xml:space="preserve">Grassetto A, De NM, Ganzerla B et al. </w:t>
      </w:r>
      <w:r>
        <w:rPr>
          <w:noProof/>
        </w:rPr>
        <w:t>ROTEM(R)-guided coagulation factor concentrate therapy in trauma: 2-year experience in Venice, Italy. Crit Care 2012;16(3):428.</w:t>
      </w:r>
    </w:p>
    <w:p w:rsidR="0010429E" w:rsidRDefault="0010429E" w:rsidP="0010429E">
      <w:pPr>
        <w:pStyle w:val="ListParagraph"/>
        <w:tabs>
          <w:tab w:val="right" w:pos="360"/>
          <w:tab w:val="left" w:pos="540"/>
        </w:tabs>
        <w:spacing w:after="240"/>
        <w:rPr>
          <w:noProof/>
        </w:rPr>
      </w:pPr>
    </w:p>
    <w:p w:rsidR="0010429E" w:rsidRDefault="0010429E" w:rsidP="0010429E">
      <w:pPr>
        <w:pStyle w:val="ListParagraph"/>
        <w:tabs>
          <w:tab w:val="right" w:pos="360"/>
          <w:tab w:val="left" w:pos="540"/>
        </w:tabs>
        <w:spacing w:after="240"/>
        <w:rPr>
          <w:noProof/>
        </w:rPr>
      </w:pPr>
    </w:p>
    <w:p w:rsidR="0010429E" w:rsidRPr="0097641D" w:rsidRDefault="000359E3" w:rsidP="0010429E">
      <w:pPr>
        <w:pStyle w:val="ListParagraph"/>
        <w:tabs>
          <w:tab w:val="right" w:pos="360"/>
          <w:tab w:val="left" w:pos="540"/>
        </w:tabs>
        <w:spacing w:after="240"/>
        <w:ind w:left="0"/>
        <w:rPr>
          <w:b/>
          <w:noProof/>
        </w:rPr>
      </w:pPr>
      <w:r>
        <w:rPr>
          <w:b/>
          <w:noProof/>
        </w:rPr>
        <w:t xml:space="preserve">3.3. </w:t>
      </w:r>
      <w:r w:rsidR="0010429E" w:rsidRPr="0097641D">
        <w:rPr>
          <w:b/>
          <w:noProof/>
        </w:rPr>
        <w:t>Editorial</w:t>
      </w:r>
      <w:r w:rsidR="0097641D" w:rsidRPr="0097641D">
        <w:rPr>
          <w:b/>
          <w:noProof/>
        </w:rPr>
        <w:t xml:space="preserve"> (1)</w:t>
      </w:r>
    </w:p>
    <w:p w:rsidR="008C0824" w:rsidRDefault="008C0824" w:rsidP="0010429E">
      <w:pPr>
        <w:pStyle w:val="ListParagraph"/>
        <w:tabs>
          <w:tab w:val="right" w:pos="360"/>
          <w:tab w:val="left" w:pos="540"/>
        </w:tabs>
        <w:spacing w:after="240"/>
        <w:ind w:left="0"/>
        <w:rPr>
          <w:b/>
          <w:noProof/>
          <w:u w:val="single"/>
        </w:rPr>
      </w:pPr>
    </w:p>
    <w:p w:rsidR="0010429E" w:rsidRDefault="0010429E" w:rsidP="008C0824">
      <w:pPr>
        <w:pStyle w:val="ListParagraph"/>
        <w:numPr>
          <w:ilvl w:val="0"/>
          <w:numId w:val="2"/>
        </w:numPr>
        <w:tabs>
          <w:tab w:val="right" w:pos="360"/>
          <w:tab w:val="left" w:pos="540"/>
        </w:tabs>
        <w:spacing w:after="240"/>
        <w:ind w:left="0" w:firstLine="0"/>
        <w:rPr>
          <w:noProof/>
        </w:rPr>
      </w:pPr>
      <w:r>
        <w:rPr>
          <w:noProof/>
        </w:rPr>
        <w:lastRenderedPageBreak/>
        <w:t>Spahn DR, Ganter MT. Towards early individual goal-directed coagulation management in trauma patients. Br J Anaesth 2010;105(2):103-105.</w:t>
      </w:r>
    </w:p>
    <w:p w:rsidR="00A51856" w:rsidRPr="0097641D" w:rsidRDefault="000359E3" w:rsidP="00A51856">
      <w:pPr>
        <w:tabs>
          <w:tab w:val="right" w:pos="360"/>
          <w:tab w:val="left" w:pos="540"/>
        </w:tabs>
        <w:spacing w:after="240"/>
        <w:rPr>
          <w:b/>
          <w:noProof/>
        </w:rPr>
      </w:pPr>
      <w:r>
        <w:rPr>
          <w:b/>
          <w:noProof/>
        </w:rPr>
        <w:t xml:space="preserve">3.4. </w:t>
      </w:r>
      <w:r w:rsidR="00106F43" w:rsidRPr="0097641D">
        <w:rPr>
          <w:b/>
          <w:noProof/>
        </w:rPr>
        <w:t>Case reports</w:t>
      </w:r>
      <w:r w:rsidR="009A7FC1" w:rsidRPr="0097641D">
        <w:rPr>
          <w:b/>
          <w:noProof/>
        </w:rPr>
        <w:t xml:space="preserve"> (4)</w:t>
      </w:r>
      <w:r w:rsidR="00A51856" w:rsidRPr="0097641D">
        <w:rPr>
          <w:b/>
          <w:noProof/>
        </w:rPr>
        <w:t xml:space="preserve"> </w:t>
      </w:r>
    </w:p>
    <w:p w:rsidR="00106F43" w:rsidRPr="000F45D5" w:rsidRDefault="00A51856" w:rsidP="00106F43">
      <w:pPr>
        <w:pStyle w:val="ListParagraph"/>
        <w:numPr>
          <w:ilvl w:val="0"/>
          <w:numId w:val="5"/>
        </w:numPr>
        <w:tabs>
          <w:tab w:val="left" w:pos="0"/>
          <w:tab w:val="right" w:pos="360"/>
        </w:tabs>
        <w:spacing w:after="120"/>
        <w:ind w:left="714" w:hanging="357"/>
        <w:rPr>
          <w:noProof/>
        </w:rPr>
      </w:pPr>
      <w:r w:rsidRPr="000F45D5">
        <w:rPr>
          <w:noProof/>
        </w:rPr>
        <w:t>Brenni M, Worn M, Bruesch M, Spahn DR, Ganter MT. Successful rotational thromboelastometry-guided treatment of traumatic haemorrhage, hyperfibrinolysis and coagulopathy. Acta Anaesthesiol Scand 2010;54(1):111-117.</w:t>
      </w:r>
    </w:p>
    <w:p w:rsidR="00A51856" w:rsidRDefault="00A51856" w:rsidP="00106F43">
      <w:pPr>
        <w:pStyle w:val="ListParagraph"/>
        <w:numPr>
          <w:ilvl w:val="0"/>
          <w:numId w:val="5"/>
        </w:numPr>
        <w:spacing w:after="120"/>
        <w:ind w:left="714" w:hanging="357"/>
        <w:jc w:val="both"/>
        <w:rPr>
          <w:noProof/>
        </w:rPr>
      </w:pPr>
      <w:r w:rsidRPr="000F45D5">
        <w:rPr>
          <w:noProof/>
        </w:rPr>
        <w:t>Schochl H, Forster L, Woidke R, Solomon C, Voelckel W. Use of rotation thromboelastometry (ROTEM) to achieve successful treatment of polytrauma with fibrinogen concentrate and prothrombin complex concentrate. Anaesthesia 2010;65(2):199-203.</w:t>
      </w:r>
    </w:p>
    <w:p w:rsidR="00A51856" w:rsidRDefault="00A51856" w:rsidP="00106F43">
      <w:pPr>
        <w:pStyle w:val="ListParagraph"/>
        <w:numPr>
          <w:ilvl w:val="0"/>
          <w:numId w:val="5"/>
        </w:numPr>
        <w:tabs>
          <w:tab w:val="left" w:pos="0"/>
          <w:tab w:val="right" w:pos="360"/>
        </w:tabs>
        <w:spacing w:after="120"/>
        <w:ind w:left="714" w:hanging="357"/>
        <w:rPr>
          <w:noProof/>
        </w:rPr>
      </w:pPr>
      <w:r w:rsidRPr="000F45D5">
        <w:rPr>
          <w:noProof/>
        </w:rPr>
        <w:t>Ziegler B, Schimke C, Marchet P, Stogermuller B, Schochl H, Solomon C. Severe Pediatric Blunt Trauma--Successful ROTEM-Guided Hemostatic Therapy with Fibrinogen Concentrate and No Administration of Fresh Frozen Plasma or Platelets. Clin Appl Thromb Hemost 2012.</w:t>
      </w:r>
    </w:p>
    <w:p w:rsidR="00A51856" w:rsidRPr="000F45D5" w:rsidRDefault="00A51856" w:rsidP="00106F43">
      <w:pPr>
        <w:pStyle w:val="ListParagraph"/>
        <w:numPr>
          <w:ilvl w:val="0"/>
          <w:numId w:val="5"/>
        </w:numPr>
        <w:tabs>
          <w:tab w:val="left" w:pos="0"/>
          <w:tab w:val="right" w:pos="360"/>
        </w:tabs>
        <w:spacing w:after="120"/>
        <w:ind w:left="714" w:hanging="357"/>
        <w:rPr>
          <w:noProof/>
        </w:rPr>
      </w:pPr>
      <w:r w:rsidRPr="000F45D5">
        <w:rPr>
          <w:noProof/>
        </w:rPr>
        <w:t>Grassetto A, Saggioro D, Caputo P et al. Rotational thromboelastometry analysis and management of life-threatening haemorrhage in isolated craniofacial injury. Blood Coagul Fibrinolysis 2012;23(6):551-555.</w:t>
      </w:r>
    </w:p>
    <w:p w:rsidR="002D2370" w:rsidRDefault="002D2370" w:rsidP="00ED7547">
      <w:pPr>
        <w:tabs>
          <w:tab w:val="left" w:pos="0"/>
          <w:tab w:val="right" w:pos="360"/>
        </w:tabs>
        <w:spacing w:after="240"/>
        <w:ind w:firstLine="27"/>
        <w:rPr>
          <w:b/>
          <w:noProof/>
          <w:u w:val="single"/>
        </w:rPr>
      </w:pPr>
    </w:p>
    <w:p w:rsidR="00FB1E1B" w:rsidRDefault="000359E3" w:rsidP="00ED7547">
      <w:pPr>
        <w:tabs>
          <w:tab w:val="left" w:pos="0"/>
          <w:tab w:val="right" w:pos="360"/>
        </w:tabs>
        <w:spacing w:after="240"/>
        <w:ind w:firstLine="27"/>
        <w:rPr>
          <w:b/>
          <w:noProof/>
          <w:u w:val="single"/>
        </w:rPr>
      </w:pPr>
      <w:r>
        <w:rPr>
          <w:b/>
          <w:noProof/>
          <w:u w:val="single"/>
        </w:rPr>
        <w:t xml:space="preserve">3.5. </w:t>
      </w:r>
      <w:bookmarkStart w:id="0" w:name="_GoBack"/>
      <w:bookmarkEnd w:id="0"/>
      <w:r w:rsidR="00FB1E1B" w:rsidRPr="00FB1E1B">
        <w:rPr>
          <w:b/>
          <w:noProof/>
          <w:u w:val="single"/>
        </w:rPr>
        <w:t>Did not meet the eligibility criteria, mixed population</w:t>
      </w:r>
      <w:r w:rsidR="00FB1E1B">
        <w:rPr>
          <w:b/>
          <w:noProof/>
          <w:u w:val="single"/>
        </w:rPr>
        <w:t xml:space="preserve">, systematic review, comparison of </w:t>
      </w:r>
      <w:r w:rsidR="00220FC8">
        <w:rPr>
          <w:b/>
          <w:noProof/>
          <w:u w:val="single"/>
        </w:rPr>
        <w:t>device</w:t>
      </w:r>
      <w:r w:rsidR="00ED7547">
        <w:rPr>
          <w:b/>
          <w:noProof/>
          <w:u w:val="single"/>
        </w:rPr>
        <w:t>, comparison of therapy</w:t>
      </w:r>
      <w:r w:rsidR="0097641D">
        <w:rPr>
          <w:b/>
          <w:noProof/>
          <w:u w:val="single"/>
        </w:rPr>
        <w:t>,</w:t>
      </w:r>
      <w:r w:rsidR="00FB1E1B" w:rsidRPr="00FB1E1B">
        <w:rPr>
          <w:b/>
          <w:noProof/>
          <w:u w:val="single"/>
        </w:rPr>
        <w:t xml:space="preserve"> etc</w:t>
      </w:r>
      <w:r w:rsidR="00FF444D">
        <w:rPr>
          <w:b/>
          <w:noProof/>
          <w:u w:val="single"/>
        </w:rPr>
        <w:t xml:space="preserve"> (1</w:t>
      </w:r>
      <w:r w:rsidR="00171EA3">
        <w:rPr>
          <w:b/>
          <w:noProof/>
          <w:u w:val="single"/>
        </w:rPr>
        <w:t>4</w:t>
      </w:r>
      <w:r w:rsidR="00FF444D">
        <w:rPr>
          <w:b/>
          <w:noProof/>
          <w:u w:val="single"/>
        </w:rPr>
        <w:t>)</w:t>
      </w:r>
    </w:p>
    <w:p w:rsidR="00FB1E1B" w:rsidRDefault="00106F43" w:rsidP="008C0824">
      <w:pPr>
        <w:tabs>
          <w:tab w:val="right" w:pos="360"/>
          <w:tab w:val="left" w:pos="540"/>
        </w:tabs>
        <w:spacing w:after="240"/>
        <w:ind w:left="540" w:hanging="398"/>
        <w:rPr>
          <w:noProof/>
        </w:rPr>
      </w:pPr>
      <w:r>
        <w:rPr>
          <w:noProof/>
        </w:rPr>
        <w:t xml:space="preserve">1.    </w:t>
      </w:r>
      <w:r w:rsidR="00FB1E1B">
        <w:rPr>
          <w:noProof/>
        </w:rPr>
        <w:t>Theusinger OM, Wanner GA, Emmert MY et al. Hyperfibrinolysis diagnosed by rotational thromboelastometry (ROTEM) is associated with higher mortality in patients with severe trauma. Anesth Analg 2011;113(5):1003-1012.</w:t>
      </w:r>
    </w:p>
    <w:p w:rsidR="00FB1E1B" w:rsidRDefault="00FB1E1B" w:rsidP="00FB1E1B">
      <w:pPr>
        <w:tabs>
          <w:tab w:val="right" w:pos="360"/>
          <w:tab w:val="left" w:pos="540"/>
        </w:tabs>
        <w:spacing w:after="240"/>
        <w:ind w:left="540" w:hanging="540"/>
        <w:rPr>
          <w:noProof/>
        </w:rPr>
      </w:pPr>
      <w:r>
        <w:rPr>
          <w:noProof/>
        </w:rPr>
        <w:tab/>
        <w:t xml:space="preserve">2. </w:t>
      </w:r>
      <w:r>
        <w:rPr>
          <w:noProof/>
        </w:rPr>
        <w:tab/>
        <w:t>Theusinger OM, Nurnberg J, Asmis LM, Seifert B, Spahn DR. Rotation thromboelastometry (ROTEM) stability and reproducibility over time. Eur J Cardiothorac Surg 2010;37(3):677-683.</w:t>
      </w:r>
    </w:p>
    <w:p w:rsidR="00FB1E1B" w:rsidRDefault="00FB1E1B" w:rsidP="00FB1E1B">
      <w:pPr>
        <w:tabs>
          <w:tab w:val="right" w:pos="360"/>
          <w:tab w:val="left" w:pos="540"/>
        </w:tabs>
        <w:spacing w:after="240"/>
        <w:ind w:left="540" w:hanging="540"/>
        <w:rPr>
          <w:noProof/>
        </w:rPr>
      </w:pPr>
      <w:r>
        <w:rPr>
          <w:noProof/>
        </w:rPr>
        <w:tab/>
        <w:t xml:space="preserve">3. </w:t>
      </w:r>
      <w:r>
        <w:rPr>
          <w:noProof/>
        </w:rPr>
        <w:tab/>
        <w:t>Tanaka KA, Bolliger D, Vadlamudi R, Nimmo A. Rotational thromboelastometry (ROTEM)-based coagulation management in cardiac surgery and major trauma. J Cardiothorac Vasc Anesth 2012;26(6):1083-1093.</w:t>
      </w:r>
    </w:p>
    <w:p w:rsidR="00FB1E1B" w:rsidRDefault="00FB1E1B" w:rsidP="00FB1E1B">
      <w:pPr>
        <w:tabs>
          <w:tab w:val="right" w:pos="360"/>
          <w:tab w:val="left" w:pos="540"/>
        </w:tabs>
        <w:spacing w:after="240"/>
        <w:ind w:left="540" w:hanging="540"/>
        <w:rPr>
          <w:noProof/>
        </w:rPr>
      </w:pPr>
      <w:r>
        <w:rPr>
          <w:noProof/>
        </w:rPr>
        <w:tab/>
        <w:t xml:space="preserve">4. </w:t>
      </w:r>
      <w:r>
        <w:rPr>
          <w:noProof/>
        </w:rPr>
        <w:tab/>
        <w:t>Jansen JO, Luke D, Davies E, Spencer P, Kirkman E, Midwinter MJ. Temporal changes in ROTEM(R)-measured coagulability of citrated blood samples from coagulopathic trauma patients. Injury 2013;44(1):36-39.</w:t>
      </w:r>
    </w:p>
    <w:p w:rsidR="00FB1E1B" w:rsidRDefault="00FB1E1B" w:rsidP="00FB1E1B">
      <w:pPr>
        <w:tabs>
          <w:tab w:val="right" w:pos="360"/>
          <w:tab w:val="left" w:pos="540"/>
        </w:tabs>
        <w:spacing w:after="240"/>
        <w:ind w:left="540" w:hanging="540"/>
        <w:rPr>
          <w:noProof/>
        </w:rPr>
      </w:pPr>
      <w:r>
        <w:rPr>
          <w:noProof/>
        </w:rPr>
        <w:tab/>
        <w:t xml:space="preserve">5. </w:t>
      </w:r>
      <w:r>
        <w:rPr>
          <w:noProof/>
        </w:rPr>
        <w:tab/>
        <w:t>Kutcher ME, Cripps MW, McCreery RC et al. Criteria for empiric treatment of hyperfibrinolysis after trauma. J Trauma Acute Care Surg 2012;73(1):87-93.</w:t>
      </w:r>
    </w:p>
    <w:p w:rsidR="00FB1E1B" w:rsidRDefault="00FB1E1B" w:rsidP="00FB1E1B">
      <w:pPr>
        <w:tabs>
          <w:tab w:val="right" w:pos="360"/>
          <w:tab w:val="left" w:pos="540"/>
        </w:tabs>
        <w:spacing w:after="240"/>
        <w:ind w:left="540" w:hanging="540"/>
        <w:rPr>
          <w:noProof/>
        </w:rPr>
      </w:pPr>
      <w:r>
        <w:rPr>
          <w:noProof/>
        </w:rPr>
        <w:tab/>
        <w:t xml:space="preserve">6. </w:t>
      </w:r>
      <w:r>
        <w:rPr>
          <w:noProof/>
        </w:rPr>
        <w:tab/>
        <w:t>Reed MJ, Nimmo AF, McGee D et al. Rotational thrombolelastometry produces potentially clinical useful results within 10 min in bleeding emergency department patients: the DEUCE study. Eur J Emerg Med 2013;20(3):160-166.</w:t>
      </w:r>
    </w:p>
    <w:p w:rsidR="00FB1E1B" w:rsidRDefault="00FB1E1B" w:rsidP="00FB1E1B">
      <w:pPr>
        <w:tabs>
          <w:tab w:val="right" w:pos="360"/>
          <w:tab w:val="left" w:pos="540"/>
        </w:tabs>
        <w:spacing w:after="240"/>
        <w:ind w:left="540" w:hanging="540"/>
        <w:rPr>
          <w:noProof/>
        </w:rPr>
      </w:pPr>
      <w:r>
        <w:rPr>
          <w:noProof/>
        </w:rPr>
        <w:lastRenderedPageBreak/>
        <w:tab/>
        <w:t xml:space="preserve">7. </w:t>
      </w:r>
      <w:r>
        <w:rPr>
          <w:noProof/>
        </w:rPr>
        <w:tab/>
        <w:t>Kashuk JL, Moore EE, Wohlauer M et al. Initial experiences with point-of-care rapid thrombelastography for management of life-threatening postinjury coagulopathy. Transfusion 2012;52(1):23-33.</w:t>
      </w:r>
    </w:p>
    <w:p w:rsidR="00FB1E1B" w:rsidRDefault="00FB1E1B" w:rsidP="00FB1E1B">
      <w:pPr>
        <w:tabs>
          <w:tab w:val="right" w:pos="360"/>
          <w:tab w:val="left" w:pos="540"/>
        </w:tabs>
        <w:spacing w:after="240"/>
        <w:ind w:left="540" w:hanging="540"/>
        <w:rPr>
          <w:noProof/>
        </w:rPr>
      </w:pPr>
      <w:r>
        <w:rPr>
          <w:noProof/>
        </w:rPr>
        <w:tab/>
        <w:t xml:space="preserve">8. </w:t>
      </w:r>
      <w:r>
        <w:rPr>
          <w:noProof/>
        </w:rPr>
        <w:tab/>
        <w:t>Enriquez LJ, Shore-Lesserson L. Point-of-care coagulation testing and transfusion algorithms. Br J Anaesth 2009;103 Suppl 1:i14-i22.</w:t>
      </w:r>
    </w:p>
    <w:p w:rsidR="00FB1E1B" w:rsidRDefault="00FB1E1B" w:rsidP="00FB1E1B">
      <w:pPr>
        <w:tabs>
          <w:tab w:val="right" w:pos="360"/>
          <w:tab w:val="left" w:pos="540"/>
        </w:tabs>
        <w:spacing w:after="240"/>
        <w:ind w:left="540" w:hanging="540"/>
        <w:rPr>
          <w:noProof/>
        </w:rPr>
      </w:pPr>
      <w:r>
        <w:rPr>
          <w:noProof/>
        </w:rPr>
        <w:tab/>
        <w:t xml:space="preserve">9. </w:t>
      </w:r>
      <w:r>
        <w:rPr>
          <w:noProof/>
        </w:rPr>
        <w:tab/>
        <w:t>Bartal C, Yitzhak A. The role of thromboelastometry and recombinant factor VIIa in trauma. Curr Opin Anaesthesiol 2009;22(2):281-288.</w:t>
      </w:r>
    </w:p>
    <w:p w:rsidR="00FB1E1B" w:rsidRDefault="00FB1E1B" w:rsidP="00FB1E1B">
      <w:pPr>
        <w:tabs>
          <w:tab w:val="right" w:pos="360"/>
          <w:tab w:val="left" w:pos="540"/>
        </w:tabs>
        <w:spacing w:after="240"/>
        <w:ind w:left="540" w:hanging="540"/>
        <w:rPr>
          <w:noProof/>
        </w:rPr>
      </w:pPr>
      <w:r>
        <w:rPr>
          <w:noProof/>
        </w:rPr>
        <w:t xml:space="preserve">10. </w:t>
      </w:r>
      <w:r>
        <w:rPr>
          <w:noProof/>
        </w:rPr>
        <w:tab/>
        <w:t>Hoyt DB, Dutton RP, Hauser CJ et al. Management of coagulopathy in the patients with multiple injuries: results from an international survey of clinical practice. J Trauma 2008;65(4):755-764.</w:t>
      </w:r>
    </w:p>
    <w:p w:rsidR="00FB70FF" w:rsidRDefault="00FB70FF" w:rsidP="00FE04D0">
      <w:pPr>
        <w:tabs>
          <w:tab w:val="left" w:pos="0"/>
          <w:tab w:val="right" w:pos="360"/>
        </w:tabs>
        <w:spacing w:after="240"/>
        <w:ind w:left="540" w:hanging="540"/>
        <w:rPr>
          <w:noProof/>
        </w:rPr>
      </w:pPr>
      <w:r>
        <w:rPr>
          <w:noProof/>
        </w:rPr>
        <w:t xml:space="preserve">11. </w:t>
      </w:r>
      <w:r w:rsidR="00ED7547">
        <w:rPr>
          <w:noProof/>
        </w:rPr>
        <w:t xml:space="preserve">  </w:t>
      </w:r>
      <w:r>
        <w:rPr>
          <w:noProof/>
        </w:rPr>
        <w:t>Solbeck S, Windelov NA, Baek NH, Nielsen JD, Ostrowski SR, Johansson PI. In-vitro comparison of free oscillation rheometry (ReoRox) and rotational thromboelastometry (ROTEM) in trauma patients upon hospital admission. Blood Coagul Fibrinolysis 2012;23(8):688-692.</w:t>
      </w:r>
    </w:p>
    <w:p w:rsidR="00FB70FF" w:rsidRDefault="00FB70FF" w:rsidP="00FB1E1B">
      <w:pPr>
        <w:tabs>
          <w:tab w:val="right" w:pos="360"/>
          <w:tab w:val="left" w:pos="540"/>
        </w:tabs>
        <w:spacing w:after="240"/>
        <w:ind w:left="540" w:hanging="540"/>
        <w:rPr>
          <w:noProof/>
        </w:rPr>
      </w:pPr>
      <w:r>
        <w:rPr>
          <w:noProof/>
        </w:rPr>
        <w:t xml:space="preserve">12. </w:t>
      </w:r>
      <w:r w:rsidR="00A51856">
        <w:rPr>
          <w:noProof/>
        </w:rPr>
        <w:t xml:space="preserve">  </w:t>
      </w:r>
      <w:r>
        <w:rPr>
          <w:noProof/>
        </w:rPr>
        <w:t>Sankarankutty A, Nascimento B, Teodoro da LL, R</w:t>
      </w:r>
      <w:r w:rsidR="00106F43">
        <w:rPr>
          <w:noProof/>
        </w:rPr>
        <w:t xml:space="preserve">izoli S. TEG(R) and ROTEM(R) in </w:t>
      </w:r>
      <w:r>
        <w:rPr>
          <w:noProof/>
        </w:rPr>
        <w:t>trauma: similar test but different results? World J Emerg Surg 2012;7 Suppl 1:S3.</w:t>
      </w:r>
    </w:p>
    <w:p w:rsidR="00DB1BC1" w:rsidRDefault="00DB7CC6" w:rsidP="00106F43">
      <w:pPr>
        <w:tabs>
          <w:tab w:val="right" w:pos="360"/>
          <w:tab w:val="left" w:pos="540"/>
        </w:tabs>
        <w:spacing w:after="240"/>
        <w:ind w:left="540" w:hanging="540"/>
        <w:rPr>
          <w:noProof/>
        </w:rPr>
      </w:pPr>
      <w:r>
        <w:rPr>
          <w:noProof/>
        </w:rPr>
        <w:t xml:space="preserve">13. </w:t>
      </w:r>
      <w:r w:rsidR="00A51856">
        <w:rPr>
          <w:noProof/>
        </w:rPr>
        <w:t xml:space="preserve">  </w:t>
      </w:r>
      <w:r>
        <w:rPr>
          <w:noProof/>
        </w:rPr>
        <w:t>Schochl H, Nienaber U, Maegele M et al. Transfusion in trauma: thromb</w:t>
      </w:r>
      <w:r w:rsidR="00106F43">
        <w:rPr>
          <w:noProof/>
        </w:rPr>
        <w:t xml:space="preserve">oelastometry </w:t>
      </w:r>
      <w:r>
        <w:rPr>
          <w:noProof/>
        </w:rPr>
        <w:t>guided coagulation factor concentrate-based therapy versus standard fresh frozen plasma-based therapy. Crit Care 2011;15(2):R83.</w:t>
      </w:r>
    </w:p>
    <w:p w:rsidR="008A1F37" w:rsidRDefault="00EC3551" w:rsidP="008A1F37">
      <w:pPr>
        <w:tabs>
          <w:tab w:val="left" w:pos="567"/>
        </w:tabs>
        <w:autoSpaceDE w:val="0"/>
        <w:autoSpaceDN w:val="0"/>
        <w:adjustRightInd w:val="0"/>
        <w:rPr>
          <w:bCs/>
        </w:rPr>
      </w:pPr>
      <w:r>
        <w:rPr>
          <w:noProof/>
        </w:rPr>
        <w:t>14</w:t>
      </w:r>
      <w:r w:rsidRPr="00DB1BC1">
        <w:rPr>
          <w:noProof/>
        </w:rPr>
        <w:t xml:space="preserve">. </w:t>
      </w:r>
      <w:r w:rsidR="00DB1BC1">
        <w:rPr>
          <w:noProof/>
        </w:rPr>
        <w:t xml:space="preserve"> </w:t>
      </w:r>
      <w:r w:rsidRPr="00DB1BC1">
        <w:rPr>
          <w:rFonts w:ascii="SourceSansPro-Regular" w:hAnsi="SourceSansPro-Regular" w:cs="SourceSansPro-Regular"/>
          <w:sz w:val="23"/>
          <w:szCs w:val="23"/>
        </w:rPr>
        <w:t>Hunt H, Stanworth S, Curry N, Woolley T et al.</w:t>
      </w:r>
      <w:r w:rsidR="008C2E75" w:rsidRPr="00DB1BC1">
        <w:rPr>
          <w:rFonts w:ascii="SourceSansPro-Regular" w:hAnsi="SourceSansPro-Regular" w:cs="SourceSansPro-Regular"/>
          <w:sz w:val="23"/>
          <w:szCs w:val="23"/>
        </w:rPr>
        <w:t xml:space="preserve"> </w:t>
      </w:r>
      <w:r w:rsidRPr="00DB1BC1">
        <w:t>Thro</w:t>
      </w:r>
      <w:r w:rsidRPr="00DB1BC1">
        <w:rPr>
          <w:bCs/>
        </w:rPr>
        <w:t>mboelastography (TEG) and rotational</w:t>
      </w:r>
      <w:r w:rsidR="00DB1BC1" w:rsidRPr="00DB1BC1">
        <w:rPr>
          <w:bCs/>
        </w:rPr>
        <w:t xml:space="preserve"> </w:t>
      </w:r>
      <w:r w:rsidR="008A1F37">
        <w:rPr>
          <w:bCs/>
        </w:rPr>
        <w:t xml:space="preserve"> </w:t>
      </w:r>
    </w:p>
    <w:p w:rsidR="008A1F37" w:rsidRDefault="008A1F37" w:rsidP="008A1F37">
      <w:pPr>
        <w:tabs>
          <w:tab w:val="left" w:pos="567"/>
        </w:tabs>
        <w:autoSpaceDE w:val="0"/>
        <w:autoSpaceDN w:val="0"/>
        <w:adjustRightInd w:val="0"/>
      </w:pPr>
      <w:r>
        <w:rPr>
          <w:bCs/>
        </w:rPr>
        <w:t xml:space="preserve">       </w:t>
      </w:r>
      <w:proofErr w:type="gramStart"/>
      <w:r w:rsidR="00EC3551" w:rsidRPr="00DB1BC1">
        <w:rPr>
          <w:bCs/>
        </w:rPr>
        <w:t>thromboelastometry</w:t>
      </w:r>
      <w:proofErr w:type="gramEnd"/>
      <w:r w:rsidR="00EC3551" w:rsidRPr="00DB1BC1">
        <w:rPr>
          <w:bCs/>
        </w:rPr>
        <w:t xml:space="preserve"> (ROTEM) for trauma induced coagulopathy</w:t>
      </w:r>
      <w:r w:rsidR="008C2E75" w:rsidRPr="00DB1BC1">
        <w:rPr>
          <w:bCs/>
        </w:rPr>
        <w:t xml:space="preserve">. </w:t>
      </w:r>
      <w:r w:rsidR="008C2E75" w:rsidRPr="00DB1BC1">
        <w:t xml:space="preserve"> Cochrane Database of </w:t>
      </w:r>
    </w:p>
    <w:p w:rsidR="008C2E75" w:rsidRDefault="008A1F37" w:rsidP="008A1F37">
      <w:pPr>
        <w:tabs>
          <w:tab w:val="left" w:pos="567"/>
        </w:tabs>
        <w:autoSpaceDE w:val="0"/>
        <w:autoSpaceDN w:val="0"/>
        <w:adjustRightInd w:val="0"/>
      </w:pPr>
      <w:r>
        <w:t xml:space="preserve">       </w:t>
      </w:r>
      <w:r w:rsidR="008C2E75" w:rsidRPr="00DB1BC1">
        <w:t>Systematic Reviews 2015, Issue 2. Art. No.: CD010438</w:t>
      </w:r>
    </w:p>
    <w:p w:rsidR="001135A9" w:rsidRDefault="001135A9" w:rsidP="00DB1BC1">
      <w:pPr>
        <w:autoSpaceDE w:val="0"/>
        <w:autoSpaceDN w:val="0"/>
        <w:adjustRightInd w:val="0"/>
      </w:pPr>
    </w:p>
    <w:sectPr w:rsidR="001135A9" w:rsidSect="00643EB9">
      <w:pgSz w:w="12240" w:h="15840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ourceSansPro-Regular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808C0"/>
    <w:multiLevelType w:val="hybridMultilevel"/>
    <w:tmpl w:val="96442FA2"/>
    <w:lvl w:ilvl="0" w:tplc="1009000F">
      <w:start w:val="1"/>
      <w:numFmt w:val="decimal"/>
      <w:lvlText w:val="%1."/>
      <w:lvlJc w:val="left"/>
      <w:pPr>
        <w:ind w:left="3338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4058" w:hanging="360"/>
      </w:pPr>
    </w:lvl>
    <w:lvl w:ilvl="2" w:tplc="1009001B" w:tentative="1">
      <w:start w:val="1"/>
      <w:numFmt w:val="lowerRoman"/>
      <w:lvlText w:val="%3."/>
      <w:lvlJc w:val="right"/>
      <w:pPr>
        <w:ind w:left="4778" w:hanging="180"/>
      </w:pPr>
    </w:lvl>
    <w:lvl w:ilvl="3" w:tplc="1009000F" w:tentative="1">
      <w:start w:val="1"/>
      <w:numFmt w:val="decimal"/>
      <w:lvlText w:val="%4."/>
      <w:lvlJc w:val="left"/>
      <w:pPr>
        <w:ind w:left="5498" w:hanging="360"/>
      </w:pPr>
    </w:lvl>
    <w:lvl w:ilvl="4" w:tplc="10090019" w:tentative="1">
      <w:start w:val="1"/>
      <w:numFmt w:val="lowerLetter"/>
      <w:lvlText w:val="%5."/>
      <w:lvlJc w:val="left"/>
      <w:pPr>
        <w:ind w:left="6218" w:hanging="360"/>
      </w:pPr>
    </w:lvl>
    <w:lvl w:ilvl="5" w:tplc="1009001B" w:tentative="1">
      <w:start w:val="1"/>
      <w:numFmt w:val="lowerRoman"/>
      <w:lvlText w:val="%6."/>
      <w:lvlJc w:val="right"/>
      <w:pPr>
        <w:ind w:left="6938" w:hanging="180"/>
      </w:pPr>
    </w:lvl>
    <w:lvl w:ilvl="6" w:tplc="1009000F" w:tentative="1">
      <w:start w:val="1"/>
      <w:numFmt w:val="decimal"/>
      <w:lvlText w:val="%7."/>
      <w:lvlJc w:val="left"/>
      <w:pPr>
        <w:ind w:left="7658" w:hanging="360"/>
      </w:pPr>
    </w:lvl>
    <w:lvl w:ilvl="7" w:tplc="10090019" w:tentative="1">
      <w:start w:val="1"/>
      <w:numFmt w:val="lowerLetter"/>
      <w:lvlText w:val="%8."/>
      <w:lvlJc w:val="left"/>
      <w:pPr>
        <w:ind w:left="8378" w:hanging="360"/>
      </w:pPr>
    </w:lvl>
    <w:lvl w:ilvl="8" w:tplc="1009001B" w:tentative="1">
      <w:start w:val="1"/>
      <w:numFmt w:val="lowerRoman"/>
      <w:lvlText w:val="%9."/>
      <w:lvlJc w:val="right"/>
      <w:pPr>
        <w:ind w:left="9098" w:hanging="180"/>
      </w:pPr>
    </w:lvl>
  </w:abstractNum>
  <w:abstractNum w:abstractNumId="1">
    <w:nsid w:val="0FE733A8"/>
    <w:multiLevelType w:val="hybridMultilevel"/>
    <w:tmpl w:val="0450C24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7259BD"/>
    <w:multiLevelType w:val="hybridMultilevel"/>
    <w:tmpl w:val="CD24860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0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0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0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0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A611EF2"/>
    <w:multiLevelType w:val="hybridMultilevel"/>
    <w:tmpl w:val="C7A8345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C17DF0"/>
    <w:multiLevelType w:val="hybridMultilevel"/>
    <w:tmpl w:val="A83C9CA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embedSystemFonts/>
  <w:proofState w:spelling="clean" w:grammar="clean"/>
  <w:stylePaneFormatFilter w:val="3F01"/>
  <w:defaultTabStop w:val="720"/>
  <w:drawingGridHorizontalSpacing w:val="120"/>
  <w:displayHorizontalDrawingGridEvery w:val="2"/>
  <w:displayVerticalDrawingGridEvery w:val="2"/>
  <w:characterSpacingControl w:val="doNotCompress"/>
  <w:compat/>
  <w:docVars>
    <w:docVar w:name="REFMGR.InstantFormat" w:val="&lt;ENInstantFormat&gt;&lt;Enabled&gt;1&lt;/Enabled&gt;&lt;ScanUnformatted&gt;1&lt;/ScanUnformatted&gt;&lt;ScanChanges&gt;1&lt;/ScanChanges&gt;&lt;/ENInstantFormat&gt;"/>
    <w:docVar w:name="REFMGR.Libraries" w:val="&lt;ENLibraries&gt;&lt;Libraries&gt;&lt;item&gt;Transfusion guideline library&lt;/item&gt;&lt;/Libraries&gt;&lt;/ENLibraries&gt;"/>
    <w:docVar w:name="Total_Editing_Time" w:val="38"/>
  </w:docVars>
  <w:rsids>
    <w:rsidRoot w:val="004B3E6A"/>
    <w:rsid w:val="00004B00"/>
    <w:rsid w:val="00012C7D"/>
    <w:rsid w:val="000300D4"/>
    <w:rsid w:val="000359E3"/>
    <w:rsid w:val="00097827"/>
    <w:rsid w:val="000B26E8"/>
    <w:rsid w:val="000C340E"/>
    <w:rsid w:val="000D25B2"/>
    <w:rsid w:val="000F45D5"/>
    <w:rsid w:val="000F7382"/>
    <w:rsid w:val="0010429E"/>
    <w:rsid w:val="00106F43"/>
    <w:rsid w:val="001135A9"/>
    <w:rsid w:val="001443A2"/>
    <w:rsid w:val="00171EA3"/>
    <w:rsid w:val="001F1551"/>
    <w:rsid w:val="00220FC8"/>
    <w:rsid w:val="00244E2A"/>
    <w:rsid w:val="002B24B5"/>
    <w:rsid w:val="002D2370"/>
    <w:rsid w:val="003028CE"/>
    <w:rsid w:val="00355AB4"/>
    <w:rsid w:val="003A0161"/>
    <w:rsid w:val="003A4B3E"/>
    <w:rsid w:val="003D132E"/>
    <w:rsid w:val="003F1FB7"/>
    <w:rsid w:val="004A7D99"/>
    <w:rsid w:val="004B2C49"/>
    <w:rsid w:val="004B3E6A"/>
    <w:rsid w:val="00515B64"/>
    <w:rsid w:val="00530701"/>
    <w:rsid w:val="0054396C"/>
    <w:rsid w:val="005B7031"/>
    <w:rsid w:val="005C3E7F"/>
    <w:rsid w:val="005E18D8"/>
    <w:rsid w:val="0061211E"/>
    <w:rsid w:val="00612430"/>
    <w:rsid w:val="00643EB9"/>
    <w:rsid w:val="00672554"/>
    <w:rsid w:val="00677CAA"/>
    <w:rsid w:val="006801C1"/>
    <w:rsid w:val="006C6C52"/>
    <w:rsid w:val="006D05D9"/>
    <w:rsid w:val="0074303C"/>
    <w:rsid w:val="007A1F51"/>
    <w:rsid w:val="007C669A"/>
    <w:rsid w:val="007E2475"/>
    <w:rsid w:val="00823161"/>
    <w:rsid w:val="0083052D"/>
    <w:rsid w:val="008512DF"/>
    <w:rsid w:val="008A1F37"/>
    <w:rsid w:val="008C0824"/>
    <w:rsid w:val="008C2E75"/>
    <w:rsid w:val="008C3E46"/>
    <w:rsid w:val="008F0957"/>
    <w:rsid w:val="00917FAC"/>
    <w:rsid w:val="009466FA"/>
    <w:rsid w:val="0097641D"/>
    <w:rsid w:val="00990F5B"/>
    <w:rsid w:val="0099546D"/>
    <w:rsid w:val="009A7FC1"/>
    <w:rsid w:val="00A42F42"/>
    <w:rsid w:val="00A51856"/>
    <w:rsid w:val="00A6436D"/>
    <w:rsid w:val="00A71557"/>
    <w:rsid w:val="00A82588"/>
    <w:rsid w:val="00AA5AB9"/>
    <w:rsid w:val="00B75C18"/>
    <w:rsid w:val="00B7680A"/>
    <w:rsid w:val="00BB0AA8"/>
    <w:rsid w:val="00BE7271"/>
    <w:rsid w:val="00C110C4"/>
    <w:rsid w:val="00C91ED2"/>
    <w:rsid w:val="00CA3F9E"/>
    <w:rsid w:val="00CA74D0"/>
    <w:rsid w:val="00CC0CC6"/>
    <w:rsid w:val="00CC5804"/>
    <w:rsid w:val="00CD5532"/>
    <w:rsid w:val="00CE16C7"/>
    <w:rsid w:val="00CE27E9"/>
    <w:rsid w:val="00CE395C"/>
    <w:rsid w:val="00D0786E"/>
    <w:rsid w:val="00D275E7"/>
    <w:rsid w:val="00D400C6"/>
    <w:rsid w:val="00D74409"/>
    <w:rsid w:val="00D753DC"/>
    <w:rsid w:val="00D821D6"/>
    <w:rsid w:val="00D86344"/>
    <w:rsid w:val="00D866A5"/>
    <w:rsid w:val="00D9448D"/>
    <w:rsid w:val="00DB1BC1"/>
    <w:rsid w:val="00DB7CC6"/>
    <w:rsid w:val="00DC7B88"/>
    <w:rsid w:val="00E1000B"/>
    <w:rsid w:val="00E26279"/>
    <w:rsid w:val="00E50DE9"/>
    <w:rsid w:val="00E54F70"/>
    <w:rsid w:val="00E83573"/>
    <w:rsid w:val="00E951AF"/>
    <w:rsid w:val="00EB6486"/>
    <w:rsid w:val="00EC3551"/>
    <w:rsid w:val="00ED7547"/>
    <w:rsid w:val="00F175F3"/>
    <w:rsid w:val="00F22F2F"/>
    <w:rsid w:val="00F54080"/>
    <w:rsid w:val="00F71B1B"/>
    <w:rsid w:val="00FB1E1B"/>
    <w:rsid w:val="00FB70FF"/>
    <w:rsid w:val="00FD530D"/>
    <w:rsid w:val="00FE04D0"/>
    <w:rsid w:val="00FE0E2C"/>
    <w:rsid w:val="00FF2053"/>
    <w:rsid w:val="00FF44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175F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75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1F155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F155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82588"/>
    <w:pPr>
      <w:ind w:left="720"/>
      <w:contextualSpacing/>
    </w:pPr>
  </w:style>
  <w:style w:type="paragraph" w:styleId="PlainText">
    <w:name w:val="Plain Text"/>
    <w:basedOn w:val="Normal"/>
    <w:link w:val="PlainTextChar1"/>
    <w:uiPriority w:val="99"/>
    <w:unhideWhenUsed/>
    <w:rsid w:val="00D0786E"/>
    <w:rPr>
      <w:rFonts w:ascii="Consolas" w:eastAsia="Calibri" w:hAnsi="Consolas"/>
      <w:sz w:val="21"/>
      <w:szCs w:val="21"/>
      <w:lang w:val="en-US"/>
    </w:rPr>
  </w:style>
  <w:style w:type="character" w:customStyle="1" w:styleId="PlainTextChar">
    <w:name w:val="Plain Text Char"/>
    <w:basedOn w:val="DefaultParagraphFont"/>
    <w:uiPriority w:val="99"/>
    <w:rsid w:val="00D0786E"/>
    <w:rPr>
      <w:rFonts w:ascii="Consolas" w:hAnsi="Consolas" w:cs="Consolas"/>
      <w:sz w:val="21"/>
      <w:szCs w:val="21"/>
    </w:rPr>
  </w:style>
  <w:style w:type="character" w:customStyle="1" w:styleId="PlainTextChar1">
    <w:name w:val="Plain Text Char1"/>
    <w:link w:val="PlainText"/>
    <w:uiPriority w:val="99"/>
    <w:locked/>
    <w:rsid w:val="00D0786E"/>
    <w:rPr>
      <w:rFonts w:ascii="Consolas" w:eastAsia="Calibri" w:hAnsi="Consolas"/>
      <w:sz w:val="21"/>
      <w:szCs w:val="21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80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CC7900-C69B-4668-8FED-B7AD99AA9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7</Pages>
  <Words>1692</Words>
  <Characters>10895</Characters>
  <Application>Microsoft Office Word</Application>
  <DocSecurity>0</DocSecurity>
  <Lines>242</Lines>
  <Paragraphs>143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Precilla</dc:creator>
  <cp:lastModifiedBy>CSABAY</cp:lastModifiedBy>
  <cp:revision>17</cp:revision>
  <dcterms:created xsi:type="dcterms:W3CDTF">2016-05-17T19:10:00Z</dcterms:created>
  <dcterms:modified xsi:type="dcterms:W3CDTF">2016-09-27T18:21:00Z</dcterms:modified>
</cp:coreProperties>
</file>