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21AAD" w14:textId="6C426F02" w:rsidR="0099574D" w:rsidRDefault="0099574D" w:rsidP="0099574D">
      <w:pPr>
        <w:keepNext/>
        <w:keepLines/>
        <w:spacing w:before="200" w:after="0"/>
        <w:outlineLvl w:val="1"/>
        <w:rPr>
          <w:rFonts w:eastAsiaTheme="majorEastAsia"/>
          <w:b/>
          <w:bCs/>
          <w:sz w:val="26"/>
          <w:szCs w:val="26"/>
        </w:rPr>
      </w:pPr>
      <w:r w:rsidRPr="00C80B5F">
        <w:rPr>
          <w:rFonts w:eastAsiaTheme="majorEastAsia"/>
          <w:b/>
          <w:bCs/>
          <w:sz w:val="26"/>
          <w:szCs w:val="26"/>
        </w:rPr>
        <w:t>Additio</w:t>
      </w:r>
      <w:bookmarkStart w:id="0" w:name="_GoBack"/>
      <w:bookmarkEnd w:id="0"/>
      <w:r w:rsidRPr="00C80B5F">
        <w:rPr>
          <w:rFonts w:eastAsiaTheme="majorEastAsia"/>
          <w:b/>
          <w:bCs/>
          <w:sz w:val="26"/>
          <w:szCs w:val="26"/>
        </w:rPr>
        <w:t>nal file 3. Main outcome variables including only patients who received &gt; 900 ml dextran 70 the first 5 da</w:t>
      </w:r>
      <w:r>
        <w:rPr>
          <w:rFonts w:eastAsiaTheme="majorEastAsia"/>
          <w:b/>
          <w:bCs/>
          <w:sz w:val="26"/>
          <w:szCs w:val="26"/>
        </w:rPr>
        <w:t>ys in the ICU in dextran group</w:t>
      </w:r>
    </w:p>
    <w:tbl>
      <w:tblPr>
        <w:tblStyle w:val="Tabellrutn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417"/>
        <w:gridCol w:w="1276"/>
        <w:gridCol w:w="2126"/>
        <w:gridCol w:w="1985"/>
        <w:gridCol w:w="851"/>
      </w:tblGrid>
      <w:tr w:rsidR="0099574D" w:rsidRPr="00C80B5F" w14:paraId="4FD9D2F5" w14:textId="77777777" w:rsidTr="00D40C5A">
        <w:tc>
          <w:tcPr>
            <w:tcW w:w="4361" w:type="dxa"/>
            <w:shd w:val="clear" w:color="auto" w:fill="auto"/>
          </w:tcPr>
          <w:p w14:paraId="3C710421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6B83FE7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 w:rsidRPr="00C80B5F">
              <w:rPr>
                <w:b/>
                <w:sz w:val="20"/>
                <w:szCs w:val="20"/>
              </w:rPr>
              <w:t>Propensity-matched groups</w:t>
            </w:r>
          </w:p>
        </w:tc>
        <w:tc>
          <w:tcPr>
            <w:tcW w:w="2126" w:type="dxa"/>
            <w:shd w:val="clear" w:color="auto" w:fill="auto"/>
          </w:tcPr>
          <w:p w14:paraId="7578598E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 w:rsidRPr="00C80B5F">
              <w:rPr>
                <w:b/>
                <w:sz w:val="20"/>
                <w:szCs w:val="20"/>
              </w:rPr>
              <w:t>Relative risk (95% CI)</w:t>
            </w:r>
          </w:p>
        </w:tc>
        <w:tc>
          <w:tcPr>
            <w:tcW w:w="1985" w:type="dxa"/>
            <w:shd w:val="clear" w:color="auto" w:fill="auto"/>
          </w:tcPr>
          <w:p w14:paraId="25109838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Absolute </w:t>
            </w:r>
            <w:r w:rsidRPr="000E3D86">
              <w:rPr>
                <w:b/>
                <w:sz w:val="20"/>
                <w:szCs w:val="20"/>
              </w:rPr>
              <w:t xml:space="preserve">risk </w:t>
            </w:r>
            <w:r>
              <w:rPr>
                <w:b/>
                <w:sz w:val="20"/>
                <w:szCs w:val="20"/>
              </w:rPr>
              <w:t xml:space="preserve">reduction </w:t>
            </w:r>
            <w:r w:rsidRPr="000E3D86">
              <w:rPr>
                <w:b/>
                <w:sz w:val="20"/>
                <w:szCs w:val="20"/>
              </w:rPr>
              <w:t>(95% CI)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8AC6B19" w14:textId="77777777" w:rsidR="0099574D" w:rsidRDefault="0099574D" w:rsidP="00D40C5A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rStyle w:val="Slutkommentarsreferens"/>
                <w:b/>
                <w:sz w:val="20"/>
                <w:szCs w:val="20"/>
              </w:rPr>
              <w:endnoteReference w:id="1"/>
            </w:r>
          </w:p>
          <w:p w14:paraId="59954DE3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</w:p>
        </w:tc>
      </w:tr>
      <w:tr w:rsidR="0099574D" w:rsidRPr="00C80B5F" w14:paraId="6143B4DC" w14:textId="77777777" w:rsidTr="00D40C5A">
        <w:tc>
          <w:tcPr>
            <w:tcW w:w="4361" w:type="dxa"/>
            <w:shd w:val="clear" w:color="auto" w:fill="auto"/>
          </w:tcPr>
          <w:p w14:paraId="727EE482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b/>
                <w:sz w:val="20"/>
                <w:szCs w:val="20"/>
              </w:rPr>
            </w:pPr>
            <w:r w:rsidRPr="000E3D86"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1417" w:type="dxa"/>
            <w:shd w:val="clear" w:color="auto" w:fill="auto"/>
          </w:tcPr>
          <w:p w14:paraId="09113176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80B5F">
              <w:rPr>
                <w:b/>
                <w:sz w:val="20"/>
                <w:szCs w:val="20"/>
              </w:rPr>
              <w:t>Control</w:t>
            </w:r>
          </w:p>
          <w:p w14:paraId="73A3346F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gramStart"/>
            <w:r w:rsidRPr="00C80B5F">
              <w:rPr>
                <w:b/>
                <w:sz w:val="20"/>
                <w:szCs w:val="20"/>
              </w:rPr>
              <w:t>n</w:t>
            </w:r>
            <w:proofErr w:type="gramEnd"/>
            <w:r w:rsidRPr="00C80B5F">
              <w:rPr>
                <w:b/>
                <w:sz w:val="20"/>
                <w:szCs w:val="20"/>
              </w:rPr>
              <w:t>= 219</w:t>
            </w:r>
          </w:p>
        </w:tc>
        <w:tc>
          <w:tcPr>
            <w:tcW w:w="1276" w:type="dxa"/>
            <w:shd w:val="clear" w:color="auto" w:fill="auto"/>
          </w:tcPr>
          <w:p w14:paraId="571F8BD8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80B5F">
              <w:rPr>
                <w:b/>
                <w:sz w:val="20"/>
                <w:szCs w:val="20"/>
              </w:rPr>
              <w:t>Dextran</w:t>
            </w:r>
          </w:p>
          <w:p w14:paraId="7044D1AE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gramStart"/>
            <w:r w:rsidRPr="00C80B5F">
              <w:rPr>
                <w:b/>
                <w:sz w:val="20"/>
                <w:szCs w:val="20"/>
              </w:rPr>
              <w:t>n</w:t>
            </w:r>
            <w:proofErr w:type="gramEnd"/>
            <w:r w:rsidRPr="00C80B5F">
              <w:rPr>
                <w:b/>
                <w:sz w:val="20"/>
                <w:szCs w:val="20"/>
              </w:rPr>
              <w:t>= 219</w:t>
            </w:r>
          </w:p>
        </w:tc>
        <w:tc>
          <w:tcPr>
            <w:tcW w:w="2126" w:type="dxa"/>
            <w:shd w:val="clear" w:color="auto" w:fill="auto"/>
          </w:tcPr>
          <w:p w14:paraId="1B2CF5DA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6E06691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CB8F43" w14:textId="77777777" w:rsidR="0099574D" w:rsidRPr="00C80B5F" w:rsidRDefault="0099574D" w:rsidP="00D40C5A">
            <w:pPr>
              <w:spacing w:before="0" w:after="0" w:line="276" w:lineRule="auto"/>
              <w:rPr>
                <w:b/>
                <w:sz w:val="20"/>
                <w:szCs w:val="20"/>
              </w:rPr>
            </w:pPr>
          </w:p>
        </w:tc>
      </w:tr>
      <w:tr w:rsidR="0099574D" w:rsidRPr="00C80B5F" w14:paraId="78C9CEF7" w14:textId="77777777" w:rsidTr="00D40C5A">
        <w:trPr>
          <w:trHeight w:hRule="exact" w:val="284"/>
        </w:trPr>
        <w:tc>
          <w:tcPr>
            <w:tcW w:w="4361" w:type="dxa"/>
            <w:shd w:val="clear" w:color="auto" w:fill="auto"/>
            <w:vAlign w:val="center"/>
          </w:tcPr>
          <w:p w14:paraId="7D7E4C9C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r w:rsidRPr="000E3D86">
              <w:rPr>
                <w:rFonts w:eastAsia="Times New Roman"/>
                <w:sz w:val="20"/>
                <w:szCs w:val="20"/>
              </w:rPr>
              <w:t>AKIN max</w:t>
            </w:r>
            <w:r>
              <w:rPr>
                <w:rStyle w:val="Slutkommentarsreferens"/>
                <w:rFonts w:eastAsia="Times New Roman"/>
                <w:sz w:val="20"/>
                <w:szCs w:val="20"/>
              </w:rPr>
              <w:endnoteReference w:id="2"/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Pr="000E3D86">
              <w:rPr>
                <w:rFonts w:eastAsia="Times New Roman"/>
                <w:sz w:val="20"/>
                <w:szCs w:val="20"/>
              </w:rPr>
              <w:t xml:space="preserve"> me</w:t>
            </w:r>
            <w:r>
              <w:rPr>
                <w:rFonts w:eastAsia="Times New Roman"/>
                <w:sz w:val="20"/>
                <w:szCs w:val="20"/>
              </w:rPr>
              <w:t>dian</w:t>
            </w:r>
            <w:r w:rsidRPr="000E3D86"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0"/>
                <w:szCs w:val="20"/>
              </w:rPr>
              <w:t>Q1-Q3</w:t>
            </w:r>
            <w:r>
              <w:rPr>
                <w:rStyle w:val="Slutkommentarsreferens"/>
                <w:rFonts w:eastAsia="Times New Roman"/>
                <w:sz w:val="20"/>
                <w:szCs w:val="20"/>
              </w:rPr>
              <w:endnoteReference w:id="3"/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4E0411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(0-3)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FEE2B5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(0-3)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4C0E33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1C98935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A15F16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0.11</w:t>
            </w:r>
          </w:p>
        </w:tc>
      </w:tr>
      <w:tr w:rsidR="0099574D" w:rsidRPr="00C80B5F" w14:paraId="0237B096" w14:textId="77777777" w:rsidTr="00D40C5A">
        <w:trPr>
          <w:trHeight w:hRule="exact" w:val="284"/>
        </w:trPr>
        <w:tc>
          <w:tcPr>
            <w:tcW w:w="4361" w:type="dxa"/>
            <w:shd w:val="clear" w:color="auto" w:fill="auto"/>
            <w:vAlign w:val="center"/>
          </w:tcPr>
          <w:p w14:paraId="34C23D14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proofErr w:type="spellStart"/>
            <w:r w:rsidRPr="000E3D86">
              <w:rPr>
                <w:rFonts w:eastAsia="Times New Roman"/>
                <w:sz w:val="20"/>
                <w:szCs w:val="20"/>
              </w:rPr>
              <w:t>DAF</w:t>
            </w:r>
            <w:proofErr w:type="spellEnd"/>
            <w:r>
              <w:rPr>
                <w:rStyle w:val="Slutkommentarsreferens"/>
                <w:rFonts w:eastAsia="Times New Roman"/>
                <w:sz w:val="20"/>
                <w:szCs w:val="20"/>
              </w:rPr>
              <w:endnoteReference w:id="4"/>
            </w:r>
            <w:r>
              <w:rPr>
                <w:rFonts w:eastAsia="Times New Roman"/>
                <w:sz w:val="20"/>
                <w:szCs w:val="20"/>
              </w:rPr>
              <w:t xml:space="preserve"> of </w:t>
            </w:r>
            <w:proofErr w:type="spellStart"/>
            <w:r w:rsidRPr="000E3D86">
              <w:rPr>
                <w:rFonts w:eastAsia="Times New Roman"/>
                <w:sz w:val="20"/>
                <w:szCs w:val="20"/>
              </w:rPr>
              <w:t>RRT</w:t>
            </w:r>
            <w:proofErr w:type="spellEnd"/>
            <w:r w:rsidRPr="000E3D86">
              <w:rPr>
                <w:rFonts w:eastAsia="Times New Roman"/>
                <w:sz w:val="20"/>
                <w:szCs w:val="20"/>
              </w:rPr>
              <w:t>, me</w:t>
            </w:r>
            <w:r>
              <w:rPr>
                <w:rFonts w:eastAsia="Times New Roman"/>
                <w:sz w:val="20"/>
                <w:szCs w:val="20"/>
              </w:rPr>
              <w:t>dian</w:t>
            </w:r>
            <w:r w:rsidRPr="000E3D86"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0"/>
                <w:szCs w:val="20"/>
              </w:rPr>
              <w:t>Q1-Q3</w:t>
            </w:r>
            <w:r w:rsidRPr="000E3D86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ADFA64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(0-28)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B84CE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(0-28)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D28855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C5193D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663CD0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0.40</w:t>
            </w:r>
          </w:p>
        </w:tc>
      </w:tr>
      <w:tr w:rsidR="0099574D" w:rsidRPr="00C80B5F" w14:paraId="7AB38DD0" w14:textId="77777777" w:rsidTr="00D40C5A">
        <w:trPr>
          <w:trHeight w:hRule="exact" w:val="284"/>
        </w:trPr>
        <w:tc>
          <w:tcPr>
            <w:tcW w:w="4361" w:type="dxa"/>
            <w:shd w:val="clear" w:color="auto" w:fill="auto"/>
            <w:vAlign w:val="center"/>
          </w:tcPr>
          <w:p w14:paraId="2D7E26BC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proofErr w:type="spellStart"/>
            <w:r w:rsidRPr="000E3D86">
              <w:rPr>
                <w:rFonts w:eastAsia="Times New Roman"/>
                <w:sz w:val="20"/>
                <w:szCs w:val="20"/>
              </w:rPr>
              <w:t>DAF</w:t>
            </w:r>
            <w:proofErr w:type="spellEnd"/>
            <w:r w:rsidRPr="000E3D86">
              <w:rPr>
                <w:rFonts w:eastAsia="Times New Roman"/>
                <w:sz w:val="20"/>
                <w:szCs w:val="20"/>
              </w:rPr>
              <w:t xml:space="preserve"> of vasopressors, me</w:t>
            </w:r>
            <w:r>
              <w:rPr>
                <w:rFonts w:eastAsia="Times New Roman"/>
                <w:sz w:val="20"/>
                <w:szCs w:val="20"/>
              </w:rPr>
              <w:t>dian</w:t>
            </w:r>
            <w:r w:rsidRPr="000E3D86"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0"/>
                <w:szCs w:val="20"/>
              </w:rPr>
              <w:t>Q1-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Q3</w:t>
            </w:r>
            <w:r w:rsidRPr="000E3D86">
              <w:rPr>
                <w:rFonts w:eastAsia="Times New Roman"/>
                <w:sz w:val="20"/>
                <w:szCs w:val="20"/>
              </w:rPr>
              <w:t>)</w:t>
            </w:r>
            <w:r w:rsidRPr="000E3D86">
              <w:rPr>
                <w:rFonts w:eastAsia="Times New Roman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5BA0D5A3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(0-27)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0A8CE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(0-26)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8B178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4CF8C6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F095E6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0.97</w:t>
            </w:r>
          </w:p>
        </w:tc>
      </w:tr>
      <w:tr w:rsidR="0099574D" w:rsidRPr="00C80B5F" w14:paraId="3E59F79C" w14:textId="77777777" w:rsidTr="00D40C5A">
        <w:trPr>
          <w:trHeight w:hRule="exact" w:val="284"/>
        </w:trPr>
        <w:tc>
          <w:tcPr>
            <w:tcW w:w="4361" w:type="dxa"/>
            <w:shd w:val="clear" w:color="auto" w:fill="auto"/>
            <w:vAlign w:val="center"/>
          </w:tcPr>
          <w:p w14:paraId="55546F1B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proofErr w:type="spellStart"/>
            <w:r w:rsidRPr="000E3D86">
              <w:rPr>
                <w:rFonts w:eastAsia="Times New Roman"/>
                <w:sz w:val="20"/>
                <w:szCs w:val="20"/>
              </w:rPr>
              <w:t>DAF</w:t>
            </w:r>
            <w:proofErr w:type="spellEnd"/>
            <w:r w:rsidRPr="000E3D86">
              <w:rPr>
                <w:rFonts w:eastAsia="Times New Roman"/>
                <w:sz w:val="20"/>
                <w:szCs w:val="20"/>
              </w:rPr>
              <w:t xml:space="preserve"> of </w:t>
            </w:r>
            <w:r>
              <w:rPr>
                <w:rFonts w:eastAsia="Times New Roman"/>
                <w:sz w:val="20"/>
                <w:szCs w:val="20"/>
              </w:rPr>
              <w:t xml:space="preserve">mechanical </w:t>
            </w:r>
            <w:r w:rsidRPr="000E3D86">
              <w:rPr>
                <w:rFonts w:eastAsia="Times New Roman"/>
                <w:sz w:val="20"/>
                <w:szCs w:val="20"/>
              </w:rPr>
              <w:t>ventilation, m</w:t>
            </w:r>
            <w:r>
              <w:rPr>
                <w:rFonts w:eastAsia="Times New Roman"/>
                <w:sz w:val="20"/>
                <w:szCs w:val="20"/>
              </w:rPr>
              <w:t>edian (Q1-Q3</w:t>
            </w:r>
            <w:r w:rsidRPr="000E3D86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37331B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(0-28)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0538D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(0-27)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81F94D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45D7D7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7616EB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0.51</w:t>
            </w:r>
          </w:p>
        </w:tc>
      </w:tr>
      <w:tr w:rsidR="00662F54" w:rsidRPr="00C80B5F" w14:paraId="4310A725" w14:textId="77777777" w:rsidTr="00D40C5A">
        <w:tc>
          <w:tcPr>
            <w:tcW w:w="4361" w:type="dxa"/>
            <w:shd w:val="clear" w:color="auto" w:fill="auto"/>
            <w:vAlign w:val="center"/>
          </w:tcPr>
          <w:p w14:paraId="70A15E4C" w14:textId="77777777" w:rsidR="00662F54" w:rsidRPr="00C80B5F" w:rsidRDefault="00662F54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proofErr w:type="spellStart"/>
            <w:r w:rsidRPr="000E3D86">
              <w:rPr>
                <w:rFonts w:eastAsia="Times New Roman"/>
                <w:sz w:val="20"/>
                <w:szCs w:val="20"/>
              </w:rPr>
              <w:t>RRT</w:t>
            </w:r>
            <w:proofErr w:type="spellEnd"/>
            <w:r>
              <w:rPr>
                <w:rStyle w:val="Slutkommentarsreferens"/>
                <w:rFonts w:eastAsia="Times New Roman"/>
                <w:sz w:val="20"/>
                <w:szCs w:val="20"/>
              </w:rPr>
              <w:endnoteReference w:id="5"/>
            </w:r>
            <w:r w:rsidRPr="000E3D86">
              <w:rPr>
                <w:rFonts w:eastAsia="Times New Roman"/>
                <w:sz w:val="20"/>
                <w:szCs w:val="20"/>
              </w:rPr>
              <w:t>, no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AB726E" w14:textId="77777777" w:rsidR="00662F54" w:rsidRPr="00C80B5F" w:rsidRDefault="00662F54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44 (20.1)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1EAA9" w14:textId="77777777" w:rsidR="00662F54" w:rsidRPr="00C80B5F" w:rsidRDefault="00662F54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51 (23.3)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A4233E" w14:textId="77777777" w:rsidR="00662F54" w:rsidRPr="00C80B5F" w:rsidRDefault="00662F54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 (0.81 to 1.66)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E8F728" w14:textId="77777777" w:rsidR="00662F54" w:rsidRPr="00C80B5F" w:rsidRDefault="00662F54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-3.2% (-10.9 to 4.5%)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5EC0A0" w14:textId="77777777" w:rsidR="00662F54" w:rsidRPr="00C80B5F" w:rsidRDefault="00662F54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0.37</w:t>
            </w:r>
          </w:p>
        </w:tc>
      </w:tr>
      <w:tr w:rsidR="0099574D" w:rsidRPr="000E3D86" w14:paraId="184E0A27" w14:textId="77777777" w:rsidTr="00D40C5A">
        <w:trPr>
          <w:trHeight w:hRule="exact" w:val="284"/>
        </w:trPr>
        <w:tc>
          <w:tcPr>
            <w:tcW w:w="4361" w:type="dxa"/>
            <w:vAlign w:val="center"/>
          </w:tcPr>
          <w:p w14:paraId="1C7CE507" w14:textId="77777777" w:rsidR="0099574D" w:rsidRPr="000E3D86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Bleeding episodes</w:t>
            </w:r>
            <w:r>
              <w:rPr>
                <w:rStyle w:val="Slutkommentarsreferens"/>
                <w:rFonts w:eastAsia="Times New Roman"/>
                <w:sz w:val="20"/>
                <w:szCs w:val="20"/>
              </w:rPr>
              <w:endnoteReference w:id="6"/>
            </w:r>
            <w:r>
              <w:rPr>
                <w:rFonts w:eastAsia="Times New Roman"/>
                <w:sz w:val="20"/>
                <w:szCs w:val="20"/>
              </w:rPr>
              <w:t>, no (%)</w:t>
            </w:r>
          </w:p>
        </w:tc>
        <w:tc>
          <w:tcPr>
            <w:tcW w:w="1417" w:type="dxa"/>
            <w:vAlign w:val="center"/>
          </w:tcPr>
          <w:p w14:paraId="7E6B10B6" w14:textId="77777777" w:rsidR="0099574D" w:rsidRPr="000E3D86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(13.6)</w:t>
            </w:r>
          </w:p>
        </w:tc>
        <w:tc>
          <w:tcPr>
            <w:tcW w:w="1276" w:type="dxa"/>
            <w:vAlign w:val="center"/>
          </w:tcPr>
          <w:p w14:paraId="6C6D07C8" w14:textId="77777777" w:rsidR="0099574D" w:rsidRPr="000E3D86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(17.3)</w:t>
            </w:r>
          </w:p>
        </w:tc>
        <w:tc>
          <w:tcPr>
            <w:tcW w:w="2126" w:type="dxa"/>
            <w:vAlign w:val="center"/>
          </w:tcPr>
          <w:p w14:paraId="2DD072A0" w14:textId="77777777" w:rsidR="0099574D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(0.81 to 1.97)</w:t>
            </w:r>
          </w:p>
        </w:tc>
        <w:tc>
          <w:tcPr>
            <w:tcW w:w="1985" w:type="dxa"/>
            <w:vAlign w:val="center"/>
          </w:tcPr>
          <w:p w14:paraId="30CA3E6A" w14:textId="77777777" w:rsidR="0099574D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-3.7% (-10.4 to 3.1%)</w:t>
            </w:r>
          </w:p>
        </w:tc>
        <w:tc>
          <w:tcPr>
            <w:tcW w:w="851" w:type="dxa"/>
            <w:vAlign w:val="center"/>
          </w:tcPr>
          <w:p w14:paraId="59C93DA0" w14:textId="77777777" w:rsidR="0099574D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</w:tr>
      <w:tr w:rsidR="0099574D" w:rsidRPr="00C80B5F" w14:paraId="0EAD0923" w14:textId="77777777" w:rsidTr="00D40C5A">
        <w:tc>
          <w:tcPr>
            <w:tcW w:w="4361" w:type="dxa"/>
            <w:shd w:val="clear" w:color="auto" w:fill="auto"/>
            <w:vAlign w:val="center"/>
          </w:tcPr>
          <w:p w14:paraId="04E84AA5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r w:rsidRPr="000E3D86">
              <w:rPr>
                <w:rFonts w:eastAsia="Times New Roman"/>
                <w:sz w:val="20"/>
                <w:szCs w:val="20"/>
              </w:rPr>
              <w:t>28-day mortality, no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845290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74 (33.8)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0481D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66 (30.1)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BB464C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0.89 (0.68 to 1.17)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848936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3.6% (-5.1 to 12.4%)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90878D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0.40</w:t>
            </w:r>
          </w:p>
        </w:tc>
      </w:tr>
      <w:tr w:rsidR="0099574D" w:rsidRPr="00C80B5F" w14:paraId="10834E92" w14:textId="77777777" w:rsidTr="00D40C5A">
        <w:tc>
          <w:tcPr>
            <w:tcW w:w="4361" w:type="dxa"/>
            <w:shd w:val="clear" w:color="auto" w:fill="auto"/>
            <w:vAlign w:val="center"/>
          </w:tcPr>
          <w:p w14:paraId="1F44402F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r w:rsidRPr="000E3D86">
              <w:rPr>
                <w:rFonts w:eastAsia="Times New Roman"/>
                <w:sz w:val="20"/>
                <w:szCs w:val="20"/>
              </w:rPr>
              <w:t>90-day mortality, no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5F14F5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94 (42.9)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3B23B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78 (35.6)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C92FE4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0.83 (0.66 to 1.05)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3F08FB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7.3% (-1.8 to 16.4%)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86624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0.10</w:t>
            </w:r>
          </w:p>
        </w:tc>
      </w:tr>
      <w:tr w:rsidR="0099574D" w:rsidRPr="00C80B5F" w14:paraId="339147E2" w14:textId="77777777" w:rsidTr="00D40C5A">
        <w:tc>
          <w:tcPr>
            <w:tcW w:w="4361" w:type="dxa"/>
            <w:shd w:val="clear" w:color="auto" w:fill="auto"/>
            <w:vAlign w:val="center"/>
          </w:tcPr>
          <w:p w14:paraId="1869E233" w14:textId="77777777" w:rsidR="0099574D" w:rsidRPr="00C80B5F" w:rsidRDefault="0099574D" w:rsidP="00D40C5A">
            <w:pPr>
              <w:spacing w:before="0" w:after="0" w:line="276" w:lineRule="auto"/>
              <w:ind w:left="142"/>
              <w:rPr>
                <w:rFonts w:eastAsia="Times New Roman"/>
                <w:sz w:val="20"/>
                <w:szCs w:val="20"/>
              </w:rPr>
            </w:pPr>
            <w:r w:rsidRPr="000E3D86">
              <w:rPr>
                <w:rFonts w:eastAsia="Times New Roman"/>
                <w:sz w:val="20"/>
                <w:szCs w:val="20"/>
              </w:rPr>
              <w:t>180-day mortality, no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1789FB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105 (48.0)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538A6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83 (37.9)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2B29AC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0.79 (0.63 to 0.98)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EA7E95" w14:textId="77777777" w:rsidR="0099574D" w:rsidRPr="00C80B5F" w:rsidRDefault="0099574D" w:rsidP="00D40C5A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10.0% (0.8 to 19.2%)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06DE77" w14:textId="77777777" w:rsidR="0099574D" w:rsidRPr="00C80B5F" w:rsidRDefault="0099574D" w:rsidP="00D40C5A">
            <w:pPr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C80B5F">
              <w:rPr>
                <w:sz w:val="20"/>
                <w:szCs w:val="20"/>
              </w:rPr>
              <w:t>0.03</w:t>
            </w:r>
          </w:p>
        </w:tc>
      </w:tr>
    </w:tbl>
    <w:p w14:paraId="4C55C27B" w14:textId="77777777" w:rsidR="00566B22" w:rsidRDefault="00566B22" w:rsidP="0099574D">
      <w:pPr>
        <w:pStyle w:val="Rubrik2"/>
      </w:pPr>
    </w:p>
    <w:sectPr w:rsidR="00566B22" w:rsidSect="00B44D80">
      <w:endnotePr>
        <w:numFmt w:val="lowerLetter"/>
      </w:endnotePr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EE280" w14:textId="77777777" w:rsidR="00284110" w:rsidRDefault="00284110" w:rsidP="00B44D80">
      <w:pPr>
        <w:spacing w:before="0" w:after="0" w:line="240" w:lineRule="auto"/>
      </w:pPr>
      <w:r>
        <w:separator/>
      </w:r>
    </w:p>
  </w:endnote>
  <w:endnote w:type="continuationSeparator" w:id="0">
    <w:p w14:paraId="7BBE62E9" w14:textId="77777777" w:rsidR="00284110" w:rsidRDefault="00284110" w:rsidP="00B44D80">
      <w:pPr>
        <w:spacing w:before="0" w:after="0" w:line="240" w:lineRule="auto"/>
      </w:pPr>
      <w:r>
        <w:continuationSeparator/>
      </w:r>
    </w:p>
  </w:endnote>
  <w:endnote w:id="1">
    <w:p w14:paraId="20C3D541" w14:textId="77777777" w:rsidR="0099574D" w:rsidRPr="005A1F3A" w:rsidRDefault="0099574D" w:rsidP="0099574D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B27917">
        <w:rPr>
          <w:sz w:val="20"/>
        </w:rPr>
        <w:t xml:space="preserve">Wilcoxon rang sum or </w:t>
      </w:r>
      <w:proofErr w:type="spellStart"/>
      <w:r w:rsidRPr="00B27917">
        <w:rPr>
          <w:sz w:val="20"/>
        </w:rPr>
        <w:t>McNemar´s</w:t>
      </w:r>
      <w:proofErr w:type="spellEnd"/>
      <w:r w:rsidRPr="00B27917">
        <w:rPr>
          <w:sz w:val="20"/>
        </w:rPr>
        <w:t xml:space="preserve"> test</w:t>
      </w:r>
    </w:p>
  </w:endnote>
  <w:endnote w:id="2">
    <w:p w14:paraId="13D8D145" w14:textId="77777777" w:rsidR="0099574D" w:rsidRPr="005A1F3A" w:rsidRDefault="0099574D" w:rsidP="0099574D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54118B">
        <w:rPr>
          <w:sz w:val="20"/>
          <w:szCs w:val="20"/>
        </w:rPr>
        <w:t xml:space="preserve">Maximal </w:t>
      </w:r>
      <w:r w:rsidRPr="0054118B">
        <w:rPr>
          <w:sz w:val="20"/>
          <w:szCs w:val="20"/>
          <w:lang w:val="en-US"/>
        </w:rPr>
        <w:t>Acute Kidney Injury Network classification score the first 10 days after admission</w:t>
      </w:r>
    </w:p>
  </w:endnote>
  <w:endnote w:id="3">
    <w:p w14:paraId="7FE0EF72" w14:textId="77777777" w:rsidR="0099574D" w:rsidRPr="005A1F3A" w:rsidRDefault="0099574D" w:rsidP="0099574D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C80B5F">
        <w:rPr>
          <w:sz w:val="20"/>
          <w:lang w:val="en-US"/>
        </w:rPr>
        <w:t>Interquartile range</w:t>
      </w:r>
    </w:p>
  </w:endnote>
  <w:endnote w:id="4">
    <w:p w14:paraId="3638DBF8" w14:textId="77777777" w:rsidR="0099574D" w:rsidRPr="005A1F3A" w:rsidRDefault="0099574D" w:rsidP="0099574D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54118B">
        <w:rPr>
          <w:sz w:val="20"/>
          <w:szCs w:val="20"/>
          <w:lang w:val="en-US"/>
        </w:rPr>
        <w:t>Days Alive and Free</w:t>
      </w:r>
    </w:p>
  </w:endnote>
  <w:endnote w:id="5">
    <w:p w14:paraId="70E91B5E" w14:textId="77777777" w:rsidR="00662F54" w:rsidRPr="005A1F3A" w:rsidRDefault="00662F54" w:rsidP="00662F54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54118B">
        <w:rPr>
          <w:sz w:val="20"/>
          <w:szCs w:val="20"/>
          <w:lang w:val="en-US"/>
        </w:rPr>
        <w:t>Renal Replacement Therapy</w:t>
      </w:r>
    </w:p>
  </w:endnote>
  <w:endnote w:id="6">
    <w:p w14:paraId="3E5B933C" w14:textId="77777777" w:rsidR="0099574D" w:rsidRPr="005A1F3A" w:rsidRDefault="0099574D" w:rsidP="0099574D">
      <w:pPr>
        <w:pStyle w:val="Slutkommentar"/>
        <w:rPr>
          <w:lang w:val="en-US"/>
        </w:rPr>
      </w:pPr>
      <w:r>
        <w:rPr>
          <w:rStyle w:val="Slutkommentarsreferens"/>
        </w:rPr>
        <w:endnoteRef/>
      </w:r>
      <w:r>
        <w:t xml:space="preserve"> </w:t>
      </w:r>
      <w:r w:rsidRPr="00FB3E91">
        <w:rPr>
          <w:sz w:val="20"/>
        </w:rPr>
        <w:t xml:space="preserve">Defined by </w:t>
      </w:r>
      <w:r>
        <w:rPr>
          <w:sz w:val="20"/>
        </w:rPr>
        <w:t xml:space="preserve">patients that </w:t>
      </w:r>
      <w:r w:rsidRPr="00FB3E91">
        <w:rPr>
          <w:sz w:val="20"/>
        </w:rPr>
        <w:t xml:space="preserve">received more than 3 units of packed red blood cells at any day the first 10 days </w:t>
      </w:r>
      <w:r>
        <w:rPr>
          <w:sz w:val="20"/>
        </w:rPr>
        <w:t>after admission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6C597" w14:textId="77777777" w:rsidR="00284110" w:rsidRDefault="00284110" w:rsidP="00B44D80">
      <w:pPr>
        <w:spacing w:before="0" w:after="0" w:line="240" w:lineRule="auto"/>
      </w:pPr>
      <w:r>
        <w:separator/>
      </w:r>
    </w:p>
  </w:footnote>
  <w:footnote w:type="continuationSeparator" w:id="0">
    <w:p w14:paraId="47F116CC" w14:textId="77777777" w:rsidR="00284110" w:rsidRDefault="00284110" w:rsidP="00B44D8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pos w:val="sectEnd"/>
    <w:numFmt w:val="lowerLetter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80"/>
    <w:rsid w:val="000709DF"/>
    <w:rsid w:val="0011623E"/>
    <w:rsid w:val="00284110"/>
    <w:rsid w:val="00365451"/>
    <w:rsid w:val="00566B22"/>
    <w:rsid w:val="00662F54"/>
    <w:rsid w:val="00871151"/>
    <w:rsid w:val="00914376"/>
    <w:rsid w:val="0099574D"/>
    <w:rsid w:val="00A310AC"/>
    <w:rsid w:val="00B44D80"/>
    <w:rsid w:val="00B64150"/>
    <w:rsid w:val="00BA060D"/>
    <w:rsid w:val="00C3690A"/>
    <w:rsid w:val="00E80083"/>
    <w:rsid w:val="00F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2DDC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B44D80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4D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B44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ellrutnt">
    <w:name w:val="Table Grid"/>
    <w:basedOn w:val="Normaltabell"/>
    <w:uiPriority w:val="59"/>
    <w:rsid w:val="00B44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lutkommentar">
    <w:name w:val="endnote text"/>
    <w:basedOn w:val="Normal"/>
    <w:link w:val="SlutkommentarChar"/>
    <w:uiPriority w:val="99"/>
    <w:unhideWhenUsed/>
    <w:rsid w:val="00B44D80"/>
    <w:pPr>
      <w:spacing w:before="0" w:after="0" w:line="240" w:lineRule="auto"/>
    </w:pPr>
  </w:style>
  <w:style w:type="character" w:customStyle="1" w:styleId="SlutkommentarChar">
    <w:name w:val="Slutkommentar Char"/>
    <w:basedOn w:val="Standardstycketypsnitt"/>
    <w:link w:val="Slutkommentar"/>
    <w:uiPriority w:val="99"/>
    <w:rsid w:val="00B44D80"/>
    <w:rPr>
      <w:rFonts w:ascii="Times New Roman" w:hAnsi="Times New Roman"/>
      <w:lang w:val="en-GB"/>
    </w:rPr>
  </w:style>
  <w:style w:type="character" w:styleId="Slutkommentarsreferens">
    <w:name w:val="endnote reference"/>
    <w:basedOn w:val="Standardstycketypsnitt"/>
    <w:uiPriority w:val="99"/>
    <w:unhideWhenUsed/>
    <w:rsid w:val="00B44D80"/>
    <w:rPr>
      <w:vertAlign w:val="superscript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9574D"/>
    <w:pPr>
      <w:spacing w:before="0" w:after="0" w:line="240" w:lineRule="auto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99574D"/>
    <w:rPr>
      <w:rFonts w:ascii="Lucida Grande" w:hAnsi="Lucida Grande" w:cs="Lucida Grande"/>
      <w:lang w:val="en-GB"/>
    </w:rPr>
  </w:style>
  <w:style w:type="table" w:customStyle="1" w:styleId="Tabellrutnt2">
    <w:name w:val="Tabellrutnät2"/>
    <w:basedOn w:val="Normaltabell"/>
    <w:next w:val="Tabellrutnt"/>
    <w:uiPriority w:val="59"/>
    <w:rsid w:val="009957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B44D80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4D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B44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ellrutnt">
    <w:name w:val="Table Grid"/>
    <w:basedOn w:val="Normaltabell"/>
    <w:uiPriority w:val="59"/>
    <w:rsid w:val="00B44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lutkommentar">
    <w:name w:val="endnote text"/>
    <w:basedOn w:val="Normal"/>
    <w:link w:val="SlutkommentarChar"/>
    <w:uiPriority w:val="99"/>
    <w:unhideWhenUsed/>
    <w:rsid w:val="00B44D80"/>
    <w:pPr>
      <w:spacing w:before="0" w:after="0" w:line="240" w:lineRule="auto"/>
    </w:pPr>
  </w:style>
  <w:style w:type="character" w:customStyle="1" w:styleId="SlutkommentarChar">
    <w:name w:val="Slutkommentar Char"/>
    <w:basedOn w:val="Standardstycketypsnitt"/>
    <w:link w:val="Slutkommentar"/>
    <w:uiPriority w:val="99"/>
    <w:rsid w:val="00B44D80"/>
    <w:rPr>
      <w:rFonts w:ascii="Times New Roman" w:hAnsi="Times New Roman"/>
      <w:lang w:val="en-GB"/>
    </w:rPr>
  </w:style>
  <w:style w:type="character" w:styleId="Slutkommentarsreferens">
    <w:name w:val="endnote reference"/>
    <w:basedOn w:val="Standardstycketypsnitt"/>
    <w:uiPriority w:val="99"/>
    <w:unhideWhenUsed/>
    <w:rsid w:val="00B44D80"/>
    <w:rPr>
      <w:vertAlign w:val="superscript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9574D"/>
    <w:pPr>
      <w:spacing w:before="0" w:after="0" w:line="240" w:lineRule="auto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99574D"/>
    <w:rPr>
      <w:rFonts w:ascii="Lucida Grande" w:hAnsi="Lucida Grande" w:cs="Lucida Grande"/>
      <w:lang w:val="en-GB"/>
    </w:rPr>
  </w:style>
  <w:style w:type="table" w:customStyle="1" w:styleId="Tabellrutnt2">
    <w:name w:val="Tabellrutnät2"/>
    <w:basedOn w:val="Normaltabell"/>
    <w:next w:val="Tabellrutnt"/>
    <w:uiPriority w:val="59"/>
    <w:rsid w:val="009957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822</Characters>
  <Application>Microsoft Macintosh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9</cp:revision>
  <dcterms:created xsi:type="dcterms:W3CDTF">2016-10-04T22:36:00Z</dcterms:created>
  <dcterms:modified xsi:type="dcterms:W3CDTF">2017-02-01T21:34:00Z</dcterms:modified>
</cp:coreProperties>
</file>