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3A" w:rsidRDefault="009626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 xml:space="preserve">Additional file 1: </w:t>
      </w:r>
      <w:r w:rsidR="006063E9" w:rsidRPr="0017684E">
        <w:rPr>
          <w:rFonts w:ascii="Times New Roman" w:hAnsi="Times New Roman"/>
          <w:sz w:val="24"/>
          <w:szCs w:val="24"/>
        </w:rPr>
        <w:t>Hayden’s</w:t>
      </w:r>
      <w:r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val="en-US" w:eastAsia="zh-CN"/>
        </w:rPr>
        <w:t>c</w:t>
      </w:r>
      <w:r>
        <w:rPr>
          <w:rFonts w:ascii="Times New Roman" w:eastAsia="宋体" w:hAnsi="Times New Roman" w:cs="Times New Roman"/>
          <w:kern w:val="2"/>
          <w:sz w:val="24"/>
          <w:szCs w:val="24"/>
          <w:lang w:val="en-US" w:eastAsia="zh-CN"/>
        </w:rPr>
        <w:t>riteria for quality assessment</w:t>
      </w:r>
      <w:r w:rsidR="0076028D">
        <w:rPr>
          <w:rFonts w:ascii="Times New Roman" w:eastAsia="宋体" w:hAnsi="Times New Roman" w:cs="Times New Roman" w:hint="eastAsia"/>
          <w:kern w:val="2"/>
          <w:sz w:val="24"/>
          <w:szCs w:val="24"/>
          <w:lang w:val="en-US" w:eastAsia="zh-CN"/>
        </w:rPr>
        <w:t>.</w:t>
      </w:r>
    </w:p>
    <w:tbl>
      <w:tblPr>
        <w:tblW w:w="9474" w:type="dxa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53"/>
        <w:gridCol w:w="2733"/>
        <w:gridCol w:w="2988"/>
      </w:tblGrid>
      <w:tr w:rsidR="00C2553A">
        <w:trPr>
          <w:trHeight w:val="435"/>
        </w:trPr>
        <w:tc>
          <w:tcPr>
            <w:tcW w:w="3753" w:type="dxa"/>
          </w:tcPr>
          <w:p w:rsidR="00C2553A" w:rsidRDefault="006063E9">
            <w:pPr>
              <w:spacing w:line="480" w:lineRule="auto"/>
              <w:jc w:val="center"/>
              <w:rPr>
                <w:b/>
                <w:kern w:val="2"/>
              </w:rPr>
            </w:pPr>
            <w:r w:rsidRPr="0017684E">
              <w:rPr>
                <w:b/>
                <w:sz w:val="21"/>
                <w:szCs w:val="24"/>
              </w:rPr>
              <w:t>Hayden’s criteria</w:t>
            </w:r>
          </w:p>
        </w:tc>
        <w:tc>
          <w:tcPr>
            <w:tcW w:w="2733" w:type="dxa"/>
          </w:tcPr>
          <w:p w:rsidR="00C2553A" w:rsidRDefault="006063E9">
            <w:pPr>
              <w:spacing w:line="480" w:lineRule="auto"/>
              <w:jc w:val="center"/>
              <w:rPr>
                <w:b/>
                <w:kern w:val="2"/>
              </w:rPr>
            </w:pPr>
            <w:r w:rsidRPr="0017684E">
              <w:rPr>
                <w:b/>
                <w:sz w:val="21"/>
                <w:szCs w:val="24"/>
              </w:rPr>
              <w:t>Components</w:t>
            </w:r>
          </w:p>
        </w:tc>
        <w:tc>
          <w:tcPr>
            <w:tcW w:w="2988" w:type="dxa"/>
          </w:tcPr>
          <w:p w:rsidR="00C2553A" w:rsidRDefault="006063E9">
            <w:pPr>
              <w:spacing w:line="480" w:lineRule="auto"/>
              <w:jc w:val="center"/>
              <w:rPr>
                <w:b/>
                <w:kern w:val="2"/>
              </w:rPr>
            </w:pPr>
            <w:r w:rsidRPr="0017684E">
              <w:rPr>
                <w:b/>
                <w:sz w:val="21"/>
                <w:szCs w:val="24"/>
              </w:rPr>
              <w:t>As applied to infection studies</w:t>
            </w:r>
          </w:p>
        </w:tc>
      </w:tr>
      <w:tr w:rsidR="00C2553A">
        <w:trPr>
          <w:trHeight w:val="12337"/>
        </w:trPr>
        <w:tc>
          <w:tcPr>
            <w:tcW w:w="3753" w:type="dxa"/>
          </w:tcPr>
          <w:p w:rsidR="00C2553A" w:rsidRDefault="006063E9">
            <w:pPr>
              <w:pStyle w:val="a3"/>
              <w:numPr>
                <w:ilvl w:val="0"/>
                <w:numId w:val="1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Study sample represents the population of interest; design is appropriate to limit potential bias.</w:t>
            </w:r>
          </w:p>
        </w:tc>
        <w:tc>
          <w:tcPr>
            <w:tcW w:w="2733" w:type="dxa"/>
          </w:tcPr>
          <w:p w:rsidR="006063E9" w:rsidRPr="00D156EA" w:rsidRDefault="006063E9" w:rsidP="006063E9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Source population clearly defined.</w:t>
            </w:r>
          </w:p>
          <w:p w:rsidR="006063E9" w:rsidRPr="00D156EA" w:rsidRDefault="006063E9" w:rsidP="006063E9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Study population described.</w:t>
            </w:r>
          </w:p>
          <w:p w:rsidR="00C2553A" w:rsidRPr="00D156EA" w:rsidRDefault="006063E9" w:rsidP="006063E9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kern w:val="2"/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Study population represents population of interest.</w:t>
            </w:r>
          </w:p>
        </w:tc>
        <w:tc>
          <w:tcPr>
            <w:tcW w:w="2988" w:type="dxa"/>
          </w:tcPr>
          <w:p w:rsidR="006063E9" w:rsidRPr="00D156EA" w:rsidRDefault="006063E9" w:rsidP="006063E9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Population limited to infection and excludes other diagnoses.</w:t>
            </w:r>
          </w:p>
          <w:p w:rsidR="006063E9" w:rsidRPr="00D156EA" w:rsidRDefault="006063E9" w:rsidP="006063E9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Requires radiological studies,microbiological findings, or clinical context confirmation and uses recognized definitions.</w:t>
            </w:r>
          </w:p>
          <w:p w:rsidR="006063E9" w:rsidRPr="00D156EA" w:rsidRDefault="006063E9" w:rsidP="006063E9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Enrols consecutive, unselected patients.</w:t>
            </w:r>
          </w:p>
          <w:p w:rsidR="00C2553A" w:rsidRPr="00D156EA" w:rsidRDefault="006063E9" w:rsidP="006063E9">
            <w:pPr>
              <w:pStyle w:val="a3"/>
              <w:numPr>
                <w:ilvl w:val="0"/>
                <w:numId w:val="3"/>
              </w:numPr>
              <w:spacing w:line="480" w:lineRule="auto"/>
              <w:rPr>
                <w:kern w:val="2"/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Demographics are representative of infection cohorts internationally.</w:t>
            </w:r>
          </w:p>
        </w:tc>
      </w:tr>
      <w:tr w:rsidR="00C2553A">
        <w:trPr>
          <w:trHeight w:val="885"/>
        </w:trPr>
        <w:tc>
          <w:tcPr>
            <w:tcW w:w="3753" w:type="dxa"/>
          </w:tcPr>
          <w:p w:rsidR="00C2553A" w:rsidRDefault="003332CF">
            <w:pPr>
              <w:pStyle w:val="a3"/>
              <w:numPr>
                <w:ilvl w:val="0"/>
                <w:numId w:val="1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lastRenderedPageBreak/>
              <w:t>Loss to follow-up and study data adequately represent the sample.</w:t>
            </w:r>
          </w:p>
        </w:tc>
        <w:tc>
          <w:tcPr>
            <w:tcW w:w="2733" w:type="dxa"/>
          </w:tcPr>
          <w:p w:rsidR="00EC6D08" w:rsidRPr="002F57B1" w:rsidRDefault="00EC6D08" w:rsidP="00EC6D08">
            <w:pPr>
              <w:pStyle w:val="a3"/>
              <w:numPr>
                <w:ilvl w:val="0"/>
                <w:numId w:val="2"/>
              </w:numPr>
              <w:spacing w:line="480" w:lineRule="auto"/>
            </w:pPr>
            <w:r w:rsidRPr="0017684E">
              <w:rPr>
                <w:sz w:val="21"/>
                <w:szCs w:val="24"/>
              </w:rPr>
              <w:t>Completeness of follow-up described.</w:t>
            </w:r>
          </w:p>
          <w:p w:rsidR="00C2553A" w:rsidRDefault="00EC6D08" w:rsidP="00EC6D08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Completeness of follow-up adequate.</w:t>
            </w:r>
          </w:p>
        </w:tc>
        <w:tc>
          <w:tcPr>
            <w:tcW w:w="2988" w:type="dxa"/>
          </w:tcPr>
          <w:p w:rsidR="00EC6D08" w:rsidRPr="002F57B1" w:rsidRDefault="00EC6D08" w:rsidP="00EC6D08">
            <w:pPr>
              <w:pStyle w:val="a3"/>
              <w:numPr>
                <w:ilvl w:val="0"/>
                <w:numId w:val="4"/>
              </w:numPr>
              <w:spacing w:line="480" w:lineRule="auto"/>
            </w:pPr>
            <w:r w:rsidRPr="0017684E">
              <w:rPr>
                <w:sz w:val="21"/>
                <w:szCs w:val="24"/>
              </w:rPr>
              <w:t>Appropriate follow-up to determine mortality.</w:t>
            </w:r>
          </w:p>
          <w:p w:rsidR="00C2553A" w:rsidRDefault="00EC6D08" w:rsidP="00EC6D08">
            <w:pPr>
              <w:pStyle w:val="a3"/>
              <w:numPr>
                <w:ilvl w:val="0"/>
                <w:numId w:val="4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Limited number of patients lost to follow-up.</w:t>
            </w:r>
          </w:p>
        </w:tc>
      </w:tr>
      <w:tr w:rsidR="00C2553A">
        <w:trPr>
          <w:trHeight w:val="9763"/>
        </w:trPr>
        <w:tc>
          <w:tcPr>
            <w:tcW w:w="3753" w:type="dxa"/>
          </w:tcPr>
          <w:p w:rsidR="00C2553A" w:rsidRPr="00D156EA" w:rsidRDefault="00EC6D08">
            <w:pPr>
              <w:pStyle w:val="a3"/>
              <w:numPr>
                <w:ilvl w:val="0"/>
                <w:numId w:val="1"/>
              </w:numPr>
              <w:spacing w:line="480" w:lineRule="auto"/>
              <w:rPr>
                <w:kern w:val="2"/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Prognostic factor of interest is adequately measured in study participants.</w:t>
            </w:r>
          </w:p>
        </w:tc>
        <w:tc>
          <w:tcPr>
            <w:tcW w:w="2733" w:type="dxa"/>
          </w:tcPr>
          <w:p w:rsidR="00EC6D08" w:rsidRPr="00D156EA" w:rsidRDefault="00EC6D08" w:rsidP="00EC6D08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Prognostic factors defined.</w:t>
            </w:r>
          </w:p>
          <w:p w:rsidR="00C2553A" w:rsidRPr="00D156EA" w:rsidRDefault="00EC6D08" w:rsidP="00EC6D08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kern w:val="2"/>
                <w:sz w:val="21"/>
                <w:szCs w:val="21"/>
              </w:rPr>
            </w:pPr>
            <w:r w:rsidRPr="00D156EA">
              <w:rPr>
                <w:sz w:val="21"/>
                <w:szCs w:val="21"/>
              </w:rPr>
              <w:t>Prognostic factors appropriately measured.</w:t>
            </w:r>
          </w:p>
        </w:tc>
        <w:tc>
          <w:tcPr>
            <w:tcW w:w="2988" w:type="dxa"/>
          </w:tcPr>
          <w:p w:rsidR="00EC6D08" w:rsidRPr="00D156EA" w:rsidRDefault="00962609" w:rsidP="00EC6D08">
            <w:pPr>
              <w:spacing w:line="480" w:lineRule="auto"/>
              <w:ind w:left="840" w:hanging="420"/>
              <w:rPr>
                <w:sz w:val="21"/>
                <w:szCs w:val="21"/>
              </w:rPr>
            </w:pPr>
            <w:r w:rsidRPr="00D156EA">
              <w:rPr>
                <w:kern w:val="2"/>
                <w:sz w:val="21"/>
                <w:szCs w:val="21"/>
              </w:rPr>
              <w:t>i)</w:t>
            </w:r>
            <w:r w:rsidRPr="00D156EA">
              <w:rPr>
                <w:rFonts w:eastAsia="宋体" w:hint="eastAsia"/>
                <w:kern w:val="2"/>
                <w:sz w:val="21"/>
                <w:szCs w:val="21"/>
                <w:lang w:val="en-US" w:eastAsia="zh-CN"/>
              </w:rPr>
              <w:t xml:space="preserve">   </w:t>
            </w:r>
            <w:r w:rsidR="00EC6D08" w:rsidRPr="00D156EA">
              <w:rPr>
                <w:sz w:val="21"/>
                <w:szCs w:val="21"/>
              </w:rPr>
              <w:t>SIRS/qSOFA scores calculated according to the standard</w:t>
            </w:r>
            <w:r w:rsidR="00EC6D08" w:rsidRPr="00D156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EC6D08" w:rsidRPr="00D156EA">
              <w:rPr>
                <w:sz w:val="21"/>
                <w:szCs w:val="21"/>
              </w:rPr>
              <w:t>definitions.</w:t>
            </w:r>
          </w:p>
          <w:p w:rsidR="00EC6D08" w:rsidRPr="00D156EA" w:rsidRDefault="00962609" w:rsidP="00D156EA">
            <w:pPr>
              <w:pStyle w:val="a3"/>
              <w:spacing w:line="480" w:lineRule="auto"/>
              <w:ind w:leftChars="200" w:left="860" w:hangingChars="200" w:hanging="420"/>
              <w:rPr>
                <w:rFonts w:eastAsiaTheme="minorEastAsia"/>
                <w:sz w:val="21"/>
                <w:szCs w:val="21"/>
                <w:lang w:eastAsia="zh-CN"/>
              </w:rPr>
            </w:pPr>
            <w:r w:rsidRPr="00D156EA">
              <w:rPr>
                <w:kern w:val="2"/>
                <w:sz w:val="21"/>
                <w:szCs w:val="21"/>
              </w:rPr>
              <w:t>II)</w:t>
            </w:r>
            <w:r w:rsidR="00EC6D08" w:rsidRPr="00D156EA">
              <w:rPr>
                <w:sz w:val="21"/>
                <w:szCs w:val="21"/>
              </w:rPr>
              <w:t xml:space="preserve"> </w:t>
            </w:r>
            <w:r w:rsidR="00EC6D08" w:rsidRPr="00D156E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EC6D08" w:rsidRPr="00D156EA">
              <w:rPr>
                <w:sz w:val="21"/>
                <w:szCs w:val="21"/>
              </w:rPr>
              <w:t>Measurement made on admission and recorded prospectively.</w:t>
            </w:r>
          </w:p>
          <w:p w:rsidR="00C2553A" w:rsidRPr="00D156EA" w:rsidRDefault="00962609" w:rsidP="00D156EA">
            <w:pPr>
              <w:pStyle w:val="a3"/>
              <w:spacing w:line="480" w:lineRule="auto"/>
              <w:ind w:leftChars="200" w:left="860" w:hangingChars="200" w:hanging="420"/>
              <w:rPr>
                <w:kern w:val="2"/>
                <w:sz w:val="21"/>
                <w:szCs w:val="21"/>
              </w:rPr>
            </w:pPr>
            <w:r w:rsidRPr="00D156EA">
              <w:rPr>
                <w:kern w:val="2"/>
                <w:sz w:val="21"/>
                <w:szCs w:val="21"/>
              </w:rPr>
              <w:t xml:space="preserve">III) </w:t>
            </w:r>
            <w:r w:rsidR="00EC6D08" w:rsidRPr="00D156EA">
              <w:rPr>
                <w:rFonts w:asciiTheme="minorEastAsia" w:eastAsiaTheme="minorEastAsia" w:hAnsiTheme="minorEastAsia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="00EC6D08" w:rsidRPr="00D156EA">
              <w:rPr>
                <w:sz w:val="21"/>
                <w:szCs w:val="21"/>
              </w:rPr>
              <w:t>Missing values minimized and appropriately addressed.</w:t>
            </w:r>
          </w:p>
        </w:tc>
      </w:tr>
      <w:tr w:rsidR="00C2553A">
        <w:trPr>
          <w:trHeight w:val="1455"/>
        </w:trPr>
        <w:tc>
          <w:tcPr>
            <w:tcW w:w="3753" w:type="dxa"/>
          </w:tcPr>
          <w:p w:rsidR="00C2553A" w:rsidRDefault="00EC6D08">
            <w:pPr>
              <w:pStyle w:val="a3"/>
              <w:numPr>
                <w:ilvl w:val="0"/>
                <w:numId w:val="1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lastRenderedPageBreak/>
              <w:t>The outcomes of interest are adequately measured in study participants.</w:t>
            </w:r>
          </w:p>
        </w:tc>
        <w:tc>
          <w:tcPr>
            <w:tcW w:w="2733" w:type="dxa"/>
          </w:tcPr>
          <w:p w:rsidR="00EC6D08" w:rsidRPr="002F57B1" w:rsidRDefault="00EC6D08" w:rsidP="00EC6D08">
            <w:pPr>
              <w:pStyle w:val="a3"/>
              <w:numPr>
                <w:ilvl w:val="0"/>
                <w:numId w:val="2"/>
              </w:numPr>
              <w:spacing w:line="480" w:lineRule="auto"/>
            </w:pPr>
            <w:r w:rsidRPr="0017684E">
              <w:rPr>
                <w:sz w:val="21"/>
                <w:szCs w:val="24"/>
              </w:rPr>
              <w:t>Outcome defined.</w:t>
            </w:r>
          </w:p>
          <w:p w:rsidR="00C2553A" w:rsidRDefault="00EC6D08" w:rsidP="00EC6D08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Outcome measured appropriately.</w:t>
            </w:r>
          </w:p>
        </w:tc>
        <w:tc>
          <w:tcPr>
            <w:tcW w:w="2988" w:type="dxa"/>
          </w:tcPr>
          <w:p w:rsidR="00EC6D08" w:rsidRDefault="00EC6D08" w:rsidP="00EC6D08">
            <w:pPr>
              <w:spacing w:line="480" w:lineRule="auto"/>
              <w:ind w:firstLineChars="200" w:firstLine="420"/>
            </w:pPr>
            <w:r w:rsidRPr="0017684E">
              <w:rPr>
                <w:sz w:val="21"/>
                <w:szCs w:val="24"/>
              </w:rPr>
              <w:t>i)  Mortality.</w:t>
            </w:r>
          </w:p>
          <w:p w:rsidR="00C2553A" w:rsidRDefault="00EC6D08" w:rsidP="00EC6D08">
            <w:pPr>
              <w:pStyle w:val="a3"/>
              <w:spacing w:line="480" w:lineRule="auto"/>
              <w:ind w:leftChars="163" w:left="779" w:hangingChars="200" w:hanging="420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 xml:space="preserve">II)  </w:t>
            </w:r>
            <w:r w:rsidRPr="00612B41">
              <w:rPr>
                <w:rFonts w:cstheme="minorHAnsi"/>
                <w:sz w:val="21"/>
                <w:szCs w:val="21"/>
              </w:rPr>
              <w:t>30-day mortality, in-hospital mortality or alternative outcome determined appropriately.</w:t>
            </w:r>
          </w:p>
        </w:tc>
      </w:tr>
      <w:tr w:rsidR="00C2553A">
        <w:trPr>
          <w:trHeight w:val="2153"/>
        </w:trPr>
        <w:tc>
          <w:tcPr>
            <w:tcW w:w="3753" w:type="dxa"/>
          </w:tcPr>
          <w:p w:rsidR="00C2553A" w:rsidRPr="00612B41" w:rsidRDefault="00962609">
            <w:pPr>
              <w:pStyle w:val="a3"/>
              <w:numPr>
                <w:ilvl w:val="0"/>
                <w:numId w:val="1"/>
              </w:numPr>
              <w:spacing w:line="480" w:lineRule="auto"/>
              <w:rPr>
                <w:kern w:val="2"/>
                <w:sz w:val="21"/>
                <w:szCs w:val="21"/>
              </w:rPr>
            </w:pPr>
            <w:r w:rsidRPr="00612B41">
              <w:rPr>
                <w:kern w:val="2"/>
                <w:sz w:val="21"/>
                <w:szCs w:val="21"/>
              </w:rPr>
              <w:t>Important confounders are accounted for.</w:t>
            </w:r>
          </w:p>
          <w:p w:rsidR="00C2553A" w:rsidRDefault="00C2553A">
            <w:pPr>
              <w:spacing w:line="480" w:lineRule="auto"/>
              <w:ind w:left="360"/>
              <w:rPr>
                <w:kern w:val="2"/>
              </w:rPr>
            </w:pPr>
          </w:p>
        </w:tc>
        <w:tc>
          <w:tcPr>
            <w:tcW w:w="2733" w:type="dxa"/>
          </w:tcPr>
          <w:p w:rsidR="00612B41" w:rsidRPr="002F57B1" w:rsidRDefault="00612B41" w:rsidP="00612B41">
            <w:pPr>
              <w:pStyle w:val="a3"/>
              <w:numPr>
                <w:ilvl w:val="0"/>
                <w:numId w:val="2"/>
              </w:numPr>
              <w:spacing w:line="480" w:lineRule="auto"/>
            </w:pPr>
            <w:r w:rsidRPr="0017684E">
              <w:rPr>
                <w:sz w:val="21"/>
                <w:szCs w:val="24"/>
              </w:rPr>
              <w:t>Confounders defined and measured.</w:t>
            </w:r>
          </w:p>
          <w:p w:rsidR="00C2553A" w:rsidRDefault="00612B41" w:rsidP="00612B41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Confounders accounted for.</w:t>
            </w:r>
          </w:p>
        </w:tc>
        <w:tc>
          <w:tcPr>
            <w:tcW w:w="2988" w:type="dxa"/>
          </w:tcPr>
          <w:p w:rsidR="00C2553A" w:rsidRDefault="00612B41">
            <w:p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Not applicable as</w:t>
            </w:r>
            <w:r>
              <w:rPr>
                <w:rFonts w:asciiTheme="minorEastAsia" w:eastAsiaTheme="minorEastAsia" w:hAnsiTheme="minorEastAsia" w:hint="eastAsia"/>
                <w:sz w:val="21"/>
                <w:szCs w:val="24"/>
                <w:lang w:eastAsia="zh-CN"/>
              </w:rPr>
              <w:t xml:space="preserve"> </w:t>
            </w:r>
            <w:r w:rsidRPr="0017684E">
              <w:rPr>
                <w:sz w:val="21"/>
                <w:szCs w:val="24"/>
              </w:rPr>
              <w:t>prognostic scores are used independently.</w:t>
            </w:r>
          </w:p>
        </w:tc>
      </w:tr>
      <w:tr w:rsidR="00C2553A">
        <w:trPr>
          <w:trHeight w:val="660"/>
        </w:trPr>
        <w:tc>
          <w:tcPr>
            <w:tcW w:w="3753" w:type="dxa"/>
          </w:tcPr>
          <w:p w:rsidR="00C2553A" w:rsidRDefault="00612B41">
            <w:pPr>
              <w:pStyle w:val="a3"/>
              <w:numPr>
                <w:ilvl w:val="0"/>
                <w:numId w:val="1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Appropriate statistical analysis.</w:t>
            </w:r>
          </w:p>
        </w:tc>
        <w:tc>
          <w:tcPr>
            <w:tcW w:w="2733" w:type="dxa"/>
          </w:tcPr>
          <w:p w:rsidR="00612B41" w:rsidRPr="002F57B1" w:rsidRDefault="00612B41" w:rsidP="00612B41">
            <w:pPr>
              <w:pStyle w:val="a3"/>
              <w:numPr>
                <w:ilvl w:val="0"/>
                <w:numId w:val="2"/>
              </w:numPr>
              <w:spacing w:line="480" w:lineRule="auto"/>
            </w:pPr>
            <w:r w:rsidRPr="0017684E">
              <w:rPr>
                <w:sz w:val="21"/>
                <w:szCs w:val="24"/>
              </w:rPr>
              <w:t>Analysis described.</w:t>
            </w:r>
          </w:p>
          <w:p w:rsidR="00612B41" w:rsidRPr="002F57B1" w:rsidRDefault="00612B41" w:rsidP="00612B41">
            <w:pPr>
              <w:pStyle w:val="a3"/>
              <w:numPr>
                <w:ilvl w:val="0"/>
                <w:numId w:val="2"/>
              </w:numPr>
              <w:spacing w:line="480" w:lineRule="auto"/>
            </w:pPr>
            <w:r w:rsidRPr="0017684E">
              <w:rPr>
                <w:sz w:val="21"/>
                <w:szCs w:val="24"/>
              </w:rPr>
              <w:t>Analysis appropriate.</w:t>
            </w:r>
          </w:p>
          <w:p w:rsidR="00C2553A" w:rsidRDefault="00612B41" w:rsidP="00612B41">
            <w:pPr>
              <w:pStyle w:val="a3"/>
              <w:numPr>
                <w:ilvl w:val="0"/>
                <w:numId w:val="2"/>
              </w:numPr>
              <w:spacing w:line="480" w:lineRule="auto"/>
              <w:rPr>
                <w:kern w:val="2"/>
              </w:rPr>
            </w:pPr>
            <w:r w:rsidRPr="0017684E">
              <w:rPr>
                <w:sz w:val="21"/>
                <w:szCs w:val="24"/>
              </w:rPr>
              <w:t>Analysis provides sufficient presentation of data.</w:t>
            </w:r>
          </w:p>
        </w:tc>
        <w:tc>
          <w:tcPr>
            <w:tcW w:w="2988" w:type="dxa"/>
          </w:tcPr>
          <w:p w:rsidR="00C2553A" w:rsidRPr="00D156EA" w:rsidRDefault="00612B41">
            <w:pPr>
              <w:spacing w:line="480" w:lineRule="auto"/>
              <w:rPr>
                <w:rFonts w:cstheme="minorHAnsi"/>
                <w:kern w:val="2"/>
                <w:sz w:val="21"/>
                <w:szCs w:val="21"/>
              </w:rPr>
            </w:pPr>
            <w:r w:rsidRPr="00D156EA">
              <w:rPr>
                <w:rFonts w:cstheme="minorHAnsi"/>
                <w:sz w:val="21"/>
                <w:szCs w:val="24"/>
              </w:rPr>
              <w:t>i)</w:t>
            </w:r>
            <w:r w:rsidR="00962609" w:rsidRPr="00D156EA">
              <w:rPr>
                <w:rFonts w:cstheme="minorHAnsi"/>
                <w:kern w:val="2"/>
                <w:sz w:val="21"/>
                <w:szCs w:val="21"/>
              </w:rPr>
              <w:t xml:space="preserve"> Uses and reports</w:t>
            </w:r>
            <w:r w:rsidR="0076028D" w:rsidRPr="00D156EA">
              <w:rPr>
                <w:rFonts w:eastAsiaTheme="minorEastAsia" w:cstheme="minorHAnsi"/>
                <w:kern w:val="2"/>
                <w:sz w:val="21"/>
                <w:szCs w:val="21"/>
                <w:lang w:eastAsia="zh-CN"/>
              </w:rPr>
              <w:t xml:space="preserve"> </w:t>
            </w:r>
            <w:r w:rsidR="00962609" w:rsidRPr="00D156EA">
              <w:rPr>
                <w:rFonts w:cstheme="minorHAnsi"/>
                <w:kern w:val="2"/>
                <w:sz w:val="21"/>
                <w:szCs w:val="21"/>
              </w:rPr>
              <w:t>sensitivity/specificity /PPV</w:t>
            </w:r>
            <w:r w:rsidR="0076028D" w:rsidRPr="00D156EA">
              <w:rPr>
                <w:rFonts w:eastAsiaTheme="minorEastAsia" w:cstheme="minorHAnsi"/>
                <w:kern w:val="2"/>
                <w:sz w:val="21"/>
                <w:szCs w:val="21"/>
                <w:lang w:eastAsia="zh-CN"/>
              </w:rPr>
              <w:t xml:space="preserve"> </w:t>
            </w:r>
            <w:r w:rsidR="00962609" w:rsidRPr="00D156EA">
              <w:rPr>
                <w:rFonts w:cstheme="minorHAnsi"/>
                <w:kern w:val="2"/>
                <w:sz w:val="21"/>
                <w:szCs w:val="21"/>
              </w:rPr>
              <w:t>and</w:t>
            </w:r>
            <w:r w:rsidR="0076028D" w:rsidRPr="00D156EA">
              <w:rPr>
                <w:rFonts w:eastAsiaTheme="minorEastAsia" w:cstheme="minorHAnsi"/>
                <w:kern w:val="2"/>
                <w:sz w:val="21"/>
                <w:szCs w:val="21"/>
                <w:lang w:eastAsia="zh-CN"/>
              </w:rPr>
              <w:t xml:space="preserve"> </w:t>
            </w:r>
            <w:r w:rsidR="00962609" w:rsidRPr="00D156EA">
              <w:rPr>
                <w:rFonts w:cstheme="minorHAnsi"/>
                <w:kern w:val="2"/>
                <w:sz w:val="21"/>
                <w:szCs w:val="21"/>
              </w:rPr>
              <w:t>NPV</w:t>
            </w:r>
            <w:r w:rsidR="0076028D" w:rsidRPr="00D156EA">
              <w:rPr>
                <w:rFonts w:eastAsiaTheme="minorEastAsia" w:cstheme="minorHAnsi"/>
                <w:kern w:val="2"/>
                <w:sz w:val="21"/>
                <w:szCs w:val="21"/>
                <w:lang w:eastAsia="zh-CN"/>
              </w:rPr>
              <w:t xml:space="preserve"> </w:t>
            </w:r>
            <w:r w:rsidR="00962609" w:rsidRPr="00D156EA">
              <w:rPr>
                <w:rFonts w:cstheme="minorHAnsi"/>
                <w:kern w:val="2"/>
                <w:sz w:val="21"/>
                <w:szCs w:val="21"/>
              </w:rPr>
              <w:t xml:space="preserve">or receiver operator characteristic curve for </w:t>
            </w:r>
            <w:r w:rsidR="00962609" w:rsidRPr="00D156EA">
              <w:rPr>
                <w:rFonts w:eastAsia="宋体" w:cstheme="minorHAnsi"/>
                <w:kern w:val="2"/>
                <w:sz w:val="21"/>
                <w:szCs w:val="21"/>
                <w:lang w:val="en-US" w:eastAsia="zh-CN"/>
              </w:rPr>
              <w:t>infection</w:t>
            </w:r>
            <w:r w:rsidR="00962609" w:rsidRPr="00D156EA">
              <w:rPr>
                <w:rFonts w:cstheme="minorHAnsi"/>
                <w:kern w:val="2"/>
                <w:sz w:val="21"/>
                <w:szCs w:val="21"/>
              </w:rPr>
              <w:t xml:space="preserve"> severity scores</w:t>
            </w:r>
            <w:r w:rsidRPr="00D156EA">
              <w:rPr>
                <w:rFonts w:eastAsiaTheme="minorEastAsia" w:cstheme="minorHAnsi"/>
                <w:kern w:val="2"/>
                <w:sz w:val="21"/>
                <w:szCs w:val="21"/>
                <w:lang w:eastAsia="zh-CN"/>
              </w:rPr>
              <w:t>.</w:t>
            </w:r>
          </w:p>
          <w:p w:rsidR="00C2553A" w:rsidRDefault="00962609">
            <w:pPr>
              <w:spacing w:line="480" w:lineRule="auto"/>
              <w:rPr>
                <w:kern w:val="2"/>
              </w:rPr>
            </w:pPr>
            <w:r w:rsidRPr="00D156EA">
              <w:rPr>
                <w:rFonts w:cstheme="minorHAnsi"/>
                <w:kern w:val="2"/>
                <w:sz w:val="21"/>
                <w:szCs w:val="21"/>
              </w:rPr>
              <w:t xml:space="preserve">II) </w:t>
            </w:r>
            <w:r w:rsidRPr="00D156EA">
              <w:rPr>
                <w:rFonts w:eastAsia="CMR10" w:cstheme="minorHAnsi"/>
                <w:kern w:val="2"/>
                <w:sz w:val="21"/>
                <w:szCs w:val="21"/>
              </w:rPr>
              <w:t>There is no selective</w:t>
            </w:r>
            <w:r w:rsidR="0076028D" w:rsidRPr="00D156EA">
              <w:rPr>
                <w:rFonts w:eastAsiaTheme="minorEastAsia" w:cstheme="minorHAnsi"/>
                <w:kern w:val="2"/>
                <w:sz w:val="21"/>
                <w:szCs w:val="21"/>
                <w:lang w:eastAsia="zh-CN"/>
              </w:rPr>
              <w:t xml:space="preserve"> </w:t>
            </w:r>
            <w:r w:rsidRPr="00D156EA">
              <w:rPr>
                <w:rFonts w:eastAsia="CMR10" w:cstheme="minorHAnsi"/>
                <w:kern w:val="2"/>
                <w:sz w:val="21"/>
                <w:szCs w:val="21"/>
              </w:rPr>
              <w:t>reporting of results</w:t>
            </w:r>
            <w:r w:rsidRPr="00D156EA">
              <w:rPr>
                <w:rFonts w:eastAsia="宋体" w:cstheme="minorHAnsi"/>
                <w:kern w:val="2"/>
                <w:sz w:val="21"/>
                <w:szCs w:val="21"/>
                <w:lang w:val="en-US" w:eastAsia="zh-CN"/>
              </w:rPr>
              <w:t>.</w:t>
            </w:r>
          </w:p>
        </w:tc>
      </w:tr>
    </w:tbl>
    <w:p w:rsidR="00C2553A" w:rsidRPr="00531AC9" w:rsidRDefault="00612B41" w:rsidP="00C417B2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31AC9">
        <w:rPr>
          <w:rFonts w:ascii="Times New Roman" w:hAnsi="Times New Roman" w:cs="Times New Roman"/>
          <w:sz w:val="24"/>
          <w:szCs w:val="24"/>
        </w:rPr>
        <w:t>Additional file 1- Hayden’s criteria for quality assessment, modified to apply to</w:t>
      </w:r>
      <w:r w:rsidR="00531AC9" w:rsidRPr="00531AC9">
        <w:rPr>
          <w:rFonts w:asciiTheme="minorEastAsia" w:eastAsiaTheme="minorEastAsia" w:hAnsiTheme="minorEastAsia" w:cs="Times New Roman" w:hint="eastAsia"/>
          <w:sz w:val="24"/>
          <w:szCs w:val="24"/>
          <w:lang w:eastAsia="zh-CN"/>
        </w:rPr>
        <w:t xml:space="preserve"> </w:t>
      </w:r>
      <w:r w:rsidRPr="00531AC9">
        <w:rPr>
          <w:rFonts w:ascii="Times New Roman" w:hAnsi="Times New Roman" w:cs="Times New Roman"/>
          <w:sz w:val="24"/>
          <w:szCs w:val="24"/>
        </w:rPr>
        <w:t>studies of infection.</w:t>
      </w:r>
    </w:p>
    <w:sectPr w:rsidR="00C2553A" w:rsidRPr="00531AC9" w:rsidSect="00C25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264" w:rsidRDefault="00F42264" w:rsidP="0076028D">
      <w:pPr>
        <w:spacing w:after="0" w:line="240" w:lineRule="auto"/>
      </w:pPr>
      <w:r>
        <w:separator/>
      </w:r>
    </w:p>
  </w:endnote>
  <w:endnote w:type="continuationSeparator" w:id="1">
    <w:p w:rsidR="00F42264" w:rsidRDefault="00F42264" w:rsidP="0076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MR10">
    <w:altName w:val="Courier New"/>
    <w:charset w:val="00"/>
    <w:family w:val="auto"/>
    <w:pitch w:val="default"/>
    <w:sig w:usb0="00000000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264" w:rsidRDefault="00F42264" w:rsidP="0076028D">
      <w:pPr>
        <w:spacing w:after="0" w:line="240" w:lineRule="auto"/>
      </w:pPr>
      <w:r>
        <w:separator/>
      </w:r>
    </w:p>
  </w:footnote>
  <w:footnote w:type="continuationSeparator" w:id="1">
    <w:p w:rsidR="00F42264" w:rsidRDefault="00F42264" w:rsidP="00760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0004"/>
    <w:multiLevelType w:val="multilevel"/>
    <w:tmpl w:val="12300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60E90"/>
    <w:multiLevelType w:val="multilevel"/>
    <w:tmpl w:val="2FB60E90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51DDF"/>
    <w:multiLevelType w:val="multilevel"/>
    <w:tmpl w:val="35151DD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973914"/>
    <w:multiLevelType w:val="multilevel"/>
    <w:tmpl w:val="6C973914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172A27"/>
    <w:rsid w:val="00172A27"/>
    <w:rsid w:val="003332CF"/>
    <w:rsid w:val="00366007"/>
    <w:rsid w:val="00531AC9"/>
    <w:rsid w:val="006063E9"/>
    <w:rsid w:val="00612B41"/>
    <w:rsid w:val="0076028D"/>
    <w:rsid w:val="007F2E51"/>
    <w:rsid w:val="00817D79"/>
    <w:rsid w:val="00962609"/>
    <w:rsid w:val="00C2553A"/>
    <w:rsid w:val="00C417B2"/>
    <w:rsid w:val="00D156EA"/>
    <w:rsid w:val="00EC6D08"/>
    <w:rsid w:val="00F42264"/>
    <w:rsid w:val="02E938EF"/>
    <w:rsid w:val="03767FC3"/>
    <w:rsid w:val="056A7519"/>
    <w:rsid w:val="06807643"/>
    <w:rsid w:val="090E7151"/>
    <w:rsid w:val="0AC12222"/>
    <w:rsid w:val="0C6A12E1"/>
    <w:rsid w:val="154D7C0F"/>
    <w:rsid w:val="1B8D6C94"/>
    <w:rsid w:val="21374EA6"/>
    <w:rsid w:val="22F269D1"/>
    <w:rsid w:val="23AA31AD"/>
    <w:rsid w:val="271672C4"/>
    <w:rsid w:val="2D9570A5"/>
    <w:rsid w:val="3A3A0EFE"/>
    <w:rsid w:val="3DD1793B"/>
    <w:rsid w:val="3E7E65A8"/>
    <w:rsid w:val="3F9B3A1C"/>
    <w:rsid w:val="46EC20A9"/>
    <w:rsid w:val="47BE0491"/>
    <w:rsid w:val="4A593E6F"/>
    <w:rsid w:val="4C8C0791"/>
    <w:rsid w:val="54865CB3"/>
    <w:rsid w:val="57E1652F"/>
    <w:rsid w:val="5D8F1784"/>
    <w:rsid w:val="62161A64"/>
    <w:rsid w:val="65B637DE"/>
    <w:rsid w:val="65D84ED1"/>
    <w:rsid w:val="66295F60"/>
    <w:rsid w:val="68A76D70"/>
    <w:rsid w:val="6ABE0803"/>
    <w:rsid w:val="701175BF"/>
    <w:rsid w:val="719D18F9"/>
    <w:rsid w:val="719E6A56"/>
    <w:rsid w:val="729D430D"/>
    <w:rsid w:val="750B6603"/>
    <w:rsid w:val="7CFB467C"/>
    <w:rsid w:val="7E9B0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553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53A"/>
    <w:pPr>
      <w:ind w:left="720"/>
      <w:contextualSpacing/>
    </w:pPr>
  </w:style>
  <w:style w:type="paragraph" w:styleId="a4">
    <w:name w:val="header"/>
    <w:basedOn w:val="a"/>
    <w:link w:val="Char"/>
    <w:rsid w:val="00760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6028D"/>
    <w:rPr>
      <w:rFonts w:asciiTheme="minorHAnsi" w:eastAsiaTheme="minorHAnsi" w:hAnsiTheme="minorHAnsi" w:cstheme="minorBidi"/>
      <w:sz w:val="18"/>
      <w:szCs w:val="18"/>
      <w:lang w:val="en-GB" w:eastAsia="en-US"/>
    </w:rPr>
  </w:style>
  <w:style w:type="paragraph" w:styleId="a5">
    <w:name w:val="footer"/>
    <w:basedOn w:val="a"/>
    <w:link w:val="Char0"/>
    <w:qFormat/>
    <w:rsid w:val="0076028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6028D"/>
    <w:rPr>
      <w:rFonts w:asciiTheme="minorHAnsi" w:eastAsiaTheme="minorHAnsi" w:hAnsiTheme="minorHAnsi" w:cstheme="minorBidi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300</Words>
  <Characters>1714</Characters>
  <Application>Microsoft Office Word</Application>
  <DocSecurity>0</DocSecurity>
  <Lines>14</Lines>
  <Paragraphs>4</Paragraphs>
  <ScaleCrop>false</ScaleCrop>
  <Company>SkyUN.Org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SkyUN.Org</cp:lastModifiedBy>
  <cp:revision>5</cp:revision>
  <dcterms:created xsi:type="dcterms:W3CDTF">2014-10-29T12:08:00Z</dcterms:created>
  <dcterms:modified xsi:type="dcterms:W3CDTF">2018-06-23T06:33:00Z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