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1F6" w:rsidRPr="00484D10" w:rsidRDefault="005251F6" w:rsidP="005251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  <w:r w:rsidRPr="00484D10">
        <w:rPr>
          <w:rFonts w:ascii="Times New Roman" w:hAnsi="Times New Roman" w:cs="Times New Roman"/>
          <w:b/>
          <w:bCs/>
          <w:sz w:val="24"/>
          <w:szCs w:val="24"/>
          <w:lang w:val="en-GB"/>
        </w:rPr>
        <w:t>Appendices</w:t>
      </w:r>
    </w:p>
    <w:p w:rsidR="005251F6" w:rsidRPr="00484D10" w:rsidRDefault="005251F6" w:rsidP="005251F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84D1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S1: </w:t>
      </w:r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Baseline characteristics for registry data including moderate/severe TBI patients only, </w:t>
      </w:r>
      <w:r w:rsidRPr="00484D10">
        <w:rPr>
          <w:rFonts w:ascii="Times New Roman" w:hAnsi="Times New Roman" w:cs="Times New Roman"/>
          <w:sz w:val="24"/>
          <w:szCs w:val="24"/>
          <w:lang w:val="en-US"/>
        </w:rPr>
        <w:t>continuous: median (IQR), categorical: number (%)</w:t>
      </w:r>
    </w:p>
    <w:tbl>
      <w:tblPr>
        <w:tblStyle w:val="TableGrid"/>
        <w:tblW w:w="9806" w:type="dxa"/>
        <w:tblLook w:val="04A0" w:firstRow="1" w:lastRow="0" w:firstColumn="1" w:lastColumn="0" w:noHBand="0" w:noVBand="1"/>
      </w:tblPr>
      <w:tblGrid>
        <w:gridCol w:w="4820"/>
        <w:gridCol w:w="2044"/>
        <w:gridCol w:w="2044"/>
        <w:gridCol w:w="898"/>
      </w:tblGrid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 referral (N=1627)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Early secondary refer</w:t>
            </w: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ral (N=523)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p-value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Patient and injury characteristics</w:t>
            </w:r>
          </w:p>
        </w:tc>
        <w:tc>
          <w:tcPr>
            <w:tcW w:w="2044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8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(median [IQR])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52.00 [30.00, 71.00]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57.00 [41.00, 73.00]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1151 (70.7)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374 (71.5)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Mechanism of Injury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Assault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 (7.8)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 (6.2)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High energetic fall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360 (23.5)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 (25.8)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Low energetic fall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479 (31.2)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187 (40.2)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Other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(0.5)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(0.9)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Road traffic incident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535 (34.9)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 (25.2)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Self-harm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 (2.1)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(1.7)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 of injury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Home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556 (36.9)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244 (50.7)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Public location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231 (15.3)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 (12.3)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Sport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(1.8)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(2.3)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Street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635 (42.1)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 (31.2)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Work related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 (3.8)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(3.5)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GCS at arrival ED (median [IQR])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[3, 11]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[3, 10]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SBP at arrival ED (median [IQR])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130 [113, 150]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134 [119, 154]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Saturation at arrival ED (median [IQR])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[96, 100]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 [96, 100]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 (median [IQR])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[12, 41]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[16, 33]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 w:eastAsia="nl-NL"/>
              </w:rPr>
              <w:t>Pupil differences at ED (%)</w:t>
            </w:r>
          </w:p>
        </w:tc>
        <w:tc>
          <w:tcPr>
            <w:tcW w:w="2044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0.27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 w:eastAsia="nl-NL"/>
              </w:rPr>
              <w:t xml:space="preserve">   No pupil difference</w:t>
            </w:r>
          </w:p>
        </w:tc>
        <w:tc>
          <w:tcPr>
            <w:tcW w:w="2044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1171 (75.5)</w:t>
            </w:r>
          </w:p>
        </w:tc>
        <w:tc>
          <w:tcPr>
            <w:tcW w:w="2044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385 (75.9)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 w:eastAsia="nl-NL"/>
              </w:rPr>
              <w:t xml:space="preserve">   One pupil not reactive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128 (8.3)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 (10.1)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 w:eastAsia="nl-NL"/>
              </w:rPr>
              <w:t xml:space="preserve">   Two pupils not reactive</w:t>
            </w:r>
          </w:p>
        </w:tc>
        <w:tc>
          <w:tcPr>
            <w:tcW w:w="2044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251 (16.2)</w:t>
            </w:r>
          </w:p>
        </w:tc>
        <w:tc>
          <w:tcPr>
            <w:tcW w:w="2044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 (14.0)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Intubation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977 (60.1)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379 (72.5)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 of transportation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Ambulance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685 (42.9)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187 (36.6)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Helicopter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 (12.8)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 (3.5)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Medical mobile team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663 (41.5)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275 (53.8)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None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 (2.8)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 (6.1)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Emergency interventions</w:t>
            </w:r>
          </w:p>
        </w:tc>
        <w:tc>
          <w:tcPr>
            <w:tcW w:w="2044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8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Extraperitoneal</w:t>
            </w:r>
            <w:proofErr w:type="spellEnd"/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pelvic packing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(0.7)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(0.4)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0.67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Damage control laparotomy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(1.5)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(1.5)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1.000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Damage control thoracotomy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(1.0)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(0.4)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Decompression </w:t>
            </w:r>
            <w:proofErr w:type="spellStart"/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craniectomy</w:t>
            </w:r>
            <w:proofErr w:type="spellEnd"/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 (6.1)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 (9.6)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Craniotomy for hematoma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171 (10.5)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 (31.4)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Interventional radiology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 (1.7)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(0.8)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0.17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External fixation limb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 (3.6)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(2.3)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Imaging characteristics</w:t>
            </w:r>
          </w:p>
        </w:tc>
        <w:tc>
          <w:tcPr>
            <w:tcW w:w="2044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8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Intracranial lesions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984 (87.2)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448 (90.3)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0.083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Subarachnoid hemorrhage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783 (69.8)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322 (65.3)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0.085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Midline shift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405 (37.5)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249 (54.5)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Intracranial contusion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666 (69.1)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303 (69.2)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Subdural hematoma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665 (68.8)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317 (70.9)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Epidural hematoma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171 (17.9)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 (19.8)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0.45</w:t>
            </w: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Outcome characteristics</w:t>
            </w:r>
          </w:p>
        </w:tc>
        <w:tc>
          <w:tcPr>
            <w:tcW w:w="2044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4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8" w:type="dxa"/>
            <w:noWrap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251F6" w:rsidRPr="00484D10" w:rsidTr="00106EE0">
        <w:trPr>
          <w:trHeight w:val="227"/>
        </w:trPr>
        <w:tc>
          <w:tcPr>
            <w:tcW w:w="4820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In-hospital mortality (%)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358 (23.5)</w:t>
            </w:r>
          </w:p>
        </w:tc>
        <w:tc>
          <w:tcPr>
            <w:tcW w:w="2044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 (20.4)</w:t>
            </w:r>
          </w:p>
        </w:tc>
        <w:tc>
          <w:tcPr>
            <w:tcW w:w="898" w:type="dxa"/>
            <w:noWrap/>
            <w:hideMark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0.18</w:t>
            </w:r>
          </w:p>
        </w:tc>
      </w:tr>
    </w:tbl>
    <w:p w:rsidR="005251F6" w:rsidRPr="00484D10" w:rsidRDefault="005251F6" w:rsidP="005251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5251F6" w:rsidRPr="00484D10" w:rsidRDefault="005251F6" w:rsidP="005251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251F6" w:rsidRPr="00484D10" w:rsidRDefault="005251F6" w:rsidP="005251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84D10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:rsidR="005251F6" w:rsidRPr="00484D10" w:rsidRDefault="005251F6" w:rsidP="005251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84D1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S2: </w:t>
      </w:r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Effect of </w:t>
      </w:r>
      <w:r>
        <w:rPr>
          <w:rFonts w:ascii="Times New Roman" w:hAnsi="Times New Roman" w:cs="Times New Roman"/>
          <w:sz w:val="24"/>
          <w:szCs w:val="24"/>
          <w:lang w:val="en-GB"/>
        </w:rPr>
        <w:t>early secondary refer</w:t>
      </w:r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ral on in-hospital mortality in the registry. </w:t>
      </w:r>
    </w:p>
    <w:tbl>
      <w:tblPr>
        <w:tblStyle w:val="TableGrid"/>
        <w:tblW w:w="6743" w:type="dxa"/>
        <w:tblLook w:val="04A0" w:firstRow="1" w:lastRow="0" w:firstColumn="1" w:lastColumn="0" w:noHBand="0" w:noVBand="1"/>
      </w:tblPr>
      <w:tblGrid>
        <w:gridCol w:w="4492"/>
        <w:gridCol w:w="2251"/>
      </w:tblGrid>
      <w:tr w:rsidR="005251F6" w:rsidRPr="00D57E46" w:rsidTr="00106EE0">
        <w:trPr>
          <w:trHeight w:val="19"/>
        </w:trPr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Survival on discharge</w:t>
            </w:r>
          </w:p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OR (95% CI) </w:t>
            </w:r>
          </w:p>
        </w:tc>
      </w:tr>
      <w:tr w:rsidR="005251F6" w:rsidRPr="00484D10" w:rsidTr="00106EE0">
        <w:trPr>
          <w:trHeight w:val="9"/>
        </w:trPr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Unadjusted </w:t>
            </w:r>
          </w:p>
        </w:tc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1.14 (0.87 – 1.49)</w:t>
            </w:r>
          </w:p>
        </w:tc>
      </w:tr>
      <w:tr w:rsidR="005251F6" w:rsidRPr="00484D10" w:rsidTr="00106EE0">
        <w:trPr>
          <w:trHeight w:val="9"/>
        </w:trPr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Multivariable adjustment*</w:t>
            </w:r>
          </w:p>
        </w:tc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1.21 (0.84 – 1.73)</w:t>
            </w:r>
          </w:p>
        </w:tc>
      </w:tr>
      <w:tr w:rsidR="005251F6" w:rsidRPr="00D57E46" w:rsidTr="00106EE0">
        <w:trPr>
          <w:trHeight w:val="9"/>
        </w:trPr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Subgroup: patients with mass lesion/ASDH</w:t>
            </w:r>
          </w:p>
        </w:tc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251F6" w:rsidRPr="00484D10" w:rsidTr="00106EE0">
        <w:trPr>
          <w:trHeight w:val="9"/>
        </w:trPr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Unadjusted</w:t>
            </w:r>
          </w:p>
        </w:tc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1.44 (1.05 – 1.97)</w:t>
            </w:r>
          </w:p>
        </w:tc>
      </w:tr>
      <w:tr w:rsidR="005251F6" w:rsidRPr="00484D10" w:rsidTr="00106EE0">
        <w:trPr>
          <w:trHeight w:val="9"/>
        </w:trPr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Multivariable adjustment**</w:t>
            </w:r>
          </w:p>
        </w:tc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1.06 (0.70 – 1.58)</w:t>
            </w:r>
          </w:p>
        </w:tc>
      </w:tr>
    </w:tbl>
    <w:p w:rsidR="005251F6" w:rsidRPr="00484D10" w:rsidRDefault="005251F6" w:rsidP="005251F6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*adjusted for: age, GCS, pupil inequality, ISS, CT lesions: </w:t>
      </w:r>
      <w:proofErr w:type="spellStart"/>
      <w:r w:rsidRPr="00484D10">
        <w:rPr>
          <w:rFonts w:ascii="Times New Roman" w:hAnsi="Times New Roman" w:cs="Times New Roman"/>
          <w:sz w:val="24"/>
          <w:szCs w:val="24"/>
          <w:lang w:val="en-GB"/>
        </w:rPr>
        <w:t>tSAH</w:t>
      </w:r>
      <w:proofErr w:type="spellEnd"/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, epidural hematoma, mass lesion, acute subdural hematoma, and a random intercept for </w:t>
      </w:r>
      <w:proofErr w:type="spellStart"/>
      <w:r w:rsidRPr="00484D10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Pr="00484D1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251F6" w:rsidRPr="00484D10" w:rsidRDefault="005251F6" w:rsidP="005251F6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** adjusted for: age, GCS, pupil inequality, ISS and a random intercept for </w:t>
      </w:r>
      <w:proofErr w:type="spellStart"/>
      <w:r w:rsidRPr="00484D10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Pr="00484D1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251F6" w:rsidRPr="00484D10" w:rsidRDefault="005251F6" w:rsidP="005251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84D10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:rsidR="005251F6" w:rsidRPr="00106EE0" w:rsidRDefault="005251F6" w:rsidP="005251F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06EE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FigureS1: Strobe Flowchart</w:t>
      </w:r>
    </w:p>
    <w:p w:rsidR="005251F6" w:rsidRDefault="005251F6" w:rsidP="005251F6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:rsidR="005251F6" w:rsidRDefault="005251F6" w:rsidP="005251F6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84D1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S3</w:t>
      </w:r>
      <w:r w:rsidRPr="00484D10">
        <w:rPr>
          <w:rFonts w:ascii="Times New Roman" w:hAnsi="Times New Roman" w:cs="Times New Roman"/>
          <w:b/>
          <w:bCs/>
          <w:sz w:val="24"/>
          <w:szCs w:val="24"/>
          <w:lang w:val="en-GB"/>
        </w:rPr>
        <w:t>:</w:t>
      </w:r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Complete case analysis. </w:t>
      </w:r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Effect of </w:t>
      </w:r>
      <w:r>
        <w:rPr>
          <w:rFonts w:ascii="Times New Roman" w:hAnsi="Times New Roman" w:cs="Times New Roman"/>
          <w:sz w:val="24"/>
          <w:szCs w:val="24"/>
          <w:lang w:val="en-GB"/>
        </w:rPr>
        <w:t>early secondary refer</w:t>
      </w:r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ral on hypotension and hypoxia at arrival at the Emergency Department of the Specialized </w:t>
      </w:r>
      <w:proofErr w:type="spellStart"/>
      <w:r w:rsidRPr="00484D10">
        <w:rPr>
          <w:rFonts w:ascii="Times New Roman" w:hAnsi="Times New Roman" w:cs="Times New Roman"/>
          <w:sz w:val="24"/>
          <w:szCs w:val="24"/>
          <w:lang w:val="en-GB"/>
        </w:rPr>
        <w:t>Neurotrauma</w:t>
      </w:r>
      <w:proofErr w:type="spellEnd"/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484D10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>There were 186 primary referred patients with hypoxia and 18 secondary referred patients with hypoxia. There were 196 primary referred patients with hypotension and 20 primary referred patients with hypotension.</w:t>
      </w:r>
    </w:p>
    <w:tbl>
      <w:tblPr>
        <w:tblStyle w:val="TableGrid"/>
        <w:tblW w:w="5423" w:type="pct"/>
        <w:tblInd w:w="-1" w:type="dxa"/>
        <w:tblLayout w:type="fixed"/>
        <w:tblLook w:val="04A0" w:firstRow="1" w:lastRow="0" w:firstColumn="1" w:lastColumn="0" w:noHBand="0" w:noVBand="1"/>
      </w:tblPr>
      <w:tblGrid>
        <w:gridCol w:w="5345"/>
        <w:gridCol w:w="1803"/>
        <w:gridCol w:w="2631"/>
      </w:tblGrid>
      <w:tr w:rsidR="005251F6" w:rsidRPr="00484D10" w:rsidTr="00106EE0">
        <w:trPr>
          <w:trHeight w:val="18"/>
        </w:trPr>
        <w:tc>
          <w:tcPr>
            <w:tcW w:w="2733" w:type="pct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922" w:type="pct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Hypoxia</w:t>
            </w:r>
          </w:p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 (95% CI)</w:t>
            </w:r>
          </w:p>
        </w:tc>
        <w:tc>
          <w:tcPr>
            <w:tcW w:w="1345" w:type="pct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Hypotension</w:t>
            </w:r>
          </w:p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OR (95% CI) </w:t>
            </w:r>
          </w:p>
        </w:tc>
      </w:tr>
      <w:tr w:rsidR="005251F6" w:rsidRPr="00484D10" w:rsidTr="00106EE0">
        <w:trPr>
          <w:trHeight w:val="8"/>
        </w:trPr>
        <w:tc>
          <w:tcPr>
            <w:tcW w:w="2733" w:type="pct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Unadjusted </w:t>
            </w:r>
          </w:p>
        </w:tc>
        <w:tc>
          <w:tcPr>
            <w:tcW w:w="922" w:type="pct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0.47 (0.25-0.85)</w:t>
            </w:r>
          </w:p>
        </w:tc>
        <w:tc>
          <w:tcPr>
            <w:tcW w:w="1345" w:type="pct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0.62 (0.35-1.12)</w:t>
            </w:r>
          </w:p>
        </w:tc>
      </w:tr>
      <w:tr w:rsidR="005251F6" w:rsidRPr="00484D10" w:rsidTr="00106EE0">
        <w:trPr>
          <w:trHeight w:val="8"/>
        </w:trPr>
        <w:tc>
          <w:tcPr>
            <w:tcW w:w="2733" w:type="pct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Multivariable adjustment*</w:t>
            </w:r>
          </w:p>
        </w:tc>
        <w:tc>
          <w:tcPr>
            <w:tcW w:w="922" w:type="pct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0.50 (0.23-1.12)</w:t>
            </w:r>
          </w:p>
        </w:tc>
        <w:tc>
          <w:tcPr>
            <w:tcW w:w="1345" w:type="pct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0.73 (0.34-1.58)</w:t>
            </w:r>
          </w:p>
        </w:tc>
      </w:tr>
    </w:tbl>
    <w:p w:rsidR="005251F6" w:rsidRPr="00484D10" w:rsidRDefault="005251F6" w:rsidP="005251F6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*adjusted for: age, GCS motor score, pupil inequality, ISS and a random intercept for </w:t>
      </w:r>
      <w:proofErr w:type="spellStart"/>
      <w:r w:rsidRPr="00484D10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Pr="00484D1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251F6" w:rsidRPr="00484D10" w:rsidRDefault="005251F6" w:rsidP="005251F6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5251F6" w:rsidRPr="00484D10" w:rsidRDefault="005251F6" w:rsidP="005251F6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84D10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5251F6" w:rsidRPr="00484D10" w:rsidRDefault="005251F6" w:rsidP="005251F6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84D1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S4</w:t>
      </w:r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Complete case analysis. </w:t>
      </w:r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Effect of </w:t>
      </w:r>
      <w:r>
        <w:rPr>
          <w:rFonts w:ascii="Times New Roman" w:hAnsi="Times New Roman" w:cs="Times New Roman"/>
          <w:sz w:val="24"/>
          <w:szCs w:val="24"/>
          <w:lang w:val="en-GB"/>
        </w:rPr>
        <w:t>early secondary refer</w:t>
      </w:r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ral on GOSE and survival at </w:t>
      </w:r>
      <w:proofErr w:type="spellStart"/>
      <w:r w:rsidRPr="00484D10">
        <w:rPr>
          <w:rFonts w:ascii="Times New Roman" w:hAnsi="Times New Roman" w:cs="Times New Roman"/>
          <w:sz w:val="24"/>
          <w:szCs w:val="24"/>
          <w:lang w:val="en-GB"/>
        </w:rPr>
        <w:t>discsharge</w:t>
      </w:r>
      <w:proofErr w:type="spellEnd"/>
      <w:r w:rsidRPr="00484D10">
        <w:rPr>
          <w:rFonts w:ascii="Times New Roman" w:hAnsi="Times New Roman" w:cs="Times New Roman"/>
          <w:sz w:val="24"/>
          <w:szCs w:val="24"/>
          <w:lang w:val="en-GB"/>
        </w:rPr>
        <w:t>. Higher OR for 6 months GOSE means better outcome, while higher OR for survival at discharge means higher chance of survival.</w:t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5371"/>
        <w:gridCol w:w="1813"/>
        <w:gridCol w:w="2644"/>
      </w:tblGrid>
      <w:tr w:rsidR="005251F6" w:rsidRPr="00D57E46" w:rsidTr="00106EE0">
        <w:trPr>
          <w:trHeight w:val="18"/>
        </w:trPr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3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6 months GOSE </w:t>
            </w:r>
          </w:p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 (95% CI)</w:t>
            </w:r>
          </w:p>
        </w:tc>
        <w:tc>
          <w:tcPr>
            <w:tcW w:w="2644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Survival at discharge OR (95% CI) </w:t>
            </w:r>
          </w:p>
        </w:tc>
      </w:tr>
      <w:tr w:rsidR="005251F6" w:rsidRPr="00484D10" w:rsidTr="00106EE0">
        <w:trPr>
          <w:trHeight w:val="8"/>
        </w:trPr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Unadjusted </w:t>
            </w:r>
          </w:p>
        </w:tc>
        <w:tc>
          <w:tcPr>
            <w:tcW w:w="1813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1.17 (0.86-1.58)</w:t>
            </w:r>
          </w:p>
        </w:tc>
        <w:tc>
          <w:tcPr>
            <w:tcW w:w="2644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 (0.63-1.60)</w:t>
            </w:r>
          </w:p>
        </w:tc>
      </w:tr>
      <w:tr w:rsidR="005251F6" w:rsidRPr="00484D10" w:rsidTr="00106EE0">
        <w:trPr>
          <w:trHeight w:val="8"/>
        </w:trPr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Multivariable adjustment*</w:t>
            </w:r>
          </w:p>
        </w:tc>
        <w:tc>
          <w:tcPr>
            <w:tcW w:w="1813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1.45 (0.98-2.13)</w:t>
            </w:r>
          </w:p>
        </w:tc>
        <w:tc>
          <w:tcPr>
            <w:tcW w:w="2644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1.02 (0.49-2.13)</w:t>
            </w:r>
          </w:p>
        </w:tc>
      </w:tr>
      <w:tr w:rsidR="005251F6" w:rsidRPr="00D57E46" w:rsidTr="00106EE0">
        <w:trPr>
          <w:trHeight w:val="8"/>
        </w:trPr>
        <w:tc>
          <w:tcPr>
            <w:tcW w:w="0" w:type="auto"/>
          </w:tcPr>
          <w:p w:rsidR="005251F6" w:rsidRDefault="005251F6" w:rsidP="00106EE0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Subgroup: patients with mass lesion/ASDH</w:t>
            </w:r>
          </w:p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813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44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251F6" w:rsidRPr="00484D10" w:rsidTr="00106EE0">
        <w:trPr>
          <w:trHeight w:val="8"/>
        </w:trPr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Unadjusted</w:t>
            </w:r>
          </w:p>
        </w:tc>
        <w:tc>
          <w:tcPr>
            <w:tcW w:w="1813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1.64 (1.10-2.44)</w:t>
            </w:r>
          </w:p>
        </w:tc>
        <w:tc>
          <w:tcPr>
            <w:tcW w:w="2644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0.87 (0.47-1.61)</w:t>
            </w:r>
          </w:p>
        </w:tc>
      </w:tr>
      <w:tr w:rsidR="005251F6" w:rsidRPr="00484D10" w:rsidTr="00106EE0">
        <w:trPr>
          <w:trHeight w:val="8"/>
        </w:trPr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Multivariable adjustment**</w:t>
            </w:r>
          </w:p>
        </w:tc>
        <w:tc>
          <w:tcPr>
            <w:tcW w:w="1813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1.56 (0.99-2.44)</w:t>
            </w:r>
          </w:p>
        </w:tc>
        <w:tc>
          <w:tcPr>
            <w:tcW w:w="2644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0.92 (0.31-2.03)</w:t>
            </w:r>
          </w:p>
        </w:tc>
      </w:tr>
      <w:tr w:rsidR="005251F6" w:rsidRPr="00D57E46" w:rsidTr="00106EE0">
        <w:trPr>
          <w:trHeight w:val="8"/>
        </w:trPr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Subgroup: patients with emergency intracranial surgical intervention</w:t>
            </w:r>
          </w:p>
        </w:tc>
        <w:tc>
          <w:tcPr>
            <w:tcW w:w="1813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44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251F6" w:rsidRPr="00484D10" w:rsidTr="00106EE0">
        <w:trPr>
          <w:trHeight w:val="8"/>
        </w:trPr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Unadjusted</w:t>
            </w:r>
          </w:p>
        </w:tc>
        <w:tc>
          <w:tcPr>
            <w:tcW w:w="1813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1.51 (0.85-2.69)</w:t>
            </w:r>
          </w:p>
        </w:tc>
        <w:tc>
          <w:tcPr>
            <w:tcW w:w="2644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0.62 (0.61-0.63)</w:t>
            </w:r>
          </w:p>
        </w:tc>
      </w:tr>
      <w:tr w:rsidR="005251F6" w:rsidRPr="00484D10" w:rsidTr="00106EE0">
        <w:trPr>
          <w:trHeight w:val="8"/>
        </w:trPr>
        <w:tc>
          <w:tcPr>
            <w:tcW w:w="0" w:type="auto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84D1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Multivariable adjustment**</w:t>
            </w:r>
          </w:p>
        </w:tc>
        <w:tc>
          <w:tcPr>
            <w:tcW w:w="1813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1.62 (0.83-2.73)</w:t>
            </w:r>
          </w:p>
        </w:tc>
        <w:tc>
          <w:tcPr>
            <w:tcW w:w="2644" w:type="dxa"/>
          </w:tcPr>
          <w:p w:rsidR="005251F6" w:rsidRPr="00484D10" w:rsidRDefault="005251F6" w:rsidP="00106EE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0.67 (0.20-2.25)</w:t>
            </w:r>
          </w:p>
        </w:tc>
      </w:tr>
    </w:tbl>
    <w:p w:rsidR="005251F6" w:rsidRPr="00484D10" w:rsidRDefault="005251F6" w:rsidP="005251F6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*adjusted for: age, GCS motor score, pupil inequality, hypoxia, hypotension, ISS, CT lesions: </w:t>
      </w:r>
      <w:proofErr w:type="spellStart"/>
      <w:r w:rsidRPr="00484D10">
        <w:rPr>
          <w:rFonts w:ascii="Times New Roman" w:hAnsi="Times New Roman" w:cs="Times New Roman"/>
          <w:sz w:val="24"/>
          <w:szCs w:val="24"/>
          <w:lang w:val="en-GB"/>
        </w:rPr>
        <w:t>tSAH</w:t>
      </w:r>
      <w:proofErr w:type="spellEnd"/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, epidural hematoma, mass lesion, acute subdural hematoma, and a random intercept for </w:t>
      </w:r>
      <w:proofErr w:type="spellStart"/>
      <w:r w:rsidRPr="00484D10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Pr="00484D1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5251F6" w:rsidRPr="00484D10" w:rsidRDefault="005251F6" w:rsidP="005251F6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484D10">
        <w:rPr>
          <w:rFonts w:ascii="Times New Roman" w:hAnsi="Times New Roman" w:cs="Times New Roman"/>
          <w:sz w:val="24"/>
          <w:szCs w:val="24"/>
          <w:lang w:val="en-GB"/>
        </w:rPr>
        <w:t xml:space="preserve">** adjusted for: age, GCS motor score, pupil inequality, hypoxia, hypotension, ISS and a random intercept for </w:t>
      </w:r>
      <w:proofErr w:type="spellStart"/>
      <w:r w:rsidRPr="00484D10">
        <w:rPr>
          <w:rFonts w:ascii="Times New Roman" w:hAnsi="Times New Roman" w:cs="Times New Roman"/>
          <w:sz w:val="24"/>
          <w:szCs w:val="24"/>
          <w:lang w:val="en-GB"/>
        </w:rPr>
        <w:t>center</w:t>
      </w:r>
      <w:proofErr w:type="spellEnd"/>
      <w:r w:rsidRPr="00484D1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D1F2F" w:rsidRDefault="00FD1F2F"/>
    <w:sectPr w:rsidR="00FD1F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F6"/>
    <w:rsid w:val="00011D5F"/>
    <w:rsid w:val="00046D89"/>
    <w:rsid w:val="000E28BE"/>
    <w:rsid w:val="001107BF"/>
    <w:rsid w:val="001167B8"/>
    <w:rsid w:val="00134EF9"/>
    <w:rsid w:val="0017507B"/>
    <w:rsid w:val="00184D6C"/>
    <w:rsid w:val="001E36FE"/>
    <w:rsid w:val="00202F12"/>
    <w:rsid w:val="0021570D"/>
    <w:rsid w:val="00221CC8"/>
    <w:rsid w:val="0023415E"/>
    <w:rsid w:val="0023779D"/>
    <w:rsid w:val="00241075"/>
    <w:rsid w:val="00252B0E"/>
    <w:rsid w:val="00280158"/>
    <w:rsid w:val="002A7A37"/>
    <w:rsid w:val="002C673A"/>
    <w:rsid w:val="002F7FEF"/>
    <w:rsid w:val="00310453"/>
    <w:rsid w:val="00310576"/>
    <w:rsid w:val="00336B1C"/>
    <w:rsid w:val="00342ED4"/>
    <w:rsid w:val="00353041"/>
    <w:rsid w:val="003544B3"/>
    <w:rsid w:val="0039209F"/>
    <w:rsid w:val="0040422B"/>
    <w:rsid w:val="004068ED"/>
    <w:rsid w:val="004108D1"/>
    <w:rsid w:val="004125AB"/>
    <w:rsid w:val="00423E69"/>
    <w:rsid w:val="0045575B"/>
    <w:rsid w:val="004747E2"/>
    <w:rsid w:val="00484326"/>
    <w:rsid w:val="00487169"/>
    <w:rsid w:val="004A68DA"/>
    <w:rsid w:val="00501AC1"/>
    <w:rsid w:val="005251F6"/>
    <w:rsid w:val="006159F6"/>
    <w:rsid w:val="006419EA"/>
    <w:rsid w:val="006848C0"/>
    <w:rsid w:val="006A761E"/>
    <w:rsid w:val="006F4F50"/>
    <w:rsid w:val="0077149E"/>
    <w:rsid w:val="00797370"/>
    <w:rsid w:val="007B1D6E"/>
    <w:rsid w:val="007E2A44"/>
    <w:rsid w:val="00824E63"/>
    <w:rsid w:val="00845D87"/>
    <w:rsid w:val="00847FEF"/>
    <w:rsid w:val="008C5624"/>
    <w:rsid w:val="008C5BAE"/>
    <w:rsid w:val="008F5815"/>
    <w:rsid w:val="00900B32"/>
    <w:rsid w:val="00923196"/>
    <w:rsid w:val="009240BD"/>
    <w:rsid w:val="009440DA"/>
    <w:rsid w:val="00950A3A"/>
    <w:rsid w:val="009521F7"/>
    <w:rsid w:val="009612CD"/>
    <w:rsid w:val="00963332"/>
    <w:rsid w:val="009911C9"/>
    <w:rsid w:val="009938F4"/>
    <w:rsid w:val="00A0557C"/>
    <w:rsid w:val="00A206A1"/>
    <w:rsid w:val="00A9775F"/>
    <w:rsid w:val="00AB1D4C"/>
    <w:rsid w:val="00B519ED"/>
    <w:rsid w:val="00B67B21"/>
    <w:rsid w:val="00C00DEC"/>
    <w:rsid w:val="00C22ACA"/>
    <w:rsid w:val="00C46711"/>
    <w:rsid w:val="00C515E2"/>
    <w:rsid w:val="00C55726"/>
    <w:rsid w:val="00C656EC"/>
    <w:rsid w:val="00C6586B"/>
    <w:rsid w:val="00C71044"/>
    <w:rsid w:val="00C72284"/>
    <w:rsid w:val="00CA2F62"/>
    <w:rsid w:val="00CA3BA4"/>
    <w:rsid w:val="00CB6B33"/>
    <w:rsid w:val="00CE72FA"/>
    <w:rsid w:val="00CF38BE"/>
    <w:rsid w:val="00D5019E"/>
    <w:rsid w:val="00D957AC"/>
    <w:rsid w:val="00DC684F"/>
    <w:rsid w:val="00E64C35"/>
    <w:rsid w:val="00EA1195"/>
    <w:rsid w:val="00EB7E71"/>
    <w:rsid w:val="00EC5127"/>
    <w:rsid w:val="00EE5928"/>
    <w:rsid w:val="00EF79DB"/>
    <w:rsid w:val="00EF7F88"/>
    <w:rsid w:val="00F22891"/>
    <w:rsid w:val="00F40C87"/>
    <w:rsid w:val="00F4585A"/>
    <w:rsid w:val="00F528BC"/>
    <w:rsid w:val="00F76CA7"/>
    <w:rsid w:val="00FB079D"/>
    <w:rsid w:val="00FC4F6F"/>
    <w:rsid w:val="00FD0AC5"/>
    <w:rsid w:val="00FD1F2F"/>
    <w:rsid w:val="00FE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81AAD1-FE5A-4C5D-A3DD-45FD0BE4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51F6"/>
    <w:pPr>
      <w:spacing w:after="0" w:line="240" w:lineRule="auto"/>
    </w:pPr>
    <w:rPr>
      <w:lang w:val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Raman S.V.</dc:creator>
  <cp:keywords/>
  <dc:description/>
  <cp:lastModifiedBy>Raman S.V.</cp:lastModifiedBy>
  <cp:revision>2</cp:revision>
  <dcterms:created xsi:type="dcterms:W3CDTF">2021-08-02T01:07:00Z</dcterms:created>
  <dcterms:modified xsi:type="dcterms:W3CDTF">2021-08-02T01:07:00Z</dcterms:modified>
</cp:coreProperties>
</file>