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9BAA6" w14:textId="094261C6" w:rsidR="004D4B77" w:rsidRPr="008468BC" w:rsidRDefault="004D4B77" w:rsidP="004D4B77">
      <w:pPr>
        <w:spacing w:line="360" w:lineRule="auto"/>
        <w:rPr>
          <w:b/>
          <w:bCs/>
        </w:rPr>
      </w:pPr>
      <w:r w:rsidRPr="008468BC">
        <w:rPr>
          <w:b/>
          <w:bCs/>
        </w:rPr>
        <w:t xml:space="preserve">How is care for major trauma patients currently organised in </w:t>
      </w:r>
      <w:r>
        <w:rPr>
          <w:b/>
          <w:bCs/>
        </w:rPr>
        <w:t>England</w:t>
      </w:r>
      <w:r w:rsidRPr="008468BC">
        <w:rPr>
          <w:b/>
          <w:bCs/>
        </w:rPr>
        <w:t>?</w:t>
      </w:r>
    </w:p>
    <w:p w14:paraId="299A5523" w14:textId="1B8D8D25" w:rsidR="004D4B77" w:rsidRPr="008468BC" w:rsidRDefault="004D4B77" w:rsidP="004D4B77">
      <w:pPr>
        <w:spacing w:line="360" w:lineRule="auto"/>
      </w:pPr>
      <w:r w:rsidRPr="008468BC">
        <w:t>The care of seriously injured patients in England was noted to be sub-optimal in a 2007 report by the National Confidential Enquiry into Patient Outcome and Death, where 60% of cases demonstrated deficiencies in organisational or clinical aspects of care.</w:t>
      </w:r>
      <w:r>
        <w:fldChar w:fldCharType="begin"/>
      </w:r>
      <w:r>
        <w:instrText xml:space="preserve"> ADDIN EN.CITE &lt;EndNote&gt;&lt;Cite&gt;&lt;Author&gt;Death&lt;/Author&gt;&lt;Year&gt;2007&lt;/Year&gt;&lt;RecNum&gt;2393&lt;/RecNum&gt;&lt;DisplayText&gt;&lt;style face="superscript"&gt;1&lt;/style&gt;&lt;/DisplayText&gt;&lt;record&gt;&lt;rec-number&gt;2393&lt;/rec-number&gt;&lt;foreign-keys&gt;&lt;key app="EN" db-id="x0vpa2ff552pxvedr97v0e940xdvezxvsas0" timestamp="1711034680"&gt;2393&lt;/key&gt;&lt;/foreign-keys&gt;&lt;ref-type name="Report"&gt;27&lt;/ref-type&gt;&lt;contributors&gt;&lt;authors&gt;&lt;author&gt;National Confidential Enquiry into Patient Outcome and Death&lt;/author&gt;&lt;/authors&gt;&lt;/contributors&gt;&lt;titles&gt;&lt;title&gt;NECPOD Report. Trauma Who Cares?&lt;/title&gt;&lt;/titles&gt;&lt;dates&gt;&lt;year&gt;2007&lt;/year&gt;&lt;/dates&gt;&lt;urls&gt;&lt;related-urls&gt;&lt;url&gt;https://www.ncepod.org.uk/2007report2/Downloads/SIP_summary.pdf&lt;/url&gt;&lt;/related-urls&gt;&lt;/urls&gt;&lt;/record&gt;&lt;/Cite&gt;&lt;/EndNote&gt;</w:instrText>
      </w:r>
      <w:r>
        <w:fldChar w:fldCharType="separate"/>
      </w:r>
      <w:r w:rsidRPr="004D4B77">
        <w:rPr>
          <w:noProof/>
          <w:vertAlign w:val="superscript"/>
        </w:rPr>
        <w:t>1</w:t>
      </w:r>
      <w:r>
        <w:fldChar w:fldCharType="end"/>
      </w:r>
      <w:r w:rsidRPr="008468BC">
        <w:t xml:space="preserve"> A subsequent 2010 National Audit Office enquiry confirmed these findings, highlighting the ad hoc organisation of trauma care, with unacceptable variations in mortality rates, depending on where and when a patient received treatment.</w:t>
      </w:r>
      <w:r>
        <w:fldChar w:fldCharType="begin"/>
      </w:r>
      <w:r>
        <w:instrText xml:space="preserve"> ADDIN EN.CITE &lt;EndNote&gt;&lt;Cite&gt;&lt;Author&gt;Office&lt;/Author&gt;&lt;Year&gt;2010&lt;/Year&gt;&lt;RecNum&gt;3223&lt;/RecNum&gt;&lt;DisplayText&gt;&lt;style face="superscript"&gt;2&lt;/style&gt;&lt;/DisplayText&gt;&lt;record&gt;&lt;rec-number&gt;3223&lt;/rec-number&gt;&lt;foreign-keys&gt;&lt;key app="EN" db-id="x0vpa2ff552pxvedr97v0e940xdvezxvsas0" timestamp="1711034683"&gt;3223&lt;/key&gt;&lt;/foreign-keys&gt;&lt;ref-type name="Report"&gt;27&lt;/ref-type&gt;&lt;contributors&gt;&lt;authors&gt;&lt;author&gt;National Audit Office&lt;/author&gt;&lt;/authors&gt;&lt;tertiary-authors&gt;&lt;author&gt;Her Majesty&amp;apos;s Stationary Office&lt;/author&gt;&lt;/tertiary-authors&gt;&lt;/contributors&gt;&lt;titles&gt;&lt;title&gt;Major Trauma&lt;/title&gt;&lt;/titles&gt;&lt;dates&gt;&lt;year&gt;2010&lt;/year&gt;&lt;/dates&gt;&lt;pub-location&gt;London, UK&lt;/pub-location&gt;&lt;urls&gt;&lt;/urls&gt;&lt;/record&gt;&lt;/Cite&gt;&lt;/EndNote&gt;</w:instrText>
      </w:r>
      <w:r>
        <w:fldChar w:fldCharType="separate"/>
      </w:r>
      <w:r w:rsidRPr="004D4B77">
        <w:rPr>
          <w:noProof/>
          <w:vertAlign w:val="superscript"/>
        </w:rPr>
        <w:t>2</w:t>
      </w:r>
      <w:r>
        <w:fldChar w:fldCharType="end"/>
      </w:r>
      <w:r w:rsidRPr="008468BC">
        <w:t xml:space="preserve"> </w:t>
      </w:r>
    </w:p>
    <w:p w14:paraId="20C0E999" w14:textId="6CEBD618" w:rsidR="004D4B77" w:rsidRDefault="004D4B77" w:rsidP="004D4B77">
      <w:pPr>
        <w:spacing w:line="360" w:lineRule="auto"/>
      </w:pPr>
      <w:r w:rsidRPr="008468BC">
        <w:t xml:space="preserve">In response, trauma care in England was reconfigured with the introduction of </w:t>
      </w:r>
      <w:r>
        <w:t xml:space="preserve">inclusive </w:t>
      </w:r>
      <w:r w:rsidRPr="008468BC">
        <w:t>regional trauma networks in 2011, based on the established model of care for injured patients in North America.</w:t>
      </w:r>
      <w:r>
        <w:fldChar w:fldCharType="begin"/>
      </w:r>
      <w:r>
        <w:instrText xml:space="preserve"> ADDIN EN.CITE &lt;EndNote&gt;&lt;Cite&gt;&lt;Author&gt;McCullough&lt;/Author&gt;&lt;Year&gt;2014&lt;/Year&gt;&lt;RecNum&gt;3073&lt;/RecNum&gt;&lt;DisplayText&gt;&lt;style face="superscript"&gt;3&lt;/style&gt;&lt;/DisplayText&gt;&lt;record&gt;&lt;rec-number&gt;3073&lt;/rec-number&gt;&lt;foreign-keys&gt;&lt;key app="EN" db-id="x0vpa2ff552pxvedr97v0e940xdvezxvsas0" timestamp="1711034682"&gt;3073&lt;/key&gt;&lt;/foreign-keys&gt;&lt;ref-type name="Journal Article"&gt;17&lt;/ref-type&gt;&lt;contributors&gt;&lt;authors&gt;&lt;author&gt;McCullough, A. L.&lt;/author&gt;&lt;author&gt;Haycock, J. C.&lt;/author&gt;&lt;author&gt;Forward, D. P.&lt;/author&gt;&lt;author&gt;Moran, C. G.&lt;/author&gt;&lt;/authors&gt;&lt;/contributors&gt;&lt;titles&gt;&lt;title&gt;II. Major trauma networks in England&lt;/title&gt;&lt;secondary-title&gt;BJA: British Journal of Anaesthesia&lt;/secondary-title&gt;&lt;/titles&gt;&lt;periodical&gt;&lt;full-title&gt;BJA: British Journal of Anaesthesia&lt;/full-title&gt;&lt;/periodical&gt;&lt;pages&gt;202-206&lt;/pages&gt;&lt;volume&gt;113&lt;/volume&gt;&lt;number&gt;2&lt;/number&gt;&lt;dates&gt;&lt;year&gt;2014&lt;/year&gt;&lt;/dates&gt;&lt;isbn&gt;0007-0912&lt;/isbn&gt;&lt;urls&gt;&lt;related-urls&gt;&lt;url&gt;https://doi.org/10.1093/bja/aeu204&lt;/url&gt;&lt;/related-urls&gt;&lt;/urls&gt;&lt;electronic-resource-num&gt;10.1093/bja/aeu204&lt;/electronic-resource-num&gt;&lt;access-date&gt;4/12/2023&lt;/access-date&gt;&lt;/record&gt;&lt;/Cite&gt;&lt;/EndNote&gt;</w:instrText>
      </w:r>
      <w:r>
        <w:fldChar w:fldCharType="separate"/>
      </w:r>
      <w:r w:rsidRPr="004D4B77">
        <w:rPr>
          <w:noProof/>
          <w:vertAlign w:val="superscript"/>
        </w:rPr>
        <w:t>3</w:t>
      </w:r>
      <w:r>
        <w:fldChar w:fldCharType="end"/>
      </w:r>
      <w:r w:rsidRPr="008468BC">
        <w:t xml:space="preserve"> Such networks aim to ensure transport of patients injured within a defined geographical area to a hospital matched to their clinical need. These systems of care consist of a central major trauma centre (MTC) hospital providing specialist resuscitation, definitive care, and rehabilitation to the highest acuity and most seriously injured patients. Non-specialist general hospitals, termed trauma units, manage lower acuity and less seriously injured patients, and can provide stabilisation and transfer of the more seriously injured to MTCs when needed. Other acute hospitals, which would not routinely manage significantly injured patients, are designated Local Emergency Hospitals. Management, training, and governance structures are incorporated to coordinate patient management and ensure high quality care is delivered. Trauma networks have subsequently been similarly introduced in Northern Ireland (2017), Scotland (2018) and Wales (2021). </w:t>
      </w:r>
    </w:p>
    <w:p w14:paraId="7D99382B" w14:textId="62B32DFB" w:rsidR="004D4B77" w:rsidRPr="008468BC" w:rsidRDefault="004D4B77" w:rsidP="004D4B77">
      <w:pPr>
        <w:spacing w:line="360" w:lineRule="auto"/>
      </w:pPr>
      <w:r w:rsidRPr="008468BC">
        <w:t>In accordance with NICE major trauma service delivery guidelines, NHS ambulance services therefore use pre-hospital triage tools within regional trauma networks.</w:t>
      </w:r>
      <w:r>
        <w:fldChar w:fldCharType="begin"/>
      </w:r>
      <w:r>
        <w:instrText xml:space="preserve"> ADDIN EN.CITE &lt;EndNote&gt;&lt;Cite&gt;&lt;Author&gt;National Clinical Guideline&lt;/Author&gt;&lt;Year&gt;2016&lt;/Year&gt;&lt;RecNum&gt;3167&lt;/RecNum&gt;&lt;DisplayText&gt;&lt;style face="superscript"&gt;4&lt;/style&gt;&lt;/DisplayText&gt;&lt;record&gt;&lt;rec-number&gt;3167&lt;/rec-number&gt;&lt;foreign-keys&gt;&lt;key app="EN" db-id="x0vpa2ff552pxvedr97v0e940xdvezxvsas0" timestamp="1711034683"&gt;3167&lt;/key&gt;&lt;/foreign-keys&gt;&lt;ref-type name="Journal Article"&gt;17&lt;/ref-type&gt;&lt;contributors&gt;&lt;authors&gt;&lt;author&gt;National Clinical Guideline, Centre&lt;/author&gt;&lt;/authors&gt;&lt;/contributors&gt;&lt;titles&gt;&lt;title&gt;Major Trauma: Service Delivery&lt;/title&gt;&lt;/titles&gt;&lt;dates&gt;&lt;year&gt;2016&lt;/year&gt;&lt;/dates&gt;&lt;accession-num&gt;26913313&lt;/accession-num&gt;&lt;urls&gt;&lt;/urls&gt;&lt;remote-database-provider&gt;NLM&lt;/remote-database-provider&gt;&lt;/record&gt;&lt;/Cite&gt;&lt;/EndNote&gt;</w:instrText>
      </w:r>
      <w:r>
        <w:fldChar w:fldCharType="separate"/>
      </w:r>
      <w:r w:rsidRPr="004D4B77">
        <w:rPr>
          <w:noProof/>
          <w:vertAlign w:val="superscript"/>
        </w:rPr>
        <w:t>4</w:t>
      </w:r>
      <w:r>
        <w:fldChar w:fldCharType="end"/>
      </w:r>
      <w:r w:rsidRPr="008468BC">
        <w:t xml:space="preserve"> Their primary purpose is to identify which patients injured within the catchment areas of TUs and LEHs might benefit from prolonged transportation to distant MTCs, bypassing the closer non-specialist hospital. Furthermore, relevant to patients injured in both MTC and non-MTC catchment areas, triage tools have an important secondary role to inform emergency department (ED) pre-alert calls, facilitating patient reception into critical care areas and activation of multi-disciplinary hospital trauma teams to provide rapid, specialised, and coordinated assessment and resuscitation.</w:t>
      </w:r>
    </w:p>
    <w:p w14:paraId="5A07AB2E" w14:textId="58FDB57B" w:rsidR="004D4B77" w:rsidRDefault="004D4B77" w:rsidP="004D4B77">
      <w:pPr>
        <w:spacing w:line="360" w:lineRule="auto"/>
      </w:pPr>
      <w:r>
        <w:t xml:space="preserve">Prehospital </w:t>
      </w:r>
      <w:r w:rsidRPr="004D4B77">
        <w:t>care is routinely provided</w:t>
      </w:r>
      <w:r>
        <w:t xml:space="preserve"> ambulance service</w:t>
      </w:r>
      <w:r w:rsidRPr="004D4B77">
        <w:t xml:space="preserve"> technicians (entry level prehospital providers) or paramedics (senior prehospital providers), with assistance provided by emergency care assistants (ambulance drivers with basic clinical training). </w:t>
      </w:r>
      <w:r w:rsidRPr="008468BC">
        <w:t xml:space="preserve">Multiple </w:t>
      </w:r>
      <w:r>
        <w:t>enhanced care</w:t>
      </w:r>
      <w:r w:rsidRPr="008468BC">
        <w:t xml:space="preserve"> resources may be available to respond to suspected major trauma cases, including, helicopter emergency medical service (HEMS), pre-hospital physician-paramedic teams, or specialist critical care paramedics.</w:t>
      </w:r>
      <w:r>
        <w:fldChar w:fldCharType="begin">
          <w:fldData xml:space="preserve">PEVuZE5vdGU+PENpdGU+PEF1dGhvcj5Ib3l0PC9BdXRob3I+PFllYXI+MjAwNzwvWWVhcj48UmVj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</w:fldData>
        </w:fldChar>
      </w:r>
      <w:r>
        <w:instrText xml:space="preserve"> ADDIN EN.CITE </w:instrText>
      </w:r>
      <w:r>
        <w:fldChar w:fldCharType="begin">
          <w:fldData xml:space="preserve">PEVuZE5vdGU+PENpdGU+PEF1dGhvcj5Ib3l0PC9BdXRob3I+PFllYXI+MjAwNzwvWWVhcj48UmVj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</w:fldData>
        </w:fldChar>
      </w:r>
      <w:r>
        <w:instrText xml:space="preserve"> ADDIN EN.CITE.DATA </w:instrText>
      </w:r>
      <w:r>
        <w:fldChar w:fldCharType="end"/>
      </w:r>
      <w:r>
        <w:fldChar w:fldCharType="separate"/>
      </w:r>
      <w:r w:rsidRPr="004D4B77">
        <w:rPr>
          <w:noProof/>
          <w:vertAlign w:val="superscript"/>
        </w:rPr>
        <w:t>5, 6</w:t>
      </w:r>
      <w:r>
        <w:fldChar w:fldCharType="end"/>
      </w:r>
      <w:r w:rsidRPr="008468BC">
        <w:t xml:space="preserve"> Major trauma specialist services may also be spread across different hospitals, within or across NHS </w:t>
      </w:r>
      <w:r w:rsidRPr="008468BC">
        <w:lastRenderedPageBreak/>
        <w:t xml:space="preserve">trusts and local healthcare organisations. Moreover, hospital TU and MTC designations may differ depending on paediatric or adult presentations. </w:t>
      </w:r>
      <w:r>
        <w:t>A</w:t>
      </w:r>
      <w:r w:rsidRPr="004D4B77">
        <w:t>mbulance services operate 'trauma desks', coordinate the care of patients in the field</w:t>
      </w:r>
      <w:r>
        <w:t xml:space="preserve"> (including enhanced care teams), </w:t>
      </w:r>
      <w:r w:rsidRPr="004D4B77">
        <w:t xml:space="preserve">providing remote telephonic clinical guidance on management of injured patients, destination advice, and liaison with hospital emergency departments. </w:t>
      </w:r>
    </w:p>
    <w:p w14:paraId="2CC24BA4" w14:textId="77777777" w:rsidR="004D4B77" w:rsidRDefault="004D4B77" w:rsidP="004D4B77"/>
    <w:p w14:paraId="0BDE8F73" w14:textId="77777777" w:rsidR="004D4B77" w:rsidRDefault="004D4B77" w:rsidP="004D4B77"/>
    <w:p w14:paraId="483D293B" w14:textId="77777777" w:rsidR="004D4B77" w:rsidRDefault="004D4B77" w:rsidP="004D4B77"/>
    <w:p w14:paraId="1ED3E0C3" w14:textId="77777777" w:rsidR="004D4B77" w:rsidRDefault="004D4B77" w:rsidP="004D4B77"/>
    <w:p w14:paraId="74EDFBE3" w14:textId="77777777" w:rsidR="004D4B77" w:rsidRPr="003E61D0" w:rsidRDefault="004D4B77" w:rsidP="004D4B77"/>
    <w:p w14:paraId="733EE1AB" w14:textId="77777777" w:rsidR="004D4B77" w:rsidRPr="003E61D0" w:rsidRDefault="004D4B77" w:rsidP="004D4B77"/>
    <w:p w14:paraId="4E6454C8" w14:textId="77777777" w:rsidR="004D4B77" w:rsidRPr="003E61D0" w:rsidRDefault="004D4B77" w:rsidP="004D4B77">
      <w:pPr>
        <w:jc w:val="center"/>
      </w:pPr>
      <w:r w:rsidRPr="003E61D0">
        <w:rPr>
          <w:noProof/>
        </w:rPr>
        <w:lastRenderedPageBreak/>
        <mc:AlternateContent>
          <mc:Choice Requires="wps">
            <w:drawing>
              <wp:inline distT="0" distB="0" distL="0" distR="0" wp14:anchorId="71D1F160" wp14:editId="1E25D8B4">
                <wp:extent cx="308610" cy="308610"/>
                <wp:effectExtent l="0" t="0" r="0" b="0"/>
                <wp:docPr id="19"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C5E8B9" id="Rectangle 19"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r w:rsidRPr="003E61D0">
        <w:rPr>
          <w:noProof/>
        </w:rPr>
        <w:drawing>
          <wp:inline distT="0" distB="0" distL="0" distR="0" wp14:anchorId="2CF7295D" wp14:editId="20FAA290">
            <wp:extent cx="5361905" cy="6238095"/>
            <wp:effectExtent l="0" t="0" r="0" b="0"/>
            <wp:docPr id="1135096433" name="Picture 9" descr="A picture containing map, text,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96433" name="Picture 9" descr="A picture containing map, text, atlas&#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361905" cy="6238095"/>
                    </a:xfrm>
                    <a:prstGeom prst="rect">
                      <a:avLst/>
                    </a:prstGeom>
                  </pic:spPr>
                </pic:pic>
              </a:graphicData>
            </a:graphic>
          </wp:inline>
        </w:drawing>
      </w:r>
    </w:p>
    <w:p w14:paraId="7A1559A4" w14:textId="2E613415" w:rsidR="004D4B77" w:rsidRPr="003E61D0" w:rsidRDefault="004D4B77" w:rsidP="004D4B77">
      <w:pPr>
        <w:rPr>
          <w:b/>
          <w:bCs/>
        </w:rPr>
      </w:pPr>
      <w:r w:rsidRPr="003E61D0">
        <w:rPr>
          <w:b/>
          <w:bCs/>
        </w:rPr>
        <w:t>Participating trauma networks</w:t>
      </w:r>
    </w:p>
    <w:p w14:paraId="201CD261" w14:textId="77777777" w:rsidR="004D4B77" w:rsidRPr="003E61D0" w:rsidRDefault="004D4B77" w:rsidP="004D4B77">
      <w:pPr>
        <w:rPr>
          <w:sz w:val="20"/>
          <w:szCs w:val="20"/>
        </w:rPr>
      </w:pPr>
      <w:r w:rsidRPr="003E61D0">
        <w:rPr>
          <w:sz w:val="20"/>
          <w:szCs w:val="20"/>
        </w:rPr>
        <w:t>LGI: Leeds General Infirmary, QEB: Queen Elizabeth’s Hospital Birmingham, SMDH: Southmead Hospital, SM: ST Mary’s Hospital. Note, Bristol Royal Infirmary (TU) and Bristol Children’s Hospital (MTC) are obscured by Southmead Hospital. Similarly, St James Hospital (TU) is obscured by Leeds General Infirmary.</w:t>
      </w:r>
    </w:p>
    <w:p w14:paraId="0CBF9900" w14:textId="77777777" w:rsidR="004D4B77" w:rsidRPr="003E61D0" w:rsidRDefault="004D4B77" w:rsidP="004D4B77"/>
    <w:p w14:paraId="63433D00" w14:textId="77777777" w:rsidR="004D4B77" w:rsidRDefault="004D4B77" w:rsidP="004D4B77">
      <w:pPr>
        <w:rPr>
          <w:b/>
          <w:bCs/>
        </w:rPr>
      </w:pPr>
    </w:p>
    <w:p w14:paraId="3690AC38" w14:textId="77777777" w:rsidR="004D4B77" w:rsidRDefault="004D4B77" w:rsidP="004D4B77">
      <w:pPr>
        <w:rPr>
          <w:b/>
          <w:bCs/>
        </w:rPr>
      </w:pPr>
    </w:p>
    <w:p w14:paraId="11B26459" w14:textId="77777777" w:rsidR="004D4B77" w:rsidRDefault="004D4B77" w:rsidP="004D4B77">
      <w:pPr>
        <w:rPr>
          <w:b/>
          <w:bCs/>
        </w:rPr>
      </w:pPr>
    </w:p>
    <w:p w14:paraId="723D1199" w14:textId="77777777" w:rsidR="004D4B77" w:rsidRDefault="004D4B77" w:rsidP="004D4B77">
      <w:pPr>
        <w:rPr>
          <w:b/>
          <w:bCs/>
        </w:rPr>
      </w:pPr>
    </w:p>
    <w:p w14:paraId="3EEBD08C" w14:textId="77777777" w:rsidR="004D4B77" w:rsidRDefault="004D4B77" w:rsidP="004D4B77">
      <w:pPr>
        <w:rPr>
          <w:b/>
          <w:bCs/>
        </w:rPr>
      </w:pPr>
    </w:p>
    <w:p w14:paraId="2D5D4C99" w14:textId="2BD90043" w:rsidR="004D4B77" w:rsidRPr="003E61D0" w:rsidRDefault="004D4B77" w:rsidP="004D4B77">
      <w:pPr>
        <w:rPr>
          <w:b/>
          <w:bCs/>
        </w:rPr>
      </w:pPr>
      <w:r w:rsidRPr="003E61D0">
        <w:rPr>
          <w:b/>
          <w:bCs/>
        </w:rPr>
        <w:lastRenderedPageBreak/>
        <w:t xml:space="preserve">Included trauma networks and </w:t>
      </w:r>
      <w:proofErr w:type="gramStart"/>
      <w:r w:rsidRPr="003E61D0">
        <w:rPr>
          <w:b/>
          <w:bCs/>
        </w:rPr>
        <w:t>hospitals</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552"/>
        <w:gridCol w:w="1275"/>
        <w:gridCol w:w="1088"/>
      </w:tblGrid>
      <w:tr w:rsidR="004D4B77" w:rsidRPr="003E61D0" w14:paraId="28D8E5AD" w14:textId="77777777" w:rsidTr="00E3379C">
        <w:tc>
          <w:tcPr>
            <w:tcW w:w="4111" w:type="dxa"/>
            <w:tcBorders>
              <w:top w:val="single" w:sz="4" w:space="0" w:color="auto"/>
              <w:bottom w:val="single" w:sz="4" w:space="0" w:color="auto"/>
            </w:tcBorders>
          </w:tcPr>
          <w:p w14:paraId="6F505AE0" w14:textId="77777777" w:rsidR="004D4B77" w:rsidRPr="003E61D0" w:rsidRDefault="004D4B77" w:rsidP="00E3379C">
            <w:pPr>
              <w:spacing w:afterLines="40" w:after="96"/>
              <w:rPr>
                <w:rFonts w:ascii="Calibri" w:hAnsi="Calibri" w:cs="Calibri"/>
                <w:b/>
                <w:bCs/>
                <w:sz w:val="16"/>
                <w:szCs w:val="16"/>
              </w:rPr>
            </w:pPr>
            <w:r w:rsidRPr="003E61D0">
              <w:rPr>
                <w:rFonts w:ascii="Calibri" w:hAnsi="Calibri" w:cs="Calibri"/>
                <w:b/>
                <w:bCs/>
                <w:sz w:val="16"/>
                <w:szCs w:val="16"/>
              </w:rPr>
              <w:t>Trust</w:t>
            </w:r>
          </w:p>
        </w:tc>
        <w:tc>
          <w:tcPr>
            <w:tcW w:w="2552" w:type="dxa"/>
            <w:tcBorders>
              <w:top w:val="single" w:sz="4" w:space="0" w:color="auto"/>
              <w:bottom w:val="single" w:sz="4" w:space="0" w:color="auto"/>
            </w:tcBorders>
          </w:tcPr>
          <w:p w14:paraId="78BB46A5" w14:textId="77777777" w:rsidR="004D4B77" w:rsidRPr="003E61D0" w:rsidRDefault="004D4B77" w:rsidP="00E3379C">
            <w:pPr>
              <w:spacing w:afterLines="40" w:after="96"/>
              <w:rPr>
                <w:rFonts w:ascii="Calibri" w:hAnsi="Calibri" w:cs="Calibri"/>
                <w:b/>
                <w:bCs/>
                <w:sz w:val="16"/>
                <w:szCs w:val="16"/>
              </w:rPr>
            </w:pPr>
            <w:r w:rsidRPr="003E61D0">
              <w:rPr>
                <w:rFonts w:ascii="Calibri" w:hAnsi="Calibri" w:cs="Calibri"/>
                <w:b/>
                <w:bCs/>
                <w:sz w:val="16"/>
                <w:szCs w:val="16"/>
              </w:rPr>
              <w:t xml:space="preserve">Hospital </w:t>
            </w:r>
          </w:p>
        </w:tc>
        <w:tc>
          <w:tcPr>
            <w:tcW w:w="1275" w:type="dxa"/>
            <w:tcBorders>
              <w:top w:val="single" w:sz="4" w:space="0" w:color="auto"/>
              <w:bottom w:val="single" w:sz="4" w:space="0" w:color="auto"/>
            </w:tcBorders>
          </w:tcPr>
          <w:p w14:paraId="43923123" w14:textId="77777777" w:rsidR="004D4B77" w:rsidRPr="003E61D0" w:rsidRDefault="004D4B77" w:rsidP="00E3379C">
            <w:pPr>
              <w:spacing w:afterLines="40" w:after="96"/>
              <w:jc w:val="center"/>
              <w:rPr>
                <w:rFonts w:ascii="Calibri" w:hAnsi="Calibri" w:cs="Calibri"/>
                <w:b/>
                <w:bCs/>
                <w:sz w:val="16"/>
                <w:szCs w:val="16"/>
              </w:rPr>
            </w:pPr>
            <w:r w:rsidRPr="003E61D0">
              <w:rPr>
                <w:rFonts w:ascii="Calibri" w:hAnsi="Calibri" w:cs="Calibri"/>
                <w:b/>
                <w:bCs/>
                <w:sz w:val="16"/>
                <w:szCs w:val="16"/>
              </w:rPr>
              <w:t>Designation-Adults</w:t>
            </w:r>
          </w:p>
        </w:tc>
        <w:tc>
          <w:tcPr>
            <w:tcW w:w="1088" w:type="dxa"/>
            <w:tcBorders>
              <w:top w:val="single" w:sz="4" w:space="0" w:color="auto"/>
              <w:bottom w:val="single" w:sz="4" w:space="0" w:color="auto"/>
            </w:tcBorders>
          </w:tcPr>
          <w:p w14:paraId="5A73D5AB" w14:textId="77777777" w:rsidR="004D4B77" w:rsidRPr="003E61D0" w:rsidRDefault="004D4B77" w:rsidP="00E3379C">
            <w:pPr>
              <w:spacing w:afterLines="40" w:after="96"/>
              <w:jc w:val="center"/>
              <w:rPr>
                <w:rFonts w:ascii="Calibri" w:hAnsi="Calibri" w:cs="Calibri"/>
                <w:b/>
                <w:bCs/>
                <w:sz w:val="16"/>
                <w:szCs w:val="16"/>
              </w:rPr>
            </w:pPr>
            <w:r w:rsidRPr="003E61D0">
              <w:rPr>
                <w:rFonts w:ascii="Calibri" w:hAnsi="Calibri" w:cs="Calibri"/>
                <w:b/>
                <w:bCs/>
                <w:sz w:val="16"/>
                <w:szCs w:val="16"/>
              </w:rPr>
              <w:t>Designation-Children</w:t>
            </w:r>
          </w:p>
        </w:tc>
      </w:tr>
      <w:tr w:rsidR="004D4B77" w:rsidRPr="003E61D0" w14:paraId="469F3C63" w14:textId="77777777" w:rsidTr="00E3379C">
        <w:tc>
          <w:tcPr>
            <w:tcW w:w="0" w:type="auto"/>
            <w:gridSpan w:val="4"/>
            <w:tcBorders>
              <w:top w:val="single" w:sz="4" w:space="0" w:color="auto"/>
            </w:tcBorders>
            <w:shd w:val="clear" w:color="auto" w:fill="D9D9D9" w:themeFill="background1" w:themeFillShade="D9"/>
          </w:tcPr>
          <w:p w14:paraId="23EFEE8C" w14:textId="77777777" w:rsidR="004D4B77" w:rsidRPr="003E61D0" w:rsidRDefault="004D4B77" w:rsidP="00E3379C">
            <w:pPr>
              <w:spacing w:afterLines="40" w:after="96"/>
              <w:jc w:val="center"/>
              <w:rPr>
                <w:rFonts w:ascii="Calibri" w:hAnsi="Calibri" w:cs="Calibri"/>
                <w:b/>
                <w:bCs/>
                <w:sz w:val="16"/>
                <w:szCs w:val="16"/>
              </w:rPr>
            </w:pPr>
            <w:r w:rsidRPr="003E61D0">
              <w:rPr>
                <w:rFonts w:ascii="Calibri" w:hAnsi="Calibri" w:cs="Calibri"/>
                <w:b/>
                <w:bCs/>
                <w:sz w:val="16"/>
                <w:szCs w:val="16"/>
              </w:rPr>
              <w:t>Severn Network</w:t>
            </w:r>
          </w:p>
        </w:tc>
      </w:tr>
      <w:tr w:rsidR="004D4B77" w:rsidRPr="003E61D0" w14:paraId="62AB5B50" w14:textId="77777777" w:rsidTr="004D4B77">
        <w:tc>
          <w:tcPr>
            <w:tcW w:w="0" w:type="auto"/>
            <w:gridSpan w:val="4"/>
            <w:tcBorders>
              <w:top w:val="single" w:sz="4" w:space="0" w:color="auto"/>
            </w:tcBorders>
            <w:shd w:val="clear" w:color="auto" w:fill="auto"/>
          </w:tcPr>
          <w:p w14:paraId="28CA7EA1" w14:textId="7BF4F034" w:rsidR="004D4B77" w:rsidRDefault="004D4B77" w:rsidP="004D4B77">
            <w:pPr>
              <w:pStyle w:val="ListParagraph"/>
              <w:numPr>
                <w:ilvl w:val="0"/>
                <w:numId w:val="1"/>
              </w:numPr>
              <w:spacing w:afterLines="40" w:after="96"/>
              <w:rPr>
                <w:sz w:val="16"/>
                <w:szCs w:val="16"/>
              </w:rPr>
            </w:pPr>
            <w:r w:rsidRPr="004D4B77">
              <w:rPr>
                <w:sz w:val="16"/>
                <w:szCs w:val="16"/>
              </w:rPr>
              <w:t xml:space="preserve">Mixed urban </w:t>
            </w:r>
            <w:r>
              <w:rPr>
                <w:sz w:val="16"/>
                <w:szCs w:val="16"/>
              </w:rPr>
              <w:t>/ rural geography</w:t>
            </w:r>
          </w:p>
          <w:p w14:paraId="58EA5C8E" w14:textId="19678653" w:rsidR="004D4B77" w:rsidRDefault="004D4B77" w:rsidP="004D4B77">
            <w:pPr>
              <w:pStyle w:val="ListParagraph"/>
              <w:numPr>
                <w:ilvl w:val="0"/>
                <w:numId w:val="1"/>
              </w:numPr>
              <w:spacing w:afterLines="40" w:after="96"/>
              <w:rPr>
                <w:sz w:val="16"/>
                <w:szCs w:val="16"/>
              </w:rPr>
            </w:pPr>
            <w:r>
              <w:rPr>
                <w:sz w:val="16"/>
                <w:szCs w:val="16"/>
              </w:rPr>
              <w:t xml:space="preserve">Large </w:t>
            </w:r>
            <w:r w:rsidR="001E6B41">
              <w:rPr>
                <w:sz w:val="16"/>
                <w:szCs w:val="16"/>
              </w:rPr>
              <w:t>city</w:t>
            </w:r>
            <w:r>
              <w:rPr>
                <w:sz w:val="16"/>
                <w:szCs w:val="16"/>
              </w:rPr>
              <w:t xml:space="preserve"> (Bristol)</w:t>
            </w:r>
          </w:p>
          <w:p w14:paraId="25FFD56C" w14:textId="3DC02A34" w:rsidR="004D4B77" w:rsidRPr="004D4B77" w:rsidRDefault="004D4B77" w:rsidP="004D4B77">
            <w:pPr>
              <w:pStyle w:val="ListParagraph"/>
              <w:numPr>
                <w:ilvl w:val="0"/>
                <w:numId w:val="1"/>
              </w:numPr>
              <w:spacing w:afterLines="40" w:after="96"/>
              <w:rPr>
                <w:sz w:val="16"/>
                <w:szCs w:val="16"/>
              </w:rPr>
            </w:pPr>
            <w:r>
              <w:rPr>
                <w:sz w:val="16"/>
                <w:szCs w:val="16"/>
              </w:rPr>
              <w:t xml:space="preserve">Surrounding </w:t>
            </w:r>
            <w:r w:rsidR="001E6B41">
              <w:rPr>
                <w:sz w:val="16"/>
                <w:szCs w:val="16"/>
              </w:rPr>
              <w:t>rural</w:t>
            </w:r>
            <w:r>
              <w:rPr>
                <w:sz w:val="16"/>
                <w:szCs w:val="16"/>
              </w:rPr>
              <w:t xml:space="preserve">, semi-rural </w:t>
            </w:r>
            <w:r w:rsidR="001E6B41">
              <w:rPr>
                <w:sz w:val="16"/>
                <w:szCs w:val="16"/>
              </w:rPr>
              <w:t>areas and smaller towns</w:t>
            </w:r>
          </w:p>
        </w:tc>
      </w:tr>
      <w:tr w:rsidR="004D4B77" w:rsidRPr="003E61D0" w14:paraId="6E0DA596" w14:textId="77777777" w:rsidTr="00E3379C">
        <w:tc>
          <w:tcPr>
            <w:tcW w:w="4111" w:type="dxa"/>
          </w:tcPr>
          <w:p w14:paraId="65DC7F66"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North Bristol NHS Trust</w:t>
            </w:r>
          </w:p>
        </w:tc>
        <w:tc>
          <w:tcPr>
            <w:tcW w:w="2552" w:type="dxa"/>
          </w:tcPr>
          <w:p w14:paraId="5710594D"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Southmead Hospital</w:t>
            </w:r>
          </w:p>
        </w:tc>
        <w:tc>
          <w:tcPr>
            <w:tcW w:w="1275" w:type="dxa"/>
          </w:tcPr>
          <w:p w14:paraId="293EB25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MTC</w:t>
            </w:r>
          </w:p>
        </w:tc>
        <w:tc>
          <w:tcPr>
            <w:tcW w:w="1088" w:type="dxa"/>
          </w:tcPr>
          <w:p w14:paraId="654DA05B"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N/A</w:t>
            </w:r>
          </w:p>
        </w:tc>
      </w:tr>
      <w:tr w:rsidR="004D4B77" w:rsidRPr="003E61D0" w14:paraId="1E720F7D" w14:textId="77777777" w:rsidTr="00E3379C">
        <w:tc>
          <w:tcPr>
            <w:tcW w:w="4111" w:type="dxa"/>
          </w:tcPr>
          <w:p w14:paraId="1C96663A"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University Hospitals Bristol NHS Foundation Trust</w:t>
            </w:r>
          </w:p>
        </w:tc>
        <w:tc>
          <w:tcPr>
            <w:tcW w:w="2552" w:type="dxa"/>
          </w:tcPr>
          <w:p w14:paraId="50DC86ED"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Bristol Royal Hospital for Children</w:t>
            </w:r>
          </w:p>
        </w:tc>
        <w:tc>
          <w:tcPr>
            <w:tcW w:w="1275" w:type="dxa"/>
          </w:tcPr>
          <w:p w14:paraId="3731135B"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N/A</w:t>
            </w:r>
          </w:p>
        </w:tc>
        <w:tc>
          <w:tcPr>
            <w:tcW w:w="1088" w:type="dxa"/>
          </w:tcPr>
          <w:p w14:paraId="70C05B0E"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MTC</w:t>
            </w:r>
          </w:p>
        </w:tc>
      </w:tr>
      <w:tr w:rsidR="004D4B77" w:rsidRPr="003E61D0" w14:paraId="72B7F759" w14:textId="77777777" w:rsidTr="00E3379C">
        <w:tc>
          <w:tcPr>
            <w:tcW w:w="4111" w:type="dxa"/>
          </w:tcPr>
          <w:p w14:paraId="18C8FB5D"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University Hospitals Bristol NHS Foundation Trust</w:t>
            </w:r>
          </w:p>
        </w:tc>
        <w:tc>
          <w:tcPr>
            <w:tcW w:w="2552" w:type="dxa"/>
          </w:tcPr>
          <w:p w14:paraId="715FE72A"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Bristol Royal Infirmary</w:t>
            </w:r>
          </w:p>
        </w:tc>
        <w:tc>
          <w:tcPr>
            <w:tcW w:w="1275" w:type="dxa"/>
          </w:tcPr>
          <w:p w14:paraId="073421E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7606820C"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N/A</w:t>
            </w:r>
          </w:p>
        </w:tc>
      </w:tr>
      <w:tr w:rsidR="004D4B77" w:rsidRPr="003E61D0" w14:paraId="56A10A83" w14:textId="77777777" w:rsidTr="00E3379C">
        <w:tc>
          <w:tcPr>
            <w:tcW w:w="4111" w:type="dxa"/>
          </w:tcPr>
          <w:p w14:paraId="16990E3E"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Royal United Hospitals Bath NHS Foundation Trust</w:t>
            </w:r>
          </w:p>
        </w:tc>
        <w:tc>
          <w:tcPr>
            <w:tcW w:w="2552" w:type="dxa"/>
          </w:tcPr>
          <w:p w14:paraId="08C40C36"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Royal United Hospital Bath</w:t>
            </w:r>
          </w:p>
        </w:tc>
        <w:tc>
          <w:tcPr>
            <w:tcW w:w="1275" w:type="dxa"/>
          </w:tcPr>
          <w:p w14:paraId="6415231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19F13C3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4D0AD13B" w14:textId="77777777" w:rsidTr="00E3379C">
        <w:tc>
          <w:tcPr>
            <w:tcW w:w="4111" w:type="dxa"/>
          </w:tcPr>
          <w:p w14:paraId="7B1D2452"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Somerset NHS Foundation Trust</w:t>
            </w:r>
          </w:p>
        </w:tc>
        <w:tc>
          <w:tcPr>
            <w:tcW w:w="2552" w:type="dxa"/>
          </w:tcPr>
          <w:p w14:paraId="28074ABD"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Yeovil Hospital</w:t>
            </w:r>
          </w:p>
        </w:tc>
        <w:tc>
          <w:tcPr>
            <w:tcW w:w="1275" w:type="dxa"/>
          </w:tcPr>
          <w:p w14:paraId="3ACAEC55"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15D95126"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6225D8F8" w14:textId="77777777" w:rsidTr="00E3379C">
        <w:tc>
          <w:tcPr>
            <w:tcW w:w="4111" w:type="dxa"/>
          </w:tcPr>
          <w:p w14:paraId="3309A7A4"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Somerset NHS Foundation Trust</w:t>
            </w:r>
          </w:p>
        </w:tc>
        <w:tc>
          <w:tcPr>
            <w:tcW w:w="2552" w:type="dxa"/>
          </w:tcPr>
          <w:p w14:paraId="147104F0"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Musgrove Park Hospital</w:t>
            </w:r>
          </w:p>
        </w:tc>
        <w:tc>
          <w:tcPr>
            <w:tcW w:w="1275" w:type="dxa"/>
          </w:tcPr>
          <w:p w14:paraId="4ED7342B"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30F92C50"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699F0448" w14:textId="77777777" w:rsidTr="00E3379C">
        <w:tc>
          <w:tcPr>
            <w:tcW w:w="4111" w:type="dxa"/>
          </w:tcPr>
          <w:p w14:paraId="61018F1D"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Great Western Hospitals NHS Foundation Trust</w:t>
            </w:r>
          </w:p>
        </w:tc>
        <w:tc>
          <w:tcPr>
            <w:tcW w:w="2552" w:type="dxa"/>
          </w:tcPr>
          <w:p w14:paraId="13DC3064"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Great Western Hospital (Swindon)</w:t>
            </w:r>
          </w:p>
        </w:tc>
        <w:tc>
          <w:tcPr>
            <w:tcW w:w="1275" w:type="dxa"/>
          </w:tcPr>
          <w:p w14:paraId="0139328A"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0A54932E"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7E8A351E" w14:textId="77777777" w:rsidTr="00E3379C">
        <w:tc>
          <w:tcPr>
            <w:tcW w:w="4111" w:type="dxa"/>
          </w:tcPr>
          <w:p w14:paraId="147428D2"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Gloucestershire Hospitals NHS Foundation Trust</w:t>
            </w:r>
          </w:p>
        </w:tc>
        <w:tc>
          <w:tcPr>
            <w:tcW w:w="2552" w:type="dxa"/>
          </w:tcPr>
          <w:p w14:paraId="474EB63D"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Gloucestershire Royal Hospital</w:t>
            </w:r>
          </w:p>
        </w:tc>
        <w:tc>
          <w:tcPr>
            <w:tcW w:w="1275" w:type="dxa"/>
          </w:tcPr>
          <w:p w14:paraId="31B2139C"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17A70C29"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0D5A91C3" w14:textId="77777777" w:rsidTr="00E3379C">
        <w:tc>
          <w:tcPr>
            <w:tcW w:w="4111" w:type="dxa"/>
          </w:tcPr>
          <w:p w14:paraId="1724B0E5"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University Hospitals Bristol NHS Foundation Trust</w:t>
            </w:r>
          </w:p>
        </w:tc>
        <w:tc>
          <w:tcPr>
            <w:tcW w:w="2552" w:type="dxa"/>
          </w:tcPr>
          <w:p w14:paraId="75A2F15E"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Western General Hospital</w:t>
            </w:r>
          </w:p>
        </w:tc>
        <w:tc>
          <w:tcPr>
            <w:tcW w:w="1275" w:type="dxa"/>
          </w:tcPr>
          <w:p w14:paraId="07129B7D"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c>
          <w:tcPr>
            <w:tcW w:w="1088" w:type="dxa"/>
          </w:tcPr>
          <w:p w14:paraId="6FE3B318"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r>
      <w:tr w:rsidR="004D4B77" w:rsidRPr="003E61D0" w14:paraId="7FDD9BE8" w14:textId="77777777" w:rsidTr="00E3379C">
        <w:tc>
          <w:tcPr>
            <w:tcW w:w="4111" w:type="dxa"/>
          </w:tcPr>
          <w:p w14:paraId="6696AAFF"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Gloucestershire Hospitals NHS Foundation Trust</w:t>
            </w:r>
          </w:p>
        </w:tc>
        <w:tc>
          <w:tcPr>
            <w:tcW w:w="2552" w:type="dxa"/>
          </w:tcPr>
          <w:p w14:paraId="3D2AEB94"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Cheltenham General Hospital</w:t>
            </w:r>
          </w:p>
        </w:tc>
        <w:tc>
          <w:tcPr>
            <w:tcW w:w="1275" w:type="dxa"/>
          </w:tcPr>
          <w:p w14:paraId="329C58AB"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c>
          <w:tcPr>
            <w:tcW w:w="1088" w:type="dxa"/>
          </w:tcPr>
          <w:p w14:paraId="33027209"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r>
      <w:tr w:rsidR="004D4B77" w:rsidRPr="003E61D0" w14:paraId="374FF5C2" w14:textId="77777777" w:rsidTr="00E3379C">
        <w:tc>
          <w:tcPr>
            <w:tcW w:w="0" w:type="auto"/>
            <w:gridSpan w:val="4"/>
            <w:shd w:val="clear" w:color="auto" w:fill="D9D9D9" w:themeFill="background1" w:themeFillShade="D9"/>
          </w:tcPr>
          <w:p w14:paraId="73B30EE9" w14:textId="77777777" w:rsidR="004D4B77" w:rsidRPr="003E61D0" w:rsidRDefault="004D4B77" w:rsidP="00E3379C">
            <w:pPr>
              <w:spacing w:afterLines="40" w:after="96"/>
              <w:jc w:val="center"/>
              <w:rPr>
                <w:rFonts w:ascii="Calibri" w:hAnsi="Calibri" w:cs="Calibri"/>
                <w:b/>
                <w:bCs/>
                <w:sz w:val="16"/>
                <w:szCs w:val="16"/>
              </w:rPr>
            </w:pPr>
            <w:proofErr w:type="gramStart"/>
            <w:r w:rsidRPr="003E61D0">
              <w:rPr>
                <w:rFonts w:ascii="Calibri" w:hAnsi="Calibri" w:cs="Calibri"/>
                <w:b/>
                <w:bCs/>
                <w:sz w:val="16"/>
                <w:szCs w:val="16"/>
              </w:rPr>
              <w:t>North West</w:t>
            </w:r>
            <w:proofErr w:type="gramEnd"/>
            <w:r w:rsidRPr="003E61D0">
              <w:rPr>
                <w:rFonts w:ascii="Calibri" w:hAnsi="Calibri" w:cs="Calibri"/>
                <w:b/>
                <w:bCs/>
                <w:sz w:val="16"/>
                <w:szCs w:val="16"/>
              </w:rPr>
              <w:t xml:space="preserve"> London Network</w:t>
            </w:r>
          </w:p>
        </w:tc>
      </w:tr>
      <w:tr w:rsidR="001E6B41" w:rsidRPr="003E61D0" w14:paraId="68927E3B" w14:textId="77777777" w:rsidTr="001E6B41">
        <w:tc>
          <w:tcPr>
            <w:tcW w:w="0" w:type="auto"/>
            <w:gridSpan w:val="4"/>
            <w:shd w:val="clear" w:color="auto" w:fill="auto"/>
          </w:tcPr>
          <w:p w14:paraId="2F79A3ED" w14:textId="62C01491" w:rsidR="001E6B41" w:rsidRPr="001E6B41" w:rsidRDefault="001E6B41" w:rsidP="001E6B41">
            <w:pPr>
              <w:pStyle w:val="ListParagraph"/>
              <w:numPr>
                <w:ilvl w:val="0"/>
                <w:numId w:val="1"/>
              </w:numPr>
              <w:spacing w:afterLines="40" w:after="96"/>
              <w:rPr>
                <w:sz w:val="16"/>
                <w:szCs w:val="16"/>
              </w:rPr>
            </w:pPr>
            <w:r w:rsidRPr="004D4B77">
              <w:rPr>
                <w:sz w:val="16"/>
                <w:szCs w:val="16"/>
              </w:rPr>
              <w:t xml:space="preserve">Mixed </w:t>
            </w:r>
            <w:r>
              <w:rPr>
                <w:sz w:val="16"/>
                <w:szCs w:val="16"/>
              </w:rPr>
              <w:t xml:space="preserve">predominantly </w:t>
            </w:r>
            <w:r w:rsidRPr="004D4B77">
              <w:rPr>
                <w:sz w:val="16"/>
                <w:szCs w:val="16"/>
              </w:rPr>
              <w:t xml:space="preserve">urban </w:t>
            </w:r>
            <w:r>
              <w:rPr>
                <w:sz w:val="16"/>
                <w:szCs w:val="16"/>
              </w:rPr>
              <w:t>geography</w:t>
            </w:r>
            <w:r>
              <w:rPr>
                <w:sz w:val="16"/>
                <w:szCs w:val="16"/>
              </w:rPr>
              <w:t xml:space="preserve"> (</w:t>
            </w:r>
            <w:proofErr w:type="gramStart"/>
            <w:r>
              <w:rPr>
                <w:sz w:val="16"/>
                <w:szCs w:val="16"/>
              </w:rPr>
              <w:t>North West</w:t>
            </w:r>
            <w:proofErr w:type="gramEnd"/>
            <w:r>
              <w:rPr>
                <w:sz w:val="16"/>
                <w:szCs w:val="16"/>
              </w:rPr>
              <w:t xml:space="preserve"> London)</w:t>
            </w:r>
          </w:p>
        </w:tc>
      </w:tr>
      <w:tr w:rsidR="004D4B77" w:rsidRPr="003E61D0" w14:paraId="2B0F22FD" w14:textId="77777777" w:rsidTr="00E3379C">
        <w:tc>
          <w:tcPr>
            <w:tcW w:w="4111" w:type="dxa"/>
          </w:tcPr>
          <w:p w14:paraId="1193E9B9"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Imperial College Healthcare NHS Trust</w:t>
            </w:r>
          </w:p>
        </w:tc>
        <w:tc>
          <w:tcPr>
            <w:tcW w:w="2552" w:type="dxa"/>
          </w:tcPr>
          <w:p w14:paraId="727A144D"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St Mary's Hospital</w:t>
            </w:r>
          </w:p>
        </w:tc>
        <w:tc>
          <w:tcPr>
            <w:tcW w:w="1275" w:type="dxa"/>
          </w:tcPr>
          <w:p w14:paraId="5069D3B8"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MTC</w:t>
            </w:r>
          </w:p>
        </w:tc>
        <w:tc>
          <w:tcPr>
            <w:tcW w:w="1088" w:type="dxa"/>
          </w:tcPr>
          <w:p w14:paraId="06EC1C87"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MTC</w:t>
            </w:r>
          </w:p>
        </w:tc>
      </w:tr>
      <w:tr w:rsidR="004D4B77" w:rsidRPr="003E61D0" w14:paraId="6EE78A57" w14:textId="77777777" w:rsidTr="00E3379C">
        <w:tc>
          <w:tcPr>
            <w:tcW w:w="4111" w:type="dxa"/>
          </w:tcPr>
          <w:p w14:paraId="7EBE035F"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Hillingdon Hospitals NHS Foundation Trust</w:t>
            </w:r>
          </w:p>
        </w:tc>
        <w:tc>
          <w:tcPr>
            <w:tcW w:w="2552" w:type="dxa"/>
          </w:tcPr>
          <w:p w14:paraId="5A944DF1"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Hillingdon Hospital</w:t>
            </w:r>
          </w:p>
        </w:tc>
        <w:tc>
          <w:tcPr>
            <w:tcW w:w="1275" w:type="dxa"/>
          </w:tcPr>
          <w:p w14:paraId="067F0F44"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537948B8"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11C30DEE" w14:textId="77777777" w:rsidTr="00E3379C">
        <w:tc>
          <w:tcPr>
            <w:tcW w:w="4111" w:type="dxa"/>
          </w:tcPr>
          <w:p w14:paraId="43B32118"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Chelsea and Westminster Hospital NHS Foundation Trust</w:t>
            </w:r>
          </w:p>
        </w:tc>
        <w:tc>
          <w:tcPr>
            <w:tcW w:w="2552" w:type="dxa"/>
          </w:tcPr>
          <w:p w14:paraId="4A09685D"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Chelsea and Westminster Hospital</w:t>
            </w:r>
          </w:p>
        </w:tc>
        <w:tc>
          <w:tcPr>
            <w:tcW w:w="1275" w:type="dxa"/>
          </w:tcPr>
          <w:p w14:paraId="65F59F09"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1AE301A6"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6E6DE110" w14:textId="77777777" w:rsidTr="00E3379C">
        <w:tc>
          <w:tcPr>
            <w:tcW w:w="4111" w:type="dxa"/>
          </w:tcPr>
          <w:p w14:paraId="02FA2806"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Chelsea and Westminster Hospital NHS Foundation Trust</w:t>
            </w:r>
          </w:p>
        </w:tc>
        <w:tc>
          <w:tcPr>
            <w:tcW w:w="2552" w:type="dxa"/>
          </w:tcPr>
          <w:p w14:paraId="51DE295F"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West Middlesex University Hospital</w:t>
            </w:r>
          </w:p>
        </w:tc>
        <w:tc>
          <w:tcPr>
            <w:tcW w:w="1275" w:type="dxa"/>
          </w:tcPr>
          <w:p w14:paraId="52E60E62"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5EC2B385"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4D1AE3F4" w14:textId="77777777" w:rsidTr="00E3379C">
        <w:tc>
          <w:tcPr>
            <w:tcW w:w="4111" w:type="dxa"/>
          </w:tcPr>
          <w:p w14:paraId="0860044C"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 xml:space="preserve">London </w:t>
            </w:r>
            <w:proofErr w:type="gramStart"/>
            <w:r w:rsidRPr="003E61D0">
              <w:rPr>
                <w:rFonts w:ascii="Calibri" w:hAnsi="Calibri" w:cs="Calibri"/>
                <w:sz w:val="16"/>
                <w:szCs w:val="16"/>
              </w:rPr>
              <w:t>North West</w:t>
            </w:r>
            <w:proofErr w:type="gramEnd"/>
            <w:r w:rsidRPr="003E61D0">
              <w:rPr>
                <w:rFonts w:ascii="Calibri" w:hAnsi="Calibri" w:cs="Calibri"/>
                <w:sz w:val="16"/>
                <w:szCs w:val="16"/>
              </w:rPr>
              <w:t xml:space="preserve"> University Healthcare NHS Trust</w:t>
            </w:r>
          </w:p>
        </w:tc>
        <w:tc>
          <w:tcPr>
            <w:tcW w:w="2552" w:type="dxa"/>
          </w:tcPr>
          <w:p w14:paraId="66919739"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 xml:space="preserve">Ealing Hospital </w:t>
            </w:r>
          </w:p>
        </w:tc>
        <w:tc>
          <w:tcPr>
            <w:tcW w:w="1275" w:type="dxa"/>
          </w:tcPr>
          <w:p w14:paraId="7A6347B6"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4DC3016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74C37B69" w14:textId="77777777" w:rsidTr="00E3379C">
        <w:tc>
          <w:tcPr>
            <w:tcW w:w="4111" w:type="dxa"/>
          </w:tcPr>
          <w:p w14:paraId="1BA7DF4F"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 xml:space="preserve">London </w:t>
            </w:r>
            <w:proofErr w:type="gramStart"/>
            <w:r w:rsidRPr="003E61D0">
              <w:rPr>
                <w:rFonts w:ascii="Calibri" w:hAnsi="Calibri" w:cs="Calibri"/>
                <w:sz w:val="16"/>
                <w:szCs w:val="16"/>
              </w:rPr>
              <w:t>North West</w:t>
            </w:r>
            <w:proofErr w:type="gramEnd"/>
            <w:r w:rsidRPr="003E61D0">
              <w:rPr>
                <w:rFonts w:ascii="Calibri" w:hAnsi="Calibri" w:cs="Calibri"/>
                <w:sz w:val="16"/>
                <w:szCs w:val="16"/>
              </w:rPr>
              <w:t xml:space="preserve"> University Healthcare NHS Trust</w:t>
            </w:r>
          </w:p>
        </w:tc>
        <w:tc>
          <w:tcPr>
            <w:tcW w:w="2552" w:type="dxa"/>
          </w:tcPr>
          <w:p w14:paraId="122EA11C"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Northwick Park Hospital</w:t>
            </w:r>
          </w:p>
        </w:tc>
        <w:tc>
          <w:tcPr>
            <w:tcW w:w="1275" w:type="dxa"/>
          </w:tcPr>
          <w:p w14:paraId="21E7669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4558A51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7FE79C26" w14:textId="77777777" w:rsidTr="00E3379C">
        <w:trPr>
          <w:trHeight w:val="77"/>
        </w:trPr>
        <w:tc>
          <w:tcPr>
            <w:tcW w:w="4111" w:type="dxa"/>
          </w:tcPr>
          <w:p w14:paraId="0A627398"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West Hertfordshire Teaching Hospitals NHS Trust</w:t>
            </w:r>
          </w:p>
        </w:tc>
        <w:tc>
          <w:tcPr>
            <w:tcW w:w="2552" w:type="dxa"/>
          </w:tcPr>
          <w:p w14:paraId="7DF938D9"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Watford General Hospital</w:t>
            </w:r>
          </w:p>
        </w:tc>
        <w:tc>
          <w:tcPr>
            <w:tcW w:w="1275" w:type="dxa"/>
          </w:tcPr>
          <w:p w14:paraId="5D06EA98"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6D62BC88"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033B67A7" w14:textId="77777777" w:rsidTr="00E3379C">
        <w:tc>
          <w:tcPr>
            <w:tcW w:w="0" w:type="auto"/>
            <w:gridSpan w:val="4"/>
            <w:shd w:val="clear" w:color="auto" w:fill="D9D9D9" w:themeFill="background1" w:themeFillShade="D9"/>
          </w:tcPr>
          <w:p w14:paraId="735E49A0" w14:textId="77777777" w:rsidR="004D4B77" w:rsidRPr="003E61D0" w:rsidRDefault="004D4B77" w:rsidP="00E3379C">
            <w:pPr>
              <w:spacing w:afterLines="40" w:after="96"/>
              <w:jc w:val="center"/>
              <w:rPr>
                <w:rFonts w:ascii="Calibri" w:hAnsi="Calibri" w:cs="Calibri"/>
                <w:b/>
                <w:bCs/>
                <w:sz w:val="16"/>
                <w:szCs w:val="16"/>
              </w:rPr>
            </w:pPr>
            <w:r w:rsidRPr="003E61D0">
              <w:rPr>
                <w:rFonts w:ascii="Calibri" w:hAnsi="Calibri" w:cs="Calibri"/>
                <w:b/>
                <w:bCs/>
                <w:sz w:val="16"/>
                <w:szCs w:val="16"/>
              </w:rPr>
              <w:t>West Yorkshire Network</w:t>
            </w:r>
          </w:p>
        </w:tc>
      </w:tr>
      <w:tr w:rsidR="001E6B41" w:rsidRPr="003E61D0" w14:paraId="65F31DA3" w14:textId="77777777" w:rsidTr="001E6B41">
        <w:tc>
          <w:tcPr>
            <w:tcW w:w="0" w:type="auto"/>
            <w:gridSpan w:val="4"/>
            <w:shd w:val="clear" w:color="auto" w:fill="auto"/>
          </w:tcPr>
          <w:p w14:paraId="7FF28A74" w14:textId="11C83E97" w:rsidR="001E6B41" w:rsidRDefault="001E6B41" w:rsidP="001E6B41">
            <w:pPr>
              <w:pStyle w:val="ListParagraph"/>
              <w:numPr>
                <w:ilvl w:val="0"/>
                <w:numId w:val="1"/>
              </w:numPr>
              <w:spacing w:afterLines="40" w:after="96"/>
              <w:rPr>
                <w:sz w:val="16"/>
                <w:szCs w:val="16"/>
              </w:rPr>
            </w:pPr>
            <w:r>
              <w:rPr>
                <w:sz w:val="16"/>
                <w:szCs w:val="16"/>
              </w:rPr>
              <w:t>Predominantly urban and semi-rural</w:t>
            </w:r>
            <w:r>
              <w:rPr>
                <w:sz w:val="16"/>
                <w:szCs w:val="16"/>
              </w:rPr>
              <w:t xml:space="preserve"> geography</w:t>
            </w:r>
          </w:p>
          <w:p w14:paraId="76BF4E4A" w14:textId="2C216CF5" w:rsidR="001E6B41" w:rsidRPr="001E6B41" w:rsidRDefault="001E6B41" w:rsidP="001E6B41">
            <w:pPr>
              <w:pStyle w:val="ListParagraph"/>
              <w:numPr>
                <w:ilvl w:val="0"/>
                <w:numId w:val="1"/>
              </w:numPr>
              <w:spacing w:afterLines="40" w:after="96"/>
              <w:rPr>
                <w:b/>
                <w:bCs/>
                <w:sz w:val="16"/>
                <w:szCs w:val="16"/>
              </w:rPr>
            </w:pPr>
            <w:r>
              <w:rPr>
                <w:sz w:val="16"/>
                <w:szCs w:val="16"/>
              </w:rPr>
              <w:t>Large cit</w:t>
            </w:r>
            <w:r>
              <w:rPr>
                <w:sz w:val="16"/>
                <w:szCs w:val="16"/>
              </w:rPr>
              <w:t>ies</w:t>
            </w:r>
            <w:r>
              <w:rPr>
                <w:sz w:val="16"/>
                <w:szCs w:val="16"/>
              </w:rPr>
              <w:t xml:space="preserve"> (</w:t>
            </w:r>
            <w:r>
              <w:rPr>
                <w:sz w:val="16"/>
                <w:szCs w:val="16"/>
              </w:rPr>
              <w:t>Leeds and Bradford</w:t>
            </w:r>
            <w:r>
              <w:rPr>
                <w:sz w:val="16"/>
                <w:szCs w:val="16"/>
              </w:rPr>
              <w:t>)</w:t>
            </w:r>
          </w:p>
          <w:p w14:paraId="6ED7C024" w14:textId="2FF0C328" w:rsidR="001E6B41" w:rsidRPr="003E61D0" w:rsidRDefault="001E6B41" w:rsidP="001E6B41">
            <w:pPr>
              <w:pStyle w:val="ListParagraph"/>
              <w:numPr>
                <w:ilvl w:val="0"/>
                <w:numId w:val="1"/>
              </w:numPr>
              <w:spacing w:afterLines="40" w:after="96"/>
              <w:rPr>
                <w:b/>
                <w:bCs/>
                <w:sz w:val="16"/>
                <w:szCs w:val="16"/>
              </w:rPr>
            </w:pPr>
            <w:r>
              <w:rPr>
                <w:sz w:val="16"/>
                <w:szCs w:val="16"/>
              </w:rPr>
              <w:t>Surrounding semi-rural areas and towns</w:t>
            </w:r>
          </w:p>
        </w:tc>
      </w:tr>
      <w:tr w:rsidR="004D4B77" w:rsidRPr="003E61D0" w14:paraId="52E1C323" w14:textId="77777777" w:rsidTr="00E3379C">
        <w:tc>
          <w:tcPr>
            <w:tcW w:w="4111" w:type="dxa"/>
          </w:tcPr>
          <w:p w14:paraId="19043422"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Leeds Teaching Hospitals NHS Trust</w:t>
            </w:r>
          </w:p>
        </w:tc>
        <w:tc>
          <w:tcPr>
            <w:tcW w:w="2552" w:type="dxa"/>
          </w:tcPr>
          <w:p w14:paraId="5150B440"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Leeds General Infirmary</w:t>
            </w:r>
          </w:p>
        </w:tc>
        <w:tc>
          <w:tcPr>
            <w:tcW w:w="1275" w:type="dxa"/>
          </w:tcPr>
          <w:p w14:paraId="201FD910"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MTC</w:t>
            </w:r>
          </w:p>
        </w:tc>
        <w:tc>
          <w:tcPr>
            <w:tcW w:w="1088" w:type="dxa"/>
          </w:tcPr>
          <w:p w14:paraId="00D6FE2D"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MTC</w:t>
            </w:r>
          </w:p>
        </w:tc>
      </w:tr>
      <w:tr w:rsidR="004D4B77" w:rsidRPr="003E61D0" w14:paraId="0CA97D3E" w14:textId="77777777" w:rsidTr="00E3379C">
        <w:trPr>
          <w:trHeight w:val="77"/>
        </w:trPr>
        <w:tc>
          <w:tcPr>
            <w:tcW w:w="4111" w:type="dxa"/>
          </w:tcPr>
          <w:p w14:paraId="3A07F7CC"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Leeds Teaching Hospitals NHS Trust</w:t>
            </w:r>
          </w:p>
        </w:tc>
        <w:tc>
          <w:tcPr>
            <w:tcW w:w="2552" w:type="dxa"/>
          </w:tcPr>
          <w:p w14:paraId="5EBA297F"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St James University Hospital</w:t>
            </w:r>
          </w:p>
        </w:tc>
        <w:tc>
          <w:tcPr>
            <w:tcW w:w="1275" w:type="dxa"/>
          </w:tcPr>
          <w:p w14:paraId="26D6C58E"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186598F4"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45CBD060" w14:textId="77777777" w:rsidTr="00E3379C">
        <w:trPr>
          <w:trHeight w:val="77"/>
        </w:trPr>
        <w:tc>
          <w:tcPr>
            <w:tcW w:w="4111" w:type="dxa"/>
          </w:tcPr>
          <w:p w14:paraId="5D367AA1"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Airedale NHS Foundation Trust</w:t>
            </w:r>
          </w:p>
        </w:tc>
        <w:tc>
          <w:tcPr>
            <w:tcW w:w="2552" w:type="dxa"/>
          </w:tcPr>
          <w:p w14:paraId="0E0B5ACB"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Airedale General Hospital</w:t>
            </w:r>
          </w:p>
        </w:tc>
        <w:tc>
          <w:tcPr>
            <w:tcW w:w="1275" w:type="dxa"/>
          </w:tcPr>
          <w:p w14:paraId="64A6CB3A"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6DCF53B9"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656D9B79" w14:textId="77777777" w:rsidTr="00E3379C">
        <w:trPr>
          <w:trHeight w:val="77"/>
        </w:trPr>
        <w:tc>
          <w:tcPr>
            <w:tcW w:w="4111" w:type="dxa"/>
          </w:tcPr>
          <w:p w14:paraId="3705C991"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Bradford Teaching Hospitals NHS Foundation Trust</w:t>
            </w:r>
          </w:p>
        </w:tc>
        <w:tc>
          <w:tcPr>
            <w:tcW w:w="2552" w:type="dxa"/>
          </w:tcPr>
          <w:p w14:paraId="74129F95"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Bradford Royal Infirmary</w:t>
            </w:r>
          </w:p>
        </w:tc>
        <w:tc>
          <w:tcPr>
            <w:tcW w:w="1275" w:type="dxa"/>
          </w:tcPr>
          <w:p w14:paraId="09810427"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35890ABC"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2AA22638" w14:textId="77777777" w:rsidTr="00E3379C">
        <w:trPr>
          <w:trHeight w:val="77"/>
        </w:trPr>
        <w:tc>
          <w:tcPr>
            <w:tcW w:w="4111" w:type="dxa"/>
          </w:tcPr>
          <w:p w14:paraId="38F24E3E"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Calderdale and Huddersfield NHS Foundation Trust</w:t>
            </w:r>
          </w:p>
        </w:tc>
        <w:tc>
          <w:tcPr>
            <w:tcW w:w="2552" w:type="dxa"/>
          </w:tcPr>
          <w:p w14:paraId="42B07FD5"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Calderdale Royal Hospital</w:t>
            </w:r>
          </w:p>
        </w:tc>
        <w:tc>
          <w:tcPr>
            <w:tcW w:w="1275" w:type="dxa"/>
          </w:tcPr>
          <w:p w14:paraId="0824EA05"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0B327AEA"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0618B828" w14:textId="77777777" w:rsidTr="00E3379C">
        <w:trPr>
          <w:trHeight w:val="77"/>
        </w:trPr>
        <w:tc>
          <w:tcPr>
            <w:tcW w:w="4111" w:type="dxa"/>
          </w:tcPr>
          <w:p w14:paraId="29A10990"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Mid Yorkshire Hospitals NHS Trust</w:t>
            </w:r>
          </w:p>
        </w:tc>
        <w:tc>
          <w:tcPr>
            <w:tcW w:w="2552" w:type="dxa"/>
          </w:tcPr>
          <w:p w14:paraId="21F89D46"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Dewsbury and District Hospital</w:t>
            </w:r>
          </w:p>
        </w:tc>
        <w:tc>
          <w:tcPr>
            <w:tcW w:w="1275" w:type="dxa"/>
          </w:tcPr>
          <w:p w14:paraId="59B6569A"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c>
          <w:tcPr>
            <w:tcW w:w="1088" w:type="dxa"/>
          </w:tcPr>
          <w:p w14:paraId="4325396C"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r>
      <w:tr w:rsidR="004D4B77" w:rsidRPr="003E61D0" w14:paraId="36C20EC5" w14:textId="77777777" w:rsidTr="00E3379C">
        <w:trPr>
          <w:trHeight w:val="77"/>
        </w:trPr>
        <w:tc>
          <w:tcPr>
            <w:tcW w:w="4111" w:type="dxa"/>
          </w:tcPr>
          <w:p w14:paraId="7D5D9ACA"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Harrogate and District NHS Foundation Trust</w:t>
            </w:r>
          </w:p>
        </w:tc>
        <w:tc>
          <w:tcPr>
            <w:tcW w:w="2552" w:type="dxa"/>
          </w:tcPr>
          <w:p w14:paraId="0B08236F"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Harrogate District Hospital</w:t>
            </w:r>
          </w:p>
        </w:tc>
        <w:tc>
          <w:tcPr>
            <w:tcW w:w="1275" w:type="dxa"/>
          </w:tcPr>
          <w:p w14:paraId="52440A1A"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17446ACE"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46C9EBBB" w14:textId="77777777" w:rsidTr="00E3379C">
        <w:trPr>
          <w:trHeight w:val="77"/>
        </w:trPr>
        <w:tc>
          <w:tcPr>
            <w:tcW w:w="4111" w:type="dxa"/>
          </w:tcPr>
          <w:p w14:paraId="4DBD5C4E"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Calderdale and Huddersfield NHS Foundation Trust</w:t>
            </w:r>
          </w:p>
        </w:tc>
        <w:tc>
          <w:tcPr>
            <w:tcW w:w="2552" w:type="dxa"/>
          </w:tcPr>
          <w:p w14:paraId="748AF3C6"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Huddersfield Royal Infirmary</w:t>
            </w:r>
          </w:p>
        </w:tc>
        <w:tc>
          <w:tcPr>
            <w:tcW w:w="1275" w:type="dxa"/>
          </w:tcPr>
          <w:p w14:paraId="11B6F229"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3274D2DB"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6C575580" w14:textId="77777777" w:rsidTr="00E3379C">
        <w:trPr>
          <w:trHeight w:val="77"/>
        </w:trPr>
        <w:tc>
          <w:tcPr>
            <w:tcW w:w="4111" w:type="dxa"/>
          </w:tcPr>
          <w:p w14:paraId="4B654C69"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Mid Yorkshire Hospitals NHS Trust</w:t>
            </w:r>
          </w:p>
        </w:tc>
        <w:tc>
          <w:tcPr>
            <w:tcW w:w="2552" w:type="dxa"/>
          </w:tcPr>
          <w:p w14:paraId="08312C11"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Pinderfields General Hospital</w:t>
            </w:r>
          </w:p>
        </w:tc>
        <w:tc>
          <w:tcPr>
            <w:tcW w:w="1275" w:type="dxa"/>
          </w:tcPr>
          <w:p w14:paraId="61744C6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45A52A5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3155A5B2" w14:textId="77777777" w:rsidTr="00E3379C">
        <w:trPr>
          <w:trHeight w:val="77"/>
        </w:trPr>
        <w:tc>
          <w:tcPr>
            <w:tcW w:w="0" w:type="auto"/>
            <w:gridSpan w:val="4"/>
            <w:shd w:val="clear" w:color="auto" w:fill="D9D9D9" w:themeFill="background1" w:themeFillShade="D9"/>
          </w:tcPr>
          <w:p w14:paraId="6D780B47" w14:textId="77777777" w:rsidR="004D4B77" w:rsidRPr="003E61D0" w:rsidRDefault="004D4B77" w:rsidP="00E3379C">
            <w:pPr>
              <w:spacing w:afterLines="40" w:after="96"/>
              <w:jc w:val="center"/>
              <w:rPr>
                <w:rFonts w:ascii="Calibri" w:hAnsi="Calibri" w:cs="Calibri"/>
                <w:b/>
                <w:bCs/>
                <w:sz w:val="16"/>
                <w:szCs w:val="16"/>
              </w:rPr>
            </w:pPr>
            <w:r w:rsidRPr="003E61D0">
              <w:rPr>
                <w:rFonts w:ascii="Calibri" w:hAnsi="Calibri" w:cs="Calibri"/>
                <w:b/>
                <w:bCs/>
                <w:sz w:val="16"/>
                <w:szCs w:val="16"/>
              </w:rPr>
              <w:t>Birmingham Network</w:t>
            </w:r>
          </w:p>
        </w:tc>
      </w:tr>
      <w:tr w:rsidR="001E6B41" w:rsidRPr="003E61D0" w14:paraId="452FBB13" w14:textId="77777777" w:rsidTr="001E6B41">
        <w:trPr>
          <w:trHeight w:val="77"/>
        </w:trPr>
        <w:tc>
          <w:tcPr>
            <w:tcW w:w="0" w:type="auto"/>
            <w:gridSpan w:val="4"/>
            <w:shd w:val="clear" w:color="auto" w:fill="auto"/>
          </w:tcPr>
          <w:p w14:paraId="73E81D95" w14:textId="77777777" w:rsidR="001E6B41" w:rsidRDefault="001E6B41" w:rsidP="001E6B41">
            <w:pPr>
              <w:pStyle w:val="ListParagraph"/>
              <w:numPr>
                <w:ilvl w:val="0"/>
                <w:numId w:val="1"/>
              </w:numPr>
              <w:spacing w:afterLines="40" w:after="96"/>
              <w:rPr>
                <w:sz w:val="16"/>
                <w:szCs w:val="16"/>
              </w:rPr>
            </w:pPr>
            <w:r w:rsidRPr="004D4B77">
              <w:rPr>
                <w:sz w:val="16"/>
                <w:szCs w:val="16"/>
              </w:rPr>
              <w:t xml:space="preserve">Mixed urban </w:t>
            </w:r>
            <w:r>
              <w:rPr>
                <w:sz w:val="16"/>
                <w:szCs w:val="16"/>
              </w:rPr>
              <w:t>/ rural geography</w:t>
            </w:r>
          </w:p>
          <w:p w14:paraId="115A8215" w14:textId="2A5BD2A6" w:rsidR="001E6B41" w:rsidRPr="001E6B41" w:rsidRDefault="001E6B41" w:rsidP="001E6B41">
            <w:pPr>
              <w:pStyle w:val="ListParagraph"/>
              <w:numPr>
                <w:ilvl w:val="0"/>
                <w:numId w:val="1"/>
              </w:numPr>
              <w:spacing w:afterLines="40" w:after="96"/>
              <w:rPr>
                <w:b/>
                <w:bCs/>
                <w:sz w:val="16"/>
                <w:szCs w:val="16"/>
              </w:rPr>
            </w:pPr>
            <w:r>
              <w:rPr>
                <w:sz w:val="16"/>
                <w:szCs w:val="16"/>
              </w:rPr>
              <w:t>Large city (B</w:t>
            </w:r>
            <w:r>
              <w:rPr>
                <w:sz w:val="16"/>
                <w:szCs w:val="16"/>
              </w:rPr>
              <w:t xml:space="preserve">irmingham </w:t>
            </w:r>
            <w:proofErr w:type="spellStart"/>
            <w:r>
              <w:rPr>
                <w:sz w:val="16"/>
                <w:szCs w:val="16"/>
              </w:rPr>
              <w:t>connurbation</w:t>
            </w:r>
            <w:proofErr w:type="spellEnd"/>
            <w:r>
              <w:rPr>
                <w:sz w:val="16"/>
                <w:szCs w:val="16"/>
              </w:rPr>
              <w:t>)</w:t>
            </w:r>
          </w:p>
          <w:p w14:paraId="3D7178B0" w14:textId="6E38BA93" w:rsidR="001E6B41" w:rsidRPr="003E61D0" w:rsidRDefault="001E6B41" w:rsidP="001E6B41">
            <w:pPr>
              <w:pStyle w:val="ListParagraph"/>
              <w:numPr>
                <w:ilvl w:val="0"/>
                <w:numId w:val="1"/>
              </w:numPr>
              <w:spacing w:afterLines="40" w:after="96"/>
              <w:rPr>
                <w:b/>
                <w:bCs/>
                <w:sz w:val="16"/>
                <w:szCs w:val="16"/>
              </w:rPr>
            </w:pPr>
            <w:r>
              <w:rPr>
                <w:sz w:val="16"/>
                <w:szCs w:val="16"/>
              </w:rPr>
              <w:t>Surrounding rural, semi-rural areas and smaller towns</w:t>
            </w:r>
          </w:p>
        </w:tc>
      </w:tr>
      <w:tr w:rsidR="004D4B77" w:rsidRPr="003E61D0" w14:paraId="2AAB5F15" w14:textId="77777777" w:rsidTr="00E3379C">
        <w:trPr>
          <w:trHeight w:val="77"/>
        </w:trPr>
        <w:tc>
          <w:tcPr>
            <w:tcW w:w="4111" w:type="dxa"/>
          </w:tcPr>
          <w:p w14:paraId="3DC25DBA"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University Hospitals Birmingham NHS Foundation Trust</w:t>
            </w:r>
          </w:p>
        </w:tc>
        <w:tc>
          <w:tcPr>
            <w:tcW w:w="2552" w:type="dxa"/>
          </w:tcPr>
          <w:p w14:paraId="64928E05"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Queen Elizabeth Birmingham</w:t>
            </w:r>
          </w:p>
        </w:tc>
        <w:tc>
          <w:tcPr>
            <w:tcW w:w="1275" w:type="dxa"/>
          </w:tcPr>
          <w:p w14:paraId="655F53C5"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MTC</w:t>
            </w:r>
          </w:p>
        </w:tc>
        <w:tc>
          <w:tcPr>
            <w:tcW w:w="1088" w:type="dxa"/>
          </w:tcPr>
          <w:p w14:paraId="151D935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N/A</w:t>
            </w:r>
          </w:p>
        </w:tc>
      </w:tr>
      <w:tr w:rsidR="004D4B77" w:rsidRPr="003E61D0" w14:paraId="19F78333" w14:textId="77777777" w:rsidTr="00E3379C">
        <w:trPr>
          <w:trHeight w:val="77"/>
        </w:trPr>
        <w:tc>
          <w:tcPr>
            <w:tcW w:w="4111" w:type="dxa"/>
          </w:tcPr>
          <w:p w14:paraId="0B6B6B9E"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Birmingham Women’s and Children’s NHS Foundation Trust</w:t>
            </w:r>
          </w:p>
        </w:tc>
        <w:tc>
          <w:tcPr>
            <w:tcW w:w="2552" w:type="dxa"/>
          </w:tcPr>
          <w:p w14:paraId="330C4EB6"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Birmingham Children’s Hospital</w:t>
            </w:r>
          </w:p>
        </w:tc>
        <w:tc>
          <w:tcPr>
            <w:tcW w:w="1275" w:type="dxa"/>
          </w:tcPr>
          <w:p w14:paraId="7A346C70"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N/A</w:t>
            </w:r>
          </w:p>
        </w:tc>
        <w:tc>
          <w:tcPr>
            <w:tcW w:w="1088" w:type="dxa"/>
          </w:tcPr>
          <w:p w14:paraId="4830FA1A"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MTC</w:t>
            </w:r>
          </w:p>
        </w:tc>
      </w:tr>
      <w:tr w:rsidR="004D4B77" w:rsidRPr="003E61D0" w14:paraId="53C3EF2D" w14:textId="77777777" w:rsidTr="00E3379C">
        <w:trPr>
          <w:trHeight w:val="77"/>
        </w:trPr>
        <w:tc>
          <w:tcPr>
            <w:tcW w:w="4111" w:type="dxa"/>
          </w:tcPr>
          <w:p w14:paraId="47710781"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University Hospitals Birmingham NHS Foundation Trust</w:t>
            </w:r>
          </w:p>
        </w:tc>
        <w:tc>
          <w:tcPr>
            <w:tcW w:w="2552" w:type="dxa"/>
          </w:tcPr>
          <w:p w14:paraId="5639C0BF"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Heartlands Hospital</w:t>
            </w:r>
          </w:p>
        </w:tc>
        <w:tc>
          <w:tcPr>
            <w:tcW w:w="1275" w:type="dxa"/>
          </w:tcPr>
          <w:p w14:paraId="00A433E9"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366820ED"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20D98716" w14:textId="77777777" w:rsidTr="00E3379C">
        <w:trPr>
          <w:trHeight w:val="77"/>
        </w:trPr>
        <w:tc>
          <w:tcPr>
            <w:tcW w:w="4111" w:type="dxa"/>
          </w:tcPr>
          <w:p w14:paraId="1EBB76CE"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Sandwell and West Birmingham Hospitals NHS Trust</w:t>
            </w:r>
          </w:p>
        </w:tc>
        <w:tc>
          <w:tcPr>
            <w:tcW w:w="2552" w:type="dxa"/>
          </w:tcPr>
          <w:p w14:paraId="18C96E11"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Birmingham City Hospital</w:t>
            </w:r>
          </w:p>
        </w:tc>
        <w:tc>
          <w:tcPr>
            <w:tcW w:w="1275" w:type="dxa"/>
          </w:tcPr>
          <w:p w14:paraId="0290429E"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c>
          <w:tcPr>
            <w:tcW w:w="1088" w:type="dxa"/>
          </w:tcPr>
          <w:p w14:paraId="735862F7"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r>
      <w:tr w:rsidR="004D4B77" w:rsidRPr="003E61D0" w14:paraId="55F0F652" w14:textId="77777777" w:rsidTr="00E3379C">
        <w:trPr>
          <w:trHeight w:val="77"/>
        </w:trPr>
        <w:tc>
          <w:tcPr>
            <w:tcW w:w="4111" w:type="dxa"/>
          </w:tcPr>
          <w:p w14:paraId="54200A04"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University Hospitals Birmingham NHS Foundation Trust</w:t>
            </w:r>
          </w:p>
        </w:tc>
        <w:tc>
          <w:tcPr>
            <w:tcW w:w="2552" w:type="dxa"/>
          </w:tcPr>
          <w:p w14:paraId="6C2D300A"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Good Hope Hospital</w:t>
            </w:r>
          </w:p>
        </w:tc>
        <w:tc>
          <w:tcPr>
            <w:tcW w:w="1275" w:type="dxa"/>
          </w:tcPr>
          <w:p w14:paraId="1C98E1C0"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c>
          <w:tcPr>
            <w:tcW w:w="1088" w:type="dxa"/>
          </w:tcPr>
          <w:p w14:paraId="30194ECE"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r>
      <w:tr w:rsidR="004D4B77" w:rsidRPr="003E61D0" w14:paraId="7110A692" w14:textId="77777777" w:rsidTr="00E3379C">
        <w:trPr>
          <w:trHeight w:val="77"/>
        </w:trPr>
        <w:tc>
          <w:tcPr>
            <w:tcW w:w="4111" w:type="dxa"/>
          </w:tcPr>
          <w:p w14:paraId="18269E8E"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Wye Valley NHS Trust</w:t>
            </w:r>
          </w:p>
        </w:tc>
        <w:tc>
          <w:tcPr>
            <w:tcW w:w="2552" w:type="dxa"/>
          </w:tcPr>
          <w:p w14:paraId="1C9D5D3E"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Hereford General Hospital</w:t>
            </w:r>
          </w:p>
        </w:tc>
        <w:tc>
          <w:tcPr>
            <w:tcW w:w="1275" w:type="dxa"/>
          </w:tcPr>
          <w:p w14:paraId="5C0EDB14"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40F77A03"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0AF887E0" w14:textId="77777777" w:rsidTr="00E3379C">
        <w:trPr>
          <w:trHeight w:val="77"/>
        </w:trPr>
        <w:tc>
          <w:tcPr>
            <w:tcW w:w="4111" w:type="dxa"/>
          </w:tcPr>
          <w:p w14:paraId="26D314F2"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lastRenderedPageBreak/>
              <w:t>Royal Wolverhampton NHS Trust.</w:t>
            </w:r>
          </w:p>
        </w:tc>
        <w:tc>
          <w:tcPr>
            <w:tcW w:w="2552" w:type="dxa"/>
          </w:tcPr>
          <w:p w14:paraId="0AD73C98"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New Cross Hospital</w:t>
            </w:r>
          </w:p>
        </w:tc>
        <w:tc>
          <w:tcPr>
            <w:tcW w:w="1275" w:type="dxa"/>
          </w:tcPr>
          <w:p w14:paraId="7E3C3AED"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67ADA0A3"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57C287E0" w14:textId="77777777" w:rsidTr="00E3379C">
        <w:trPr>
          <w:trHeight w:val="77"/>
        </w:trPr>
        <w:tc>
          <w:tcPr>
            <w:tcW w:w="4111" w:type="dxa"/>
          </w:tcPr>
          <w:p w14:paraId="7B815D1C"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The Dudley Group NHS Foundation Trust</w:t>
            </w:r>
          </w:p>
        </w:tc>
        <w:tc>
          <w:tcPr>
            <w:tcW w:w="2552" w:type="dxa"/>
          </w:tcPr>
          <w:p w14:paraId="2CDDF8FA" w14:textId="77777777" w:rsidR="004D4B77" w:rsidRPr="003E61D0" w:rsidRDefault="004D4B77" w:rsidP="00E3379C">
            <w:pPr>
              <w:spacing w:afterLines="40" w:after="96"/>
              <w:rPr>
                <w:rFonts w:ascii="Calibri" w:hAnsi="Calibri" w:cs="Calibri"/>
                <w:sz w:val="16"/>
                <w:szCs w:val="16"/>
              </w:rPr>
            </w:pPr>
            <w:proofErr w:type="spellStart"/>
            <w:r w:rsidRPr="003E61D0">
              <w:rPr>
                <w:rFonts w:ascii="Calibri" w:hAnsi="Calibri" w:cs="Calibri"/>
                <w:sz w:val="16"/>
                <w:szCs w:val="16"/>
              </w:rPr>
              <w:t>Russells</w:t>
            </w:r>
            <w:proofErr w:type="spellEnd"/>
            <w:r w:rsidRPr="003E61D0">
              <w:rPr>
                <w:rFonts w:ascii="Calibri" w:hAnsi="Calibri" w:cs="Calibri"/>
                <w:sz w:val="16"/>
                <w:szCs w:val="16"/>
              </w:rPr>
              <w:t xml:space="preserve"> Hall Hospital</w:t>
            </w:r>
          </w:p>
        </w:tc>
        <w:tc>
          <w:tcPr>
            <w:tcW w:w="1275" w:type="dxa"/>
          </w:tcPr>
          <w:p w14:paraId="5AA567C2"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168A6E9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3591CF31" w14:textId="77777777" w:rsidTr="00E3379C">
        <w:trPr>
          <w:trHeight w:val="77"/>
        </w:trPr>
        <w:tc>
          <w:tcPr>
            <w:tcW w:w="4111" w:type="dxa"/>
          </w:tcPr>
          <w:p w14:paraId="5CE38C77"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Sandwell and West Birmingham Hospitals NHS Trust</w:t>
            </w:r>
          </w:p>
        </w:tc>
        <w:tc>
          <w:tcPr>
            <w:tcW w:w="2552" w:type="dxa"/>
          </w:tcPr>
          <w:p w14:paraId="2090A73F"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Sandwell District General Hospital</w:t>
            </w:r>
          </w:p>
        </w:tc>
        <w:tc>
          <w:tcPr>
            <w:tcW w:w="1275" w:type="dxa"/>
          </w:tcPr>
          <w:p w14:paraId="686CD295"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31D78EE6"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2DFCEEBB" w14:textId="77777777" w:rsidTr="00E3379C">
        <w:trPr>
          <w:trHeight w:val="77"/>
        </w:trPr>
        <w:tc>
          <w:tcPr>
            <w:tcW w:w="4111" w:type="dxa"/>
          </w:tcPr>
          <w:p w14:paraId="35C66923"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Walsall Healthcare NHS Trust</w:t>
            </w:r>
          </w:p>
        </w:tc>
        <w:tc>
          <w:tcPr>
            <w:tcW w:w="2552" w:type="dxa"/>
          </w:tcPr>
          <w:p w14:paraId="17BC317E"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Walsall Manor Hospital</w:t>
            </w:r>
          </w:p>
        </w:tc>
        <w:tc>
          <w:tcPr>
            <w:tcW w:w="1275" w:type="dxa"/>
          </w:tcPr>
          <w:p w14:paraId="29C37715"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4ABC1EF8"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754EC547" w14:textId="77777777" w:rsidTr="00E3379C">
        <w:trPr>
          <w:trHeight w:val="77"/>
        </w:trPr>
        <w:tc>
          <w:tcPr>
            <w:tcW w:w="4111" w:type="dxa"/>
          </w:tcPr>
          <w:p w14:paraId="5B5F3F38"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Worcestershire Acute Hospitals NHS Trust</w:t>
            </w:r>
          </w:p>
        </w:tc>
        <w:tc>
          <w:tcPr>
            <w:tcW w:w="2552" w:type="dxa"/>
          </w:tcPr>
          <w:p w14:paraId="70092587"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Worcestershire Royal Hospital</w:t>
            </w:r>
          </w:p>
        </w:tc>
        <w:tc>
          <w:tcPr>
            <w:tcW w:w="1275" w:type="dxa"/>
          </w:tcPr>
          <w:p w14:paraId="29F1923F"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c>
          <w:tcPr>
            <w:tcW w:w="1088" w:type="dxa"/>
          </w:tcPr>
          <w:p w14:paraId="33844B70"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TU</w:t>
            </w:r>
          </w:p>
        </w:tc>
      </w:tr>
      <w:tr w:rsidR="004D4B77" w:rsidRPr="003E61D0" w14:paraId="5A77AB75" w14:textId="77777777" w:rsidTr="00E3379C">
        <w:trPr>
          <w:trHeight w:val="77"/>
        </w:trPr>
        <w:tc>
          <w:tcPr>
            <w:tcW w:w="4111" w:type="dxa"/>
            <w:tcBorders>
              <w:bottom w:val="single" w:sz="4" w:space="0" w:color="auto"/>
            </w:tcBorders>
          </w:tcPr>
          <w:p w14:paraId="69F31A78"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Worcestershire Acute Hospitals NHS Trust</w:t>
            </w:r>
          </w:p>
        </w:tc>
        <w:tc>
          <w:tcPr>
            <w:tcW w:w="2552" w:type="dxa"/>
            <w:tcBorders>
              <w:bottom w:val="single" w:sz="4" w:space="0" w:color="auto"/>
            </w:tcBorders>
          </w:tcPr>
          <w:p w14:paraId="2E4B5A2B" w14:textId="77777777" w:rsidR="004D4B77" w:rsidRPr="003E61D0" w:rsidRDefault="004D4B77" w:rsidP="00E3379C">
            <w:pPr>
              <w:spacing w:afterLines="40" w:after="96"/>
              <w:rPr>
                <w:rFonts w:ascii="Calibri" w:hAnsi="Calibri" w:cs="Calibri"/>
                <w:sz w:val="16"/>
                <w:szCs w:val="16"/>
              </w:rPr>
            </w:pPr>
            <w:r w:rsidRPr="003E61D0">
              <w:rPr>
                <w:rFonts w:ascii="Calibri" w:hAnsi="Calibri" w:cs="Calibri"/>
                <w:sz w:val="16"/>
                <w:szCs w:val="16"/>
              </w:rPr>
              <w:t xml:space="preserve">Alexandria Hospital </w:t>
            </w:r>
          </w:p>
        </w:tc>
        <w:tc>
          <w:tcPr>
            <w:tcW w:w="1275" w:type="dxa"/>
            <w:tcBorders>
              <w:bottom w:val="single" w:sz="4" w:space="0" w:color="auto"/>
            </w:tcBorders>
          </w:tcPr>
          <w:p w14:paraId="1BCEDEAB"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c>
          <w:tcPr>
            <w:tcW w:w="1088" w:type="dxa"/>
            <w:tcBorders>
              <w:bottom w:val="single" w:sz="4" w:space="0" w:color="auto"/>
            </w:tcBorders>
          </w:tcPr>
          <w:p w14:paraId="6A40FEB1" w14:textId="77777777" w:rsidR="004D4B77" w:rsidRPr="003E61D0" w:rsidRDefault="004D4B77" w:rsidP="00E3379C">
            <w:pPr>
              <w:spacing w:afterLines="40" w:after="96"/>
              <w:jc w:val="center"/>
              <w:rPr>
                <w:rFonts w:ascii="Calibri" w:hAnsi="Calibri" w:cs="Calibri"/>
                <w:sz w:val="16"/>
                <w:szCs w:val="16"/>
              </w:rPr>
            </w:pPr>
            <w:r w:rsidRPr="003E61D0">
              <w:rPr>
                <w:rFonts w:ascii="Calibri" w:hAnsi="Calibri" w:cs="Calibri"/>
                <w:sz w:val="16"/>
                <w:szCs w:val="16"/>
              </w:rPr>
              <w:t>LEH</w:t>
            </w:r>
          </w:p>
        </w:tc>
      </w:tr>
    </w:tbl>
    <w:p w14:paraId="3BF99B92" w14:textId="77777777" w:rsidR="004D4B77" w:rsidRPr="003E61D0" w:rsidRDefault="004D4B77" w:rsidP="004D4B77">
      <w:pPr>
        <w:rPr>
          <w:b/>
          <w:bCs/>
        </w:rPr>
      </w:pPr>
    </w:p>
    <w:p w14:paraId="41A6B6C8" w14:textId="6F704D92" w:rsidR="004D4B77" w:rsidRDefault="004D4B77" w:rsidP="004D4B77">
      <w:pPr>
        <w:pStyle w:val="EndNoteBibliography"/>
        <w:spacing w:after="0"/>
        <w:rPr>
          <w:b/>
          <w:bCs/>
        </w:rPr>
      </w:pPr>
      <w:r>
        <w:rPr>
          <w:b/>
          <w:bCs/>
        </w:rPr>
        <w:t>REFERENCES</w:t>
      </w:r>
    </w:p>
    <w:p w14:paraId="7D3924C5" w14:textId="77777777" w:rsidR="004D4B77" w:rsidRPr="004D4B77" w:rsidRDefault="004D4B77" w:rsidP="004D4B77">
      <w:pPr>
        <w:pStyle w:val="EndNoteBibliography"/>
        <w:spacing w:after="0"/>
        <w:rPr>
          <w:b/>
          <w:bCs/>
        </w:rPr>
      </w:pPr>
    </w:p>
    <w:p w14:paraId="1E2072BD" w14:textId="22BCD792" w:rsidR="004D4B77" w:rsidRPr="004D4B77" w:rsidRDefault="004D4B77" w:rsidP="004D4B77">
      <w:pPr>
        <w:pStyle w:val="EndNoteBibliography"/>
        <w:spacing w:after="0"/>
      </w:pPr>
      <w:r w:rsidRPr="004D4B77">
        <w:fldChar w:fldCharType="begin"/>
      </w:r>
      <w:r w:rsidRPr="004D4B77">
        <w:instrText xml:space="preserve"> ADDIN EN.REFLIST </w:instrText>
      </w:r>
      <w:r w:rsidRPr="004D4B77">
        <w:fldChar w:fldCharType="separate"/>
      </w:r>
      <w:r w:rsidRPr="004D4B77">
        <w:t>1.</w:t>
      </w:r>
      <w:r w:rsidRPr="004D4B77">
        <w:tab/>
        <w:t xml:space="preserve">Death NCEiPOa. </w:t>
      </w:r>
      <w:r w:rsidRPr="004D4B77">
        <w:rPr>
          <w:i/>
        </w:rPr>
        <w:t>NECPOD Report. Trauma Who Cares?</w:t>
      </w:r>
      <w:r w:rsidRPr="004D4B77">
        <w:t>; 2007.</w:t>
      </w:r>
    </w:p>
    <w:p w14:paraId="3B8EC8B8" w14:textId="77777777" w:rsidR="004D4B77" w:rsidRPr="004D4B77" w:rsidRDefault="004D4B77" w:rsidP="004D4B77">
      <w:pPr>
        <w:pStyle w:val="EndNoteBibliography"/>
        <w:spacing w:after="0"/>
      </w:pPr>
      <w:r w:rsidRPr="004D4B77">
        <w:t>2.</w:t>
      </w:r>
      <w:r w:rsidRPr="004D4B77">
        <w:tab/>
        <w:t xml:space="preserve">Office NA. </w:t>
      </w:r>
      <w:r w:rsidRPr="004D4B77">
        <w:rPr>
          <w:i/>
        </w:rPr>
        <w:t>Major Trauma</w:t>
      </w:r>
      <w:r w:rsidRPr="004D4B77">
        <w:t>. London, UK; 2010.</w:t>
      </w:r>
    </w:p>
    <w:p w14:paraId="5CE5E4DF" w14:textId="502A01C8" w:rsidR="004D4B77" w:rsidRPr="004D4B77" w:rsidRDefault="004D4B77" w:rsidP="004D4B77">
      <w:pPr>
        <w:pStyle w:val="EndNoteBibliography"/>
        <w:spacing w:after="0"/>
      </w:pPr>
      <w:r w:rsidRPr="004D4B77">
        <w:t>3.</w:t>
      </w:r>
      <w:r w:rsidRPr="004D4B77">
        <w:tab/>
        <w:t xml:space="preserve">McCullough AL, Haycock JC, Forward DP, Moran CG. II. Major trauma networks in England. </w:t>
      </w:r>
      <w:r w:rsidRPr="004D4B77">
        <w:rPr>
          <w:i/>
        </w:rPr>
        <w:t>BJA: British Journal of Anaesthesia</w:t>
      </w:r>
      <w:r w:rsidRPr="004D4B77">
        <w:t xml:space="preserve"> 2014;</w:t>
      </w:r>
      <w:r w:rsidRPr="004D4B77">
        <w:rPr>
          <w:b/>
        </w:rPr>
        <w:t>113</w:t>
      </w:r>
      <w:r w:rsidRPr="004D4B77">
        <w:t xml:space="preserve">:202-6. </w:t>
      </w:r>
      <w:hyperlink r:id="rId7" w:history="1">
        <w:r w:rsidRPr="004D4B77">
          <w:rPr>
            <w:rStyle w:val="Hyperlink"/>
          </w:rPr>
          <w:t>https://doi.org/10.1093/bja/aeu204</w:t>
        </w:r>
      </w:hyperlink>
    </w:p>
    <w:p w14:paraId="21F331D2" w14:textId="77777777" w:rsidR="004D4B77" w:rsidRPr="004D4B77" w:rsidRDefault="004D4B77" w:rsidP="004D4B77">
      <w:pPr>
        <w:pStyle w:val="EndNoteBibliography"/>
        <w:spacing w:after="0"/>
      </w:pPr>
      <w:r w:rsidRPr="004D4B77">
        <w:t>4.</w:t>
      </w:r>
      <w:r w:rsidRPr="004D4B77">
        <w:tab/>
        <w:t>National Clinical Guideline C. Major Trauma: Service Delivery. 2016.</w:t>
      </w:r>
    </w:p>
    <w:p w14:paraId="4FC3CEAD" w14:textId="04702C60" w:rsidR="004D4B77" w:rsidRPr="004D4B77" w:rsidRDefault="004D4B77" w:rsidP="004D4B77">
      <w:pPr>
        <w:pStyle w:val="EndNoteBibliography"/>
        <w:spacing w:after="0"/>
      </w:pPr>
      <w:r w:rsidRPr="004D4B77">
        <w:t>5.</w:t>
      </w:r>
      <w:r w:rsidRPr="004D4B77">
        <w:tab/>
        <w:t xml:space="preserve">Hoyt DB, Coimbra R. Trauma systems. </w:t>
      </w:r>
      <w:r w:rsidRPr="004D4B77">
        <w:rPr>
          <w:i/>
        </w:rPr>
        <w:t>Surg Clin North Am</w:t>
      </w:r>
      <w:r w:rsidRPr="004D4B77">
        <w:t xml:space="preserve"> 2007;</w:t>
      </w:r>
      <w:r w:rsidRPr="004D4B77">
        <w:rPr>
          <w:b/>
        </w:rPr>
        <w:t>87</w:t>
      </w:r>
      <w:r w:rsidRPr="004D4B77">
        <w:t xml:space="preserve">:21-35, v-vi. </w:t>
      </w:r>
      <w:hyperlink r:id="rId8" w:history="1">
        <w:r w:rsidRPr="004D4B77">
          <w:rPr>
            <w:rStyle w:val="Hyperlink"/>
          </w:rPr>
          <w:t>https://doi.org/10.1016/j.suc.2006.09.012</w:t>
        </w:r>
      </w:hyperlink>
    </w:p>
    <w:p w14:paraId="4A5AD6C3" w14:textId="77777777" w:rsidR="004D4B77" w:rsidRPr="004D4B77" w:rsidRDefault="004D4B77" w:rsidP="004D4B77">
      <w:pPr>
        <w:pStyle w:val="EndNoteBibliography"/>
      </w:pPr>
      <w:r w:rsidRPr="004D4B77">
        <w:t>6.</w:t>
      </w:r>
      <w:r w:rsidRPr="004D4B77">
        <w:tab/>
        <w:t xml:space="preserve">Yates D. Regional trauma systems. </w:t>
      </w:r>
      <w:r w:rsidRPr="004D4B77">
        <w:rPr>
          <w:i/>
        </w:rPr>
        <w:t>BMJ</w:t>
      </w:r>
      <w:r w:rsidRPr="004D4B77">
        <w:t xml:space="preserve"> 1997;</w:t>
      </w:r>
      <w:r w:rsidRPr="004D4B77">
        <w:rPr>
          <w:b/>
        </w:rPr>
        <w:t>315</w:t>
      </w:r>
      <w:r w:rsidRPr="004D4B77">
        <w:t>:1321-2.</w:t>
      </w:r>
    </w:p>
    <w:p w14:paraId="60DDE8CD" w14:textId="1F2E32AD" w:rsidR="0083112B" w:rsidRDefault="004D4B77">
      <w:r w:rsidRPr="004D4B77">
        <w:fldChar w:fldCharType="end"/>
      </w:r>
    </w:p>
    <w:sectPr w:rsidR="008311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53200D"/>
    <w:multiLevelType w:val="hybridMultilevel"/>
    <w:tmpl w:val="9A5642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58454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IHR Journals Library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vpa2ff552pxvedr97v0e940xdvezxvsas0&quot;&gt;My EndNote Library CURRENT-Converted&lt;record-ids&gt;&lt;item&gt;2393&lt;/item&gt;&lt;item&gt;2777&lt;/item&gt;&lt;item&gt;3073&lt;/item&gt;&lt;item&gt;3167&lt;/item&gt;&lt;item&gt;3223&lt;/item&gt;&lt;item&gt;3782&lt;/item&gt;&lt;/record-ids&gt;&lt;/item&gt;&lt;/Libraries&gt;"/>
  </w:docVars>
  <w:rsids>
    <w:rsidRoot w:val="004D4B77"/>
    <w:rsid w:val="001E6B41"/>
    <w:rsid w:val="004D4B77"/>
    <w:rsid w:val="005F79C4"/>
    <w:rsid w:val="0083112B"/>
    <w:rsid w:val="00B31EE1"/>
    <w:rsid w:val="00CC1BD7"/>
    <w:rsid w:val="00F54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BCEEE"/>
  <w15:chartTrackingRefBased/>
  <w15:docId w15:val="{2E077D15-3FF9-4107-BFA1-8D550934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B77"/>
  </w:style>
  <w:style w:type="paragraph" w:styleId="Heading1">
    <w:name w:val="heading 1"/>
    <w:basedOn w:val="Normal"/>
    <w:next w:val="Normal"/>
    <w:link w:val="Heading1Char"/>
    <w:uiPriority w:val="9"/>
    <w:qFormat/>
    <w:rsid w:val="004D4B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B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B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B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D4B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D4B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4B7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4B7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4B7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B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B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B7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B7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D4B7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D4B7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D4B7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D4B7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D4B7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D4B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B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B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B7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D4B77"/>
    <w:pPr>
      <w:spacing w:before="160"/>
      <w:jc w:val="center"/>
    </w:pPr>
    <w:rPr>
      <w:i/>
      <w:iCs/>
      <w:color w:val="404040" w:themeColor="text1" w:themeTint="BF"/>
    </w:rPr>
  </w:style>
  <w:style w:type="character" w:customStyle="1" w:styleId="QuoteChar">
    <w:name w:val="Quote Char"/>
    <w:basedOn w:val="DefaultParagraphFont"/>
    <w:link w:val="Quote"/>
    <w:uiPriority w:val="29"/>
    <w:rsid w:val="004D4B77"/>
    <w:rPr>
      <w:i/>
      <w:iCs/>
      <w:color w:val="404040" w:themeColor="text1" w:themeTint="BF"/>
    </w:rPr>
  </w:style>
  <w:style w:type="paragraph" w:styleId="ListParagraph">
    <w:name w:val="List Paragraph"/>
    <w:basedOn w:val="Normal"/>
    <w:uiPriority w:val="34"/>
    <w:qFormat/>
    <w:rsid w:val="004D4B77"/>
    <w:pPr>
      <w:ind w:left="720"/>
      <w:contextualSpacing/>
    </w:pPr>
  </w:style>
  <w:style w:type="character" w:styleId="IntenseEmphasis">
    <w:name w:val="Intense Emphasis"/>
    <w:basedOn w:val="DefaultParagraphFont"/>
    <w:uiPriority w:val="21"/>
    <w:qFormat/>
    <w:rsid w:val="004D4B77"/>
    <w:rPr>
      <w:i/>
      <w:iCs/>
      <w:color w:val="0F4761" w:themeColor="accent1" w:themeShade="BF"/>
    </w:rPr>
  </w:style>
  <w:style w:type="paragraph" w:styleId="IntenseQuote">
    <w:name w:val="Intense Quote"/>
    <w:basedOn w:val="Normal"/>
    <w:next w:val="Normal"/>
    <w:link w:val="IntenseQuoteChar"/>
    <w:uiPriority w:val="30"/>
    <w:qFormat/>
    <w:rsid w:val="004D4B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B77"/>
    <w:rPr>
      <w:i/>
      <w:iCs/>
      <w:color w:val="0F4761" w:themeColor="accent1" w:themeShade="BF"/>
    </w:rPr>
  </w:style>
  <w:style w:type="character" w:styleId="IntenseReference">
    <w:name w:val="Intense Reference"/>
    <w:basedOn w:val="DefaultParagraphFont"/>
    <w:uiPriority w:val="32"/>
    <w:qFormat/>
    <w:rsid w:val="004D4B77"/>
    <w:rPr>
      <w:b/>
      <w:bCs/>
      <w:smallCaps/>
      <w:color w:val="0F4761" w:themeColor="accent1" w:themeShade="BF"/>
      <w:spacing w:val="5"/>
    </w:rPr>
  </w:style>
  <w:style w:type="table" w:styleId="TableGrid">
    <w:name w:val="Table Grid"/>
    <w:basedOn w:val="TableNormal"/>
    <w:uiPriority w:val="39"/>
    <w:rsid w:val="004D4B77"/>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D4B77"/>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4D4B77"/>
    <w:rPr>
      <w:noProof/>
      <w:lang w:val="en-US"/>
    </w:rPr>
  </w:style>
  <w:style w:type="paragraph" w:customStyle="1" w:styleId="EndNoteBibliography">
    <w:name w:val="EndNote Bibliography"/>
    <w:basedOn w:val="Normal"/>
    <w:link w:val="EndNoteBibliographyChar"/>
    <w:rsid w:val="004D4B77"/>
    <w:pPr>
      <w:spacing w:line="240" w:lineRule="auto"/>
    </w:pPr>
    <w:rPr>
      <w:noProof/>
      <w:lang w:val="en-US"/>
    </w:rPr>
  </w:style>
  <w:style w:type="character" w:customStyle="1" w:styleId="EndNoteBibliographyChar">
    <w:name w:val="EndNote Bibliography Char"/>
    <w:basedOn w:val="DefaultParagraphFont"/>
    <w:link w:val="EndNoteBibliography"/>
    <w:rsid w:val="004D4B77"/>
    <w:rPr>
      <w:noProof/>
      <w:lang w:val="en-US"/>
    </w:rPr>
  </w:style>
  <w:style w:type="character" w:styleId="Hyperlink">
    <w:name w:val="Hyperlink"/>
    <w:basedOn w:val="DefaultParagraphFont"/>
    <w:uiPriority w:val="99"/>
    <w:unhideWhenUsed/>
    <w:rsid w:val="004D4B77"/>
    <w:rPr>
      <w:color w:val="467886" w:themeColor="hyperlink"/>
      <w:u w:val="single"/>
    </w:rPr>
  </w:style>
  <w:style w:type="character" w:styleId="UnresolvedMention">
    <w:name w:val="Unresolved Mention"/>
    <w:basedOn w:val="DefaultParagraphFont"/>
    <w:uiPriority w:val="99"/>
    <w:semiHidden/>
    <w:unhideWhenUsed/>
    <w:rsid w:val="004D4B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suc.2006.09.012" TargetMode="External"/><Relationship Id="rId3" Type="http://schemas.openxmlformats.org/officeDocument/2006/relationships/styles" Target="styles.xml"/><Relationship Id="rId7" Type="http://schemas.openxmlformats.org/officeDocument/2006/relationships/hyperlink" Target="https://doi.org/10.1093/bja/aeu20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27C9B-B6CF-49CC-8266-E0641F17E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1674</Words>
  <Characters>9544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Fuller</dc:creator>
  <cp:keywords/>
  <dc:description/>
  <cp:lastModifiedBy>Gordon Fuller</cp:lastModifiedBy>
  <cp:revision>1</cp:revision>
  <dcterms:created xsi:type="dcterms:W3CDTF">2024-04-15T10:20:00Z</dcterms:created>
  <dcterms:modified xsi:type="dcterms:W3CDTF">2024-04-15T10:33:00Z</dcterms:modified>
</cp:coreProperties>
</file>