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480" w:before="0" w:after="0"/>
        <w:jc w:val="star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Supplementary Table 1. Descriptive data about patients that underwent surgery within 8 hours at University Hospital by region.</w:t>
      </w:r>
    </w:p>
    <w:tbl>
      <w:tblPr>
        <w:tblW w:w="11346" w:type="dxa"/>
        <w:jc w:val="start"/>
        <w:tblInd w:w="-89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VBand="1" w:noHBand="0" w:lastColumn="0" w:firstColumn="1" w:lastRow="0" w:firstRow="1"/>
      </w:tblPr>
      <w:tblGrid>
        <w:gridCol w:w="2279"/>
        <w:gridCol w:w="2008"/>
        <w:gridCol w:w="1492"/>
        <w:gridCol w:w="1173"/>
        <w:gridCol w:w="1223"/>
        <w:gridCol w:w="1226"/>
        <w:gridCol w:w="990"/>
        <w:gridCol w:w="953"/>
      </w:tblGrid>
      <w:tr>
        <w:trPr>
          <w:trHeight w:val="1133" w:hRule="atLeast"/>
        </w:trPr>
        <w:tc>
          <w:tcPr>
            <w:tcW w:w="22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Variables</w:t>
            </w:r>
          </w:p>
        </w:tc>
        <w:tc>
          <w:tcPr>
            <w:tcW w:w="2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Patients treated with craniotomy &lt; 8 h at the Neurosurgery department</w:t>
            </w:r>
          </w:p>
        </w:tc>
        <w:tc>
          <w:tcPr>
            <w:tcW w:w="1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Stockholm – Gotland Region</w:t>
            </w:r>
          </w:p>
        </w:tc>
        <w:tc>
          <w:tcPr>
            <w:tcW w:w="11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Uppsala/Örebro Region</w:t>
            </w:r>
          </w:p>
        </w:tc>
        <w:tc>
          <w:tcPr>
            <w:tcW w:w="12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Linköping Region</w:t>
            </w:r>
          </w:p>
        </w:tc>
        <w:tc>
          <w:tcPr>
            <w:tcW w:w="12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South Region</w:t>
            </w:r>
          </w:p>
        </w:tc>
        <w:tc>
          <w:tcPr>
            <w:tcW w:w="9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Western Region</w:t>
            </w:r>
          </w:p>
        </w:tc>
        <w:tc>
          <w:tcPr>
            <w:tcW w:w="9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North Region</w:t>
            </w:r>
          </w:p>
        </w:tc>
      </w:tr>
      <w:tr>
        <w:trPr>
          <w:trHeight w:val="642" w:hRule="atLeast"/>
        </w:trPr>
        <w:tc>
          <w:tcPr>
            <w:tcW w:w="22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Patients, n (%)</w:t>
            </w:r>
          </w:p>
        </w:tc>
        <w:tc>
          <w:tcPr>
            <w:tcW w:w="2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544 (100%)</w:t>
            </w:r>
          </w:p>
        </w:tc>
        <w:tc>
          <w:tcPr>
            <w:tcW w:w="1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181 (33%)</w:t>
            </w:r>
          </w:p>
        </w:tc>
        <w:tc>
          <w:tcPr>
            <w:tcW w:w="11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147 (27%)</w:t>
            </w:r>
          </w:p>
        </w:tc>
        <w:tc>
          <w:tcPr>
            <w:tcW w:w="12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57 (10%)</w:t>
            </w:r>
          </w:p>
        </w:tc>
        <w:tc>
          <w:tcPr>
            <w:tcW w:w="12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112 (21%)</w:t>
            </w:r>
          </w:p>
        </w:tc>
        <w:tc>
          <w:tcPr>
            <w:tcW w:w="9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27 (5%)</w:t>
            </w:r>
          </w:p>
        </w:tc>
        <w:tc>
          <w:tcPr>
            <w:tcW w:w="9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20 (4%)</w:t>
            </w:r>
          </w:p>
        </w:tc>
      </w:tr>
      <w:tr>
        <w:trPr>
          <w:trHeight w:val="561" w:hRule="atLeast"/>
        </w:trPr>
        <w:tc>
          <w:tcPr>
            <w:tcW w:w="22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Age (years), median (IQR)</w:t>
            </w:r>
          </w:p>
        </w:tc>
        <w:tc>
          <w:tcPr>
            <w:tcW w:w="2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51 (29-67)</w:t>
            </w:r>
          </w:p>
        </w:tc>
        <w:tc>
          <w:tcPr>
            <w:tcW w:w="1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48 (29 -63)</w:t>
            </w:r>
          </w:p>
        </w:tc>
        <w:tc>
          <w:tcPr>
            <w:tcW w:w="11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51 (29-68)</w:t>
            </w:r>
          </w:p>
        </w:tc>
        <w:tc>
          <w:tcPr>
            <w:tcW w:w="12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49 (27-65)</w:t>
            </w:r>
          </w:p>
        </w:tc>
        <w:tc>
          <w:tcPr>
            <w:tcW w:w="12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59 (39-72)</w:t>
            </w:r>
          </w:p>
        </w:tc>
        <w:tc>
          <w:tcPr>
            <w:tcW w:w="9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29 (19-52)</w:t>
            </w:r>
          </w:p>
        </w:tc>
        <w:tc>
          <w:tcPr>
            <w:tcW w:w="9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53 (33-70)</w:t>
            </w:r>
          </w:p>
        </w:tc>
      </w:tr>
      <w:tr>
        <w:trPr>
          <w:trHeight w:val="685" w:hRule="atLeast"/>
        </w:trPr>
        <w:tc>
          <w:tcPr>
            <w:tcW w:w="22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Sex (male/female), n (%)</w:t>
            </w:r>
          </w:p>
        </w:tc>
        <w:tc>
          <w:tcPr>
            <w:tcW w:w="2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388/156 (71%/29%)</w:t>
            </w:r>
          </w:p>
        </w:tc>
        <w:tc>
          <w:tcPr>
            <w:tcW w:w="1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137/44 (76%/24%)</w:t>
            </w:r>
          </w:p>
        </w:tc>
        <w:tc>
          <w:tcPr>
            <w:tcW w:w="11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107/40 (73%/27%)</w:t>
            </w:r>
          </w:p>
        </w:tc>
        <w:tc>
          <w:tcPr>
            <w:tcW w:w="12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38/19 (67%/33%)</w:t>
            </w:r>
          </w:p>
        </w:tc>
        <w:tc>
          <w:tcPr>
            <w:tcW w:w="12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72/40 (64%/36%)</w:t>
            </w:r>
          </w:p>
        </w:tc>
        <w:tc>
          <w:tcPr>
            <w:tcW w:w="9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21/6 (78%/22%)</w:t>
            </w:r>
          </w:p>
        </w:tc>
        <w:tc>
          <w:tcPr>
            <w:tcW w:w="9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13/7 (65%/35%)</w:t>
            </w:r>
          </w:p>
        </w:tc>
      </w:tr>
      <w:tr>
        <w:trPr>
          <w:trHeight w:val="624" w:hRule="atLeast"/>
        </w:trPr>
        <w:tc>
          <w:tcPr>
            <w:tcW w:w="22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GCS at admission, median (IQR)</w:t>
            </w:r>
          </w:p>
        </w:tc>
        <w:tc>
          <w:tcPr>
            <w:tcW w:w="2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12 (8-14)</w:t>
            </w:r>
          </w:p>
        </w:tc>
        <w:tc>
          <w:tcPr>
            <w:tcW w:w="1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12 (8-14)</w:t>
            </w:r>
          </w:p>
        </w:tc>
        <w:tc>
          <w:tcPr>
            <w:tcW w:w="11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10 (7-15)</w:t>
            </w:r>
          </w:p>
        </w:tc>
        <w:tc>
          <w:tcPr>
            <w:tcW w:w="12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14 (10-15)</w:t>
            </w:r>
          </w:p>
        </w:tc>
        <w:tc>
          <w:tcPr>
            <w:tcW w:w="12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13 (10-14)</w:t>
            </w:r>
          </w:p>
        </w:tc>
        <w:tc>
          <w:tcPr>
            <w:tcW w:w="9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13 (3-14)</w:t>
            </w:r>
          </w:p>
        </w:tc>
        <w:tc>
          <w:tcPr>
            <w:tcW w:w="9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10 (6-14)</w:t>
            </w:r>
          </w:p>
        </w:tc>
      </w:tr>
      <w:tr>
        <w:trPr>
          <w:trHeight w:val="718" w:hRule="atLeast"/>
        </w:trPr>
        <w:tc>
          <w:tcPr>
            <w:tcW w:w="22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ISS, median (IQR)</w:t>
            </w:r>
          </w:p>
        </w:tc>
        <w:tc>
          <w:tcPr>
            <w:tcW w:w="2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26 (25-29)</w:t>
            </w:r>
          </w:p>
        </w:tc>
        <w:tc>
          <w:tcPr>
            <w:tcW w:w="1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26 (25-30)</w:t>
            </w:r>
          </w:p>
        </w:tc>
        <w:tc>
          <w:tcPr>
            <w:tcW w:w="11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25 (25-29)</w:t>
            </w:r>
          </w:p>
        </w:tc>
        <w:tc>
          <w:tcPr>
            <w:tcW w:w="12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25 (21-26)</w:t>
            </w:r>
          </w:p>
        </w:tc>
        <w:tc>
          <w:tcPr>
            <w:tcW w:w="12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26 (25-27)</w:t>
            </w:r>
          </w:p>
        </w:tc>
        <w:tc>
          <w:tcPr>
            <w:tcW w:w="9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26 (25-33)</w:t>
            </w:r>
          </w:p>
        </w:tc>
        <w:tc>
          <w:tcPr>
            <w:tcW w:w="9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26 (22-29)</w:t>
            </w:r>
          </w:p>
        </w:tc>
      </w:tr>
      <w:tr>
        <w:trPr>
          <w:trHeight w:val="741" w:hRule="atLeast"/>
        </w:trPr>
        <w:tc>
          <w:tcPr>
            <w:tcW w:w="22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Epidural hematoma, n (%)*</w:t>
            </w:r>
          </w:p>
        </w:tc>
        <w:tc>
          <w:tcPr>
            <w:tcW w:w="2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178 (33%)</w:t>
            </w:r>
          </w:p>
        </w:tc>
        <w:tc>
          <w:tcPr>
            <w:tcW w:w="1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65 (37%)</w:t>
            </w:r>
          </w:p>
        </w:tc>
        <w:tc>
          <w:tcPr>
            <w:tcW w:w="11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43 (24%)</w:t>
            </w:r>
          </w:p>
        </w:tc>
        <w:tc>
          <w:tcPr>
            <w:tcW w:w="12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16 (9%)</w:t>
            </w:r>
          </w:p>
        </w:tc>
        <w:tc>
          <w:tcPr>
            <w:tcW w:w="12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33 (19%)</w:t>
            </w:r>
          </w:p>
        </w:tc>
        <w:tc>
          <w:tcPr>
            <w:tcW w:w="9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13 (7%)</w:t>
            </w:r>
          </w:p>
        </w:tc>
        <w:tc>
          <w:tcPr>
            <w:tcW w:w="9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8 (4%)</w:t>
            </w:r>
          </w:p>
        </w:tc>
      </w:tr>
      <w:tr>
        <w:trPr>
          <w:trHeight w:val="741" w:hRule="atLeast"/>
        </w:trPr>
        <w:tc>
          <w:tcPr>
            <w:tcW w:w="22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Acute subdural hematoma, n (%)</w:t>
            </w:r>
          </w:p>
        </w:tc>
        <w:tc>
          <w:tcPr>
            <w:tcW w:w="2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420 (77%)</w:t>
            </w:r>
          </w:p>
        </w:tc>
        <w:tc>
          <w:tcPr>
            <w:tcW w:w="1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144 (34%)</w:t>
            </w:r>
          </w:p>
        </w:tc>
        <w:tc>
          <w:tcPr>
            <w:tcW w:w="11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112 (27%)</w:t>
            </w:r>
          </w:p>
        </w:tc>
        <w:tc>
          <w:tcPr>
            <w:tcW w:w="12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43 (10%)</w:t>
            </w:r>
          </w:p>
        </w:tc>
        <w:tc>
          <w:tcPr>
            <w:tcW w:w="12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89 (22%)</w:t>
            </w:r>
          </w:p>
        </w:tc>
        <w:tc>
          <w:tcPr>
            <w:tcW w:w="9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18 (4%)</w:t>
            </w:r>
          </w:p>
        </w:tc>
        <w:tc>
          <w:tcPr>
            <w:tcW w:w="9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14 (3%)</w:t>
            </w:r>
          </w:p>
        </w:tc>
      </w:tr>
      <w:tr>
        <w:trPr>
          <w:trHeight w:val="651" w:hRule="atLeast"/>
        </w:trPr>
        <w:tc>
          <w:tcPr>
            <w:tcW w:w="22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Traumatic subarachnoid hemorrhage, n (%)</w:t>
            </w:r>
          </w:p>
        </w:tc>
        <w:tc>
          <w:tcPr>
            <w:tcW w:w="2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241 (44%)</w:t>
            </w:r>
          </w:p>
        </w:tc>
        <w:tc>
          <w:tcPr>
            <w:tcW w:w="1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88 (37%)</w:t>
            </w:r>
          </w:p>
        </w:tc>
        <w:tc>
          <w:tcPr>
            <w:tcW w:w="11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56 (23%)</w:t>
            </w:r>
          </w:p>
        </w:tc>
        <w:tc>
          <w:tcPr>
            <w:tcW w:w="12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18 (7%)</w:t>
            </w:r>
          </w:p>
        </w:tc>
        <w:tc>
          <w:tcPr>
            <w:tcW w:w="12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57 (24%)</w:t>
            </w:r>
          </w:p>
        </w:tc>
        <w:tc>
          <w:tcPr>
            <w:tcW w:w="9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9 (4%)</w:t>
            </w:r>
          </w:p>
        </w:tc>
        <w:tc>
          <w:tcPr>
            <w:tcW w:w="9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13 (5%)</w:t>
            </w:r>
          </w:p>
        </w:tc>
      </w:tr>
      <w:tr>
        <w:trPr>
          <w:trHeight w:val="561" w:hRule="atLeast"/>
        </w:trPr>
        <w:tc>
          <w:tcPr>
            <w:tcW w:w="22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Contusion, n (%)</w:t>
            </w:r>
          </w:p>
        </w:tc>
        <w:tc>
          <w:tcPr>
            <w:tcW w:w="2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288 (53%)</w:t>
            </w:r>
          </w:p>
        </w:tc>
        <w:tc>
          <w:tcPr>
            <w:tcW w:w="1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106 (36%)</w:t>
            </w:r>
          </w:p>
        </w:tc>
        <w:tc>
          <w:tcPr>
            <w:tcW w:w="11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68 (24%)</w:t>
            </w:r>
          </w:p>
        </w:tc>
        <w:tc>
          <w:tcPr>
            <w:tcW w:w="12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24 (8%)</w:t>
            </w:r>
          </w:p>
        </w:tc>
        <w:tc>
          <w:tcPr>
            <w:tcW w:w="12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64 (22%)</w:t>
            </w:r>
          </w:p>
        </w:tc>
        <w:tc>
          <w:tcPr>
            <w:tcW w:w="9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13 (5%)</w:t>
            </w:r>
          </w:p>
        </w:tc>
        <w:tc>
          <w:tcPr>
            <w:tcW w:w="9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13 (5%)</w:t>
            </w:r>
          </w:p>
        </w:tc>
      </w:tr>
      <w:tr>
        <w:trPr>
          <w:trHeight w:val="718" w:hRule="atLeast"/>
        </w:trPr>
        <w:tc>
          <w:tcPr>
            <w:tcW w:w="22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Time to surgery post-arrival (hours), median (IQR)</w:t>
            </w:r>
          </w:p>
        </w:tc>
        <w:tc>
          <w:tcPr>
            <w:tcW w:w="2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1.67 (0.93-2.83)</w:t>
            </w:r>
          </w:p>
        </w:tc>
        <w:tc>
          <w:tcPr>
            <w:tcW w:w="1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1.67 (1.67-2.55)</w:t>
            </w:r>
          </w:p>
        </w:tc>
        <w:tc>
          <w:tcPr>
            <w:tcW w:w="11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1.92     (1.03-3.28)</w:t>
            </w:r>
          </w:p>
        </w:tc>
        <w:tc>
          <w:tcPr>
            <w:tcW w:w="12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1.58 (0.82-3.32)</w:t>
            </w:r>
          </w:p>
        </w:tc>
        <w:tc>
          <w:tcPr>
            <w:tcW w:w="12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1.20 (0.63-2.56)</w:t>
            </w:r>
          </w:p>
        </w:tc>
        <w:tc>
          <w:tcPr>
            <w:tcW w:w="9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1.50 (1.13-2.27)</w:t>
            </w:r>
          </w:p>
        </w:tc>
        <w:tc>
          <w:tcPr>
            <w:tcW w:w="9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2.13 (1.66-2.90)</w:t>
            </w:r>
          </w:p>
        </w:tc>
      </w:tr>
      <w:tr>
        <w:trPr>
          <w:trHeight w:val="718" w:hRule="atLeast"/>
        </w:trPr>
        <w:tc>
          <w:tcPr>
            <w:tcW w:w="22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GOS, median (IQR)</w:t>
            </w:r>
          </w:p>
        </w:tc>
        <w:tc>
          <w:tcPr>
            <w:tcW w:w="2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3 (3-3)</w:t>
            </w:r>
          </w:p>
        </w:tc>
        <w:tc>
          <w:tcPr>
            <w:tcW w:w="1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3 (3-3)</w:t>
            </w:r>
          </w:p>
        </w:tc>
        <w:tc>
          <w:tcPr>
            <w:tcW w:w="11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3 (3-3)</w:t>
            </w:r>
          </w:p>
        </w:tc>
        <w:tc>
          <w:tcPr>
            <w:tcW w:w="12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3 (3-3)</w:t>
            </w:r>
          </w:p>
        </w:tc>
        <w:tc>
          <w:tcPr>
            <w:tcW w:w="12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3 (3-3)</w:t>
            </w:r>
          </w:p>
        </w:tc>
        <w:tc>
          <w:tcPr>
            <w:tcW w:w="9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3 (3-4)</w:t>
            </w:r>
          </w:p>
        </w:tc>
        <w:tc>
          <w:tcPr>
            <w:tcW w:w="9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3 (3-3)</w:t>
            </w:r>
          </w:p>
        </w:tc>
      </w:tr>
      <w:tr>
        <w:trPr>
          <w:trHeight w:val="752" w:hRule="atLeast"/>
        </w:trPr>
        <w:tc>
          <w:tcPr>
            <w:tcW w:w="22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Favourable/Unfavourable**, n (%)</w:t>
            </w:r>
          </w:p>
        </w:tc>
        <w:tc>
          <w:tcPr>
            <w:tcW w:w="2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72/472 (13%/87%)</w:t>
            </w:r>
          </w:p>
        </w:tc>
        <w:tc>
          <w:tcPr>
            <w:tcW w:w="1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27/154 (15%/85%)</w:t>
            </w:r>
          </w:p>
        </w:tc>
        <w:tc>
          <w:tcPr>
            <w:tcW w:w="11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20/127 (14%/86%)</w:t>
            </w:r>
          </w:p>
        </w:tc>
        <w:tc>
          <w:tcPr>
            <w:tcW w:w="12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5/52 (9%/91%)</w:t>
            </w:r>
          </w:p>
        </w:tc>
        <w:tc>
          <w:tcPr>
            <w:tcW w:w="12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9/103 (8%/92%)</w:t>
            </w:r>
          </w:p>
        </w:tc>
        <w:tc>
          <w:tcPr>
            <w:tcW w:w="9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9/18</w:t>
            </w:r>
          </w:p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(33%/67%)</w:t>
            </w:r>
          </w:p>
        </w:tc>
        <w:tc>
          <w:tcPr>
            <w:tcW w:w="9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2/18 (10%/90%)</w:t>
            </w:r>
          </w:p>
        </w:tc>
      </w:tr>
      <w:tr>
        <w:trPr>
          <w:trHeight w:val="718" w:hRule="atLeast"/>
        </w:trPr>
        <w:tc>
          <w:tcPr>
            <w:tcW w:w="22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Mortality, n (%)</w:t>
            </w:r>
          </w:p>
        </w:tc>
        <w:tc>
          <w:tcPr>
            <w:tcW w:w="2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71 (13%)</w:t>
            </w:r>
          </w:p>
        </w:tc>
        <w:tc>
          <w:tcPr>
            <w:tcW w:w="14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25 (35%)</w:t>
            </w:r>
          </w:p>
        </w:tc>
        <w:tc>
          <w:tcPr>
            <w:tcW w:w="11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10 (14%)</w:t>
            </w:r>
          </w:p>
        </w:tc>
        <w:tc>
          <w:tcPr>
            <w:tcW w:w="12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7 (10%)</w:t>
            </w:r>
          </w:p>
        </w:tc>
        <w:tc>
          <w:tcPr>
            <w:tcW w:w="12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22 (31%)</w:t>
            </w:r>
          </w:p>
        </w:tc>
        <w:tc>
          <w:tcPr>
            <w:tcW w:w="9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7 (10%)</w:t>
            </w:r>
          </w:p>
        </w:tc>
        <w:tc>
          <w:tcPr>
            <w:tcW w:w="9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0 (0%)</w:t>
            </w:r>
          </w:p>
        </w:tc>
      </w:tr>
    </w:tbl>
    <w:p>
      <w:pPr>
        <w:pStyle w:val="Normal"/>
        <w:bidi w:val="0"/>
        <w:spacing w:lineRule="auto" w:line="480" w:before="57" w:after="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*Percentage of patients that had “Epidural Hematoma” as diagnosis in the University hospital Cohort as a whole. Applies even for “Acute Subdural Hematoma”, “Traumatic Subarachnoid Hemorrage” and “Contusion”.</w:t>
      </w:r>
    </w:p>
    <w:p>
      <w:pPr>
        <w:pStyle w:val="Normal"/>
        <w:bidi w:val="0"/>
        <w:spacing w:lineRule="auto" w:line="480" w:before="57" w:after="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**Favourable/unfavourable GOS = 4-5/1-3. Isolated percentage values per region.</w:t>
      </w:r>
    </w:p>
    <w:p>
      <w:pPr>
        <w:pStyle w:val="Normal"/>
        <w:bidi w:val="0"/>
        <w:spacing w:lineRule="auto" w:line="480"/>
        <w:jc w:val="star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bidi w:val="0"/>
        <w:spacing w:lineRule="auto" w:line="480"/>
        <w:jc w:val="star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  <w:r>
        <w:br w:type="page"/>
      </w:r>
    </w:p>
    <w:p>
      <w:pPr>
        <w:pStyle w:val="Normal"/>
        <w:bidi w:val="0"/>
        <w:spacing w:lineRule="auto" w:line="480" w:before="0" w:after="0"/>
        <w:jc w:val="star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Supplementary Table 2. Descriptive data about patients who underwent surgery within 8 hours at Local Hospital by region.</w:t>
      </w:r>
    </w:p>
    <w:tbl>
      <w:tblPr>
        <w:tblW w:w="11276" w:type="dxa"/>
        <w:jc w:val="start"/>
        <w:tblInd w:w="-631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VBand="1" w:noHBand="0" w:lastColumn="0" w:firstColumn="1" w:lastRow="0" w:firstRow="1"/>
      </w:tblPr>
      <w:tblGrid>
        <w:gridCol w:w="2337"/>
        <w:gridCol w:w="1796"/>
        <w:gridCol w:w="1509"/>
        <w:gridCol w:w="1168"/>
        <w:gridCol w:w="1292"/>
        <w:gridCol w:w="1003"/>
        <w:gridCol w:w="1062"/>
        <w:gridCol w:w="1107"/>
      </w:tblGrid>
      <w:tr>
        <w:trPr>
          <w:trHeight w:val="1134" w:hRule="atLeast"/>
        </w:trPr>
        <w:tc>
          <w:tcPr>
            <w:tcW w:w="23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Variables</w:t>
            </w:r>
          </w:p>
        </w:tc>
        <w:tc>
          <w:tcPr>
            <w:tcW w:w="17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Patients treated with craniotomy &lt; 8 h by general surgeons at local hospitals</w:t>
            </w:r>
          </w:p>
        </w:tc>
        <w:tc>
          <w:tcPr>
            <w:tcW w:w="15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Stockholm – Gotland Region</w:t>
            </w:r>
          </w:p>
        </w:tc>
        <w:tc>
          <w:tcPr>
            <w:tcW w:w="11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Uppsala/Örebro Region</w:t>
            </w:r>
          </w:p>
        </w:tc>
        <w:tc>
          <w:tcPr>
            <w:tcW w:w="1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Linköping Region</w:t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South Region</w:t>
            </w:r>
          </w:p>
        </w:tc>
        <w:tc>
          <w:tcPr>
            <w:tcW w:w="10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Western Region</w:t>
            </w:r>
          </w:p>
        </w:tc>
        <w:tc>
          <w:tcPr>
            <w:tcW w:w="11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North Region</w:t>
            </w:r>
          </w:p>
        </w:tc>
      </w:tr>
      <w:tr>
        <w:trPr>
          <w:trHeight w:val="643" w:hRule="atLeast"/>
        </w:trPr>
        <w:tc>
          <w:tcPr>
            <w:tcW w:w="23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Patients, n (%)</w:t>
            </w:r>
          </w:p>
        </w:tc>
        <w:tc>
          <w:tcPr>
            <w:tcW w:w="17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21 (4%)</w:t>
            </w:r>
          </w:p>
        </w:tc>
        <w:tc>
          <w:tcPr>
            <w:tcW w:w="15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 (5%)</w:t>
            </w:r>
          </w:p>
        </w:tc>
        <w:tc>
          <w:tcPr>
            <w:tcW w:w="11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10 (48%)</w:t>
            </w:r>
          </w:p>
        </w:tc>
        <w:tc>
          <w:tcPr>
            <w:tcW w:w="1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7 (33%)</w:t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0 (0%)</w:t>
            </w:r>
          </w:p>
        </w:tc>
        <w:tc>
          <w:tcPr>
            <w:tcW w:w="10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0 (0%)0 0</w:t>
            </w:r>
          </w:p>
        </w:tc>
        <w:tc>
          <w:tcPr>
            <w:tcW w:w="11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3 (14%)</w:t>
            </w:r>
          </w:p>
        </w:tc>
      </w:tr>
      <w:tr>
        <w:trPr>
          <w:trHeight w:val="561" w:hRule="atLeast"/>
        </w:trPr>
        <w:tc>
          <w:tcPr>
            <w:tcW w:w="23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Age (years), median (IQR)</w:t>
            </w:r>
          </w:p>
        </w:tc>
        <w:tc>
          <w:tcPr>
            <w:tcW w:w="17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55 (33-73)</w:t>
            </w:r>
          </w:p>
        </w:tc>
        <w:tc>
          <w:tcPr>
            <w:tcW w:w="15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59 (N/A)</w:t>
            </w:r>
          </w:p>
        </w:tc>
        <w:tc>
          <w:tcPr>
            <w:tcW w:w="11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60 (51-75)</w:t>
            </w:r>
          </w:p>
        </w:tc>
        <w:tc>
          <w:tcPr>
            <w:tcW w:w="1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33 (19-46)</w:t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N/A</w:t>
            </w:r>
          </w:p>
        </w:tc>
        <w:tc>
          <w:tcPr>
            <w:tcW w:w="10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N/AN/A</w:t>
            </w:r>
          </w:p>
        </w:tc>
        <w:tc>
          <w:tcPr>
            <w:tcW w:w="11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76 (66-78)</w:t>
            </w:r>
          </w:p>
        </w:tc>
      </w:tr>
      <w:tr>
        <w:trPr>
          <w:trHeight w:val="685" w:hRule="atLeast"/>
        </w:trPr>
        <w:tc>
          <w:tcPr>
            <w:tcW w:w="23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Sex (male/female), n (%)</w:t>
            </w:r>
          </w:p>
        </w:tc>
        <w:tc>
          <w:tcPr>
            <w:tcW w:w="17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15/6 (71%/29%)</w:t>
            </w:r>
          </w:p>
        </w:tc>
        <w:tc>
          <w:tcPr>
            <w:tcW w:w="15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1/0 (100%/0%)</w:t>
            </w:r>
          </w:p>
        </w:tc>
        <w:tc>
          <w:tcPr>
            <w:tcW w:w="11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7/3 (70%/30%)</w:t>
            </w:r>
          </w:p>
        </w:tc>
        <w:tc>
          <w:tcPr>
            <w:tcW w:w="1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5/2 (71%/29%)</w:t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N/A</w:t>
            </w:r>
          </w:p>
        </w:tc>
        <w:tc>
          <w:tcPr>
            <w:tcW w:w="10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N/A</w:t>
            </w:r>
          </w:p>
        </w:tc>
        <w:tc>
          <w:tcPr>
            <w:tcW w:w="11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2/1 (67%/33%)</w:t>
            </w:r>
          </w:p>
        </w:tc>
      </w:tr>
      <w:tr>
        <w:trPr>
          <w:trHeight w:val="625" w:hRule="atLeast"/>
        </w:trPr>
        <w:tc>
          <w:tcPr>
            <w:tcW w:w="23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GCS at admission, median (IQR)</w:t>
            </w:r>
          </w:p>
        </w:tc>
        <w:tc>
          <w:tcPr>
            <w:tcW w:w="17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8 (4-12)</w:t>
            </w:r>
          </w:p>
        </w:tc>
        <w:tc>
          <w:tcPr>
            <w:tcW w:w="15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3 (N/A)</w:t>
            </w:r>
          </w:p>
        </w:tc>
        <w:tc>
          <w:tcPr>
            <w:tcW w:w="11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8 (5-13)</w:t>
            </w:r>
          </w:p>
        </w:tc>
        <w:tc>
          <w:tcPr>
            <w:tcW w:w="1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9 (7-11)</w:t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N/A</w:t>
            </w:r>
          </w:p>
        </w:tc>
        <w:tc>
          <w:tcPr>
            <w:tcW w:w="10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N/A</w:t>
            </w:r>
          </w:p>
        </w:tc>
        <w:tc>
          <w:tcPr>
            <w:tcW w:w="11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3 (3-3)</w:t>
            </w:r>
          </w:p>
        </w:tc>
      </w:tr>
      <w:tr>
        <w:trPr>
          <w:trHeight w:val="718" w:hRule="atLeast"/>
        </w:trPr>
        <w:tc>
          <w:tcPr>
            <w:tcW w:w="23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ISS, median (IQR)</w:t>
            </w:r>
          </w:p>
        </w:tc>
        <w:tc>
          <w:tcPr>
            <w:tcW w:w="17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26 (25-29)</w:t>
            </w:r>
          </w:p>
        </w:tc>
        <w:tc>
          <w:tcPr>
            <w:tcW w:w="15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25 (N/A)</w:t>
            </w:r>
          </w:p>
        </w:tc>
        <w:tc>
          <w:tcPr>
            <w:tcW w:w="11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26 (25-27)</w:t>
            </w:r>
          </w:p>
        </w:tc>
        <w:tc>
          <w:tcPr>
            <w:tcW w:w="1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29 (26-29)</w:t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N/A</w:t>
            </w:r>
          </w:p>
        </w:tc>
        <w:tc>
          <w:tcPr>
            <w:tcW w:w="10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N/A</w:t>
            </w:r>
          </w:p>
        </w:tc>
        <w:tc>
          <w:tcPr>
            <w:tcW w:w="11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27 (17-29)</w:t>
            </w:r>
          </w:p>
        </w:tc>
      </w:tr>
      <w:tr>
        <w:trPr>
          <w:trHeight w:val="742" w:hRule="atLeast"/>
        </w:trPr>
        <w:tc>
          <w:tcPr>
            <w:tcW w:w="23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Epidural hematoma, n (%)*</w:t>
            </w:r>
          </w:p>
        </w:tc>
        <w:tc>
          <w:tcPr>
            <w:tcW w:w="17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7 (33%)</w:t>
            </w:r>
          </w:p>
        </w:tc>
        <w:tc>
          <w:tcPr>
            <w:tcW w:w="15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0 (0%)</w:t>
            </w:r>
          </w:p>
        </w:tc>
        <w:tc>
          <w:tcPr>
            <w:tcW w:w="11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 (14%)</w:t>
            </w:r>
          </w:p>
        </w:tc>
        <w:tc>
          <w:tcPr>
            <w:tcW w:w="1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5 (72%)</w:t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N/A</w:t>
            </w:r>
          </w:p>
        </w:tc>
        <w:tc>
          <w:tcPr>
            <w:tcW w:w="10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N/A</w:t>
            </w:r>
          </w:p>
        </w:tc>
        <w:tc>
          <w:tcPr>
            <w:tcW w:w="11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 (14%)</w:t>
            </w:r>
          </w:p>
        </w:tc>
      </w:tr>
      <w:tr>
        <w:trPr>
          <w:trHeight w:val="742" w:hRule="atLeast"/>
        </w:trPr>
        <w:tc>
          <w:tcPr>
            <w:tcW w:w="23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Acute subdural hematoma, n (%)</w:t>
            </w:r>
          </w:p>
        </w:tc>
        <w:tc>
          <w:tcPr>
            <w:tcW w:w="17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18 (86%)</w:t>
            </w:r>
          </w:p>
        </w:tc>
        <w:tc>
          <w:tcPr>
            <w:tcW w:w="15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 (6%)</w:t>
            </w:r>
          </w:p>
        </w:tc>
        <w:tc>
          <w:tcPr>
            <w:tcW w:w="11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10 (56%)</w:t>
            </w:r>
          </w:p>
        </w:tc>
        <w:tc>
          <w:tcPr>
            <w:tcW w:w="1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4 (22%)</w:t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N/A</w:t>
            </w:r>
          </w:p>
        </w:tc>
        <w:tc>
          <w:tcPr>
            <w:tcW w:w="10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N/A</w:t>
            </w:r>
          </w:p>
        </w:tc>
        <w:tc>
          <w:tcPr>
            <w:tcW w:w="11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3 (16%)</w:t>
            </w:r>
          </w:p>
        </w:tc>
      </w:tr>
      <w:tr>
        <w:trPr>
          <w:trHeight w:val="652" w:hRule="atLeast"/>
        </w:trPr>
        <w:tc>
          <w:tcPr>
            <w:tcW w:w="23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Traumatic subarachnoid hemorrhage, n (%)</w:t>
            </w:r>
          </w:p>
        </w:tc>
        <w:tc>
          <w:tcPr>
            <w:tcW w:w="17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10 (48%)</w:t>
            </w:r>
          </w:p>
        </w:tc>
        <w:tc>
          <w:tcPr>
            <w:tcW w:w="15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0 (0%)</w:t>
            </w:r>
          </w:p>
        </w:tc>
        <w:tc>
          <w:tcPr>
            <w:tcW w:w="11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6 (60%)</w:t>
            </w:r>
          </w:p>
        </w:tc>
        <w:tc>
          <w:tcPr>
            <w:tcW w:w="1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3 (30%)</w:t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N/A</w:t>
            </w:r>
          </w:p>
        </w:tc>
        <w:tc>
          <w:tcPr>
            <w:tcW w:w="10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N/A</w:t>
            </w:r>
          </w:p>
        </w:tc>
        <w:tc>
          <w:tcPr>
            <w:tcW w:w="11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 (10%)</w:t>
            </w:r>
          </w:p>
        </w:tc>
      </w:tr>
      <w:tr>
        <w:trPr>
          <w:trHeight w:val="561" w:hRule="atLeast"/>
        </w:trPr>
        <w:tc>
          <w:tcPr>
            <w:tcW w:w="23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Contusion, n (%)</w:t>
            </w:r>
          </w:p>
        </w:tc>
        <w:tc>
          <w:tcPr>
            <w:tcW w:w="17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3 (14%)</w:t>
            </w:r>
          </w:p>
        </w:tc>
        <w:tc>
          <w:tcPr>
            <w:tcW w:w="15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0 (0%)</w:t>
            </w:r>
          </w:p>
        </w:tc>
        <w:tc>
          <w:tcPr>
            <w:tcW w:w="11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 (33%)</w:t>
            </w:r>
          </w:p>
        </w:tc>
        <w:tc>
          <w:tcPr>
            <w:tcW w:w="1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2 (67%)</w:t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N/A</w:t>
            </w:r>
          </w:p>
        </w:tc>
        <w:tc>
          <w:tcPr>
            <w:tcW w:w="10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N/A</w:t>
            </w:r>
          </w:p>
        </w:tc>
        <w:tc>
          <w:tcPr>
            <w:tcW w:w="11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0 (0%)</w:t>
            </w:r>
          </w:p>
        </w:tc>
      </w:tr>
      <w:tr>
        <w:trPr>
          <w:trHeight w:val="718" w:hRule="atLeast"/>
        </w:trPr>
        <w:tc>
          <w:tcPr>
            <w:tcW w:w="23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Time to surgery post-arrival (hours), median (IQR)</w:t>
            </w:r>
          </w:p>
        </w:tc>
        <w:tc>
          <w:tcPr>
            <w:tcW w:w="17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3.16 (N/A)</w:t>
            </w:r>
          </w:p>
        </w:tc>
        <w:tc>
          <w:tcPr>
            <w:tcW w:w="15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1.79 (0.88-2.34)</w:t>
            </w:r>
          </w:p>
        </w:tc>
        <w:tc>
          <w:tcPr>
            <w:tcW w:w="11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1.61 (0.99-2.54)</w:t>
            </w:r>
          </w:p>
        </w:tc>
        <w:tc>
          <w:tcPr>
            <w:tcW w:w="1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1.60 (1.35-1.65)</w:t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N/A</w:t>
            </w:r>
          </w:p>
        </w:tc>
        <w:tc>
          <w:tcPr>
            <w:tcW w:w="10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N/A</w:t>
            </w:r>
          </w:p>
        </w:tc>
        <w:tc>
          <w:tcPr>
            <w:tcW w:w="11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1.23 (0.68-3.33)</w:t>
            </w:r>
          </w:p>
        </w:tc>
      </w:tr>
      <w:tr>
        <w:trPr>
          <w:trHeight w:val="718" w:hRule="atLeast"/>
        </w:trPr>
        <w:tc>
          <w:tcPr>
            <w:tcW w:w="23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GOS, median (IQR)</w:t>
            </w:r>
          </w:p>
        </w:tc>
        <w:tc>
          <w:tcPr>
            <w:tcW w:w="17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3 (1-3)</w:t>
            </w:r>
          </w:p>
        </w:tc>
        <w:tc>
          <w:tcPr>
            <w:tcW w:w="15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3 (3-3)</w:t>
            </w:r>
          </w:p>
        </w:tc>
        <w:tc>
          <w:tcPr>
            <w:tcW w:w="11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 (1-3)</w:t>
            </w:r>
          </w:p>
        </w:tc>
        <w:tc>
          <w:tcPr>
            <w:tcW w:w="1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3 (2-4)</w:t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N/A</w:t>
            </w:r>
          </w:p>
        </w:tc>
        <w:tc>
          <w:tcPr>
            <w:tcW w:w="10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N/A</w:t>
            </w:r>
          </w:p>
        </w:tc>
        <w:tc>
          <w:tcPr>
            <w:tcW w:w="11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3 (1-4)</w:t>
            </w:r>
          </w:p>
        </w:tc>
      </w:tr>
      <w:tr>
        <w:trPr>
          <w:trHeight w:val="753" w:hRule="atLeast"/>
        </w:trPr>
        <w:tc>
          <w:tcPr>
            <w:tcW w:w="23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Favourable/Unfavourable**, n (%)</w:t>
            </w:r>
          </w:p>
        </w:tc>
        <w:tc>
          <w:tcPr>
            <w:tcW w:w="17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5/16 (24%/76%)</w:t>
            </w:r>
          </w:p>
        </w:tc>
        <w:tc>
          <w:tcPr>
            <w:tcW w:w="15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0/1 (0%/100%)</w:t>
            </w:r>
          </w:p>
        </w:tc>
        <w:tc>
          <w:tcPr>
            <w:tcW w:w="11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1/9 (10%/90%)</w:t>
            </w:r>
          </w:p>
        </w:tc>
        <w:tc>
          <w:tcPr>
            <w:tcW w:w="1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3/4 (43%/57%)</w:t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N/A</w:t>
            </w:r>
          </w:p>
        </w:tc>
        <w:tc>
          <w:tcPr>
            <w:tcW w:w="10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N/A</w:t>
            </w:r>
          </w:p>
        </w:tc>
        <w:tc>
          <w:tcPr>
            <w:tcW w:w="11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1/2 (33%/67%)</w:t>
            </w:r>
          </w:p>
        </w:tc>
      </w:tr>
      <w:tr>
        <w:trPr>
          <w:trHeight w:val="718" w:hRule="atLeast"/>
        </w:trPr>
        <w:tc>
          <w:tcPr>
            <w:tcW w:w="23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Mortality, n (%)</w:t>
            </w:r>
          </w:p>
        </w:tc>
        <w:tc>
          <w:tcPr>
            <w:tcW w:w="17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9 (43%)</w:t>
            </w:r>
          </w:p>
        </w:tc>
        <w:tc>
          <w:tcPr>
            <w:tcW w:w="15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0 (0%)</w:t>
            </w:r>
          </w:p>
        </w:tc>
        <w:tc>
          <w:tcPr>
            <w:tcW w:w="11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6 (67%)</w:t>
            </w:r>
          </w:p>
        </w:tc>
        <w:tc>
          <w:tcPr>
            <w:tcW w:w="1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2 (22%)</w:t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N/A</w:t>
            </w:r>
          </w:p>
        </w:tc>
        <w:tc>
          <w:tcPr>
            <w:tcW w:w="10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N/A</w:t>
            </w:r>
          </w:p>
        </w:tc>
        <w:tc>
          <w:tcPr>
            <w:tcW w:w="11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 (11%)</w:t>
            </w:r>
          </w:p>
        </w:tc>
      </w:tr>
    </w:tbl>
    <w:p>
      <w:pPr>
        <w:pStyle w:val="Normal"/>
        <w:bidi w:val="0"/>
        <w:spacing w:lineRule="auto" w:line="480" w:before="57" w:after="57"/>
        <w:jc w:val="star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*Percentage of patients that had “epidural hematoma” as diagnosis in the Local Hospital Cohort as a whole. Applies even for “Acute Subdural Hematoma”, “Traumatic Subarachnoid Hemorrage” and “Contusion”.</w:t>
      </w:r>
    </w:p>
    <w:p>
      <w:pPr>
        <w:pStyle w:val="Normal"/>
        <w:bidi w:val="0"/>
        <w:spacing w:lineRule="auto" w:line="480" w:before="57" w:after="57"/>
        <w:jc w:val="star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**Favourable/unfavourable GOS = 4-5/1-3.  Isolated percentage values per region.</w:t>
      </w:r>
    </w:p>
    <w:p>
      <w:pPr>
        <w:pStyle w:val="Normal"/>
        <w:bidi w:val="0"/>
        <w:spacing w:lineRule="auto" w:line="480"/>
        <w:jc w:val="star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bidi w:val="0"/>
        <w:jc w:val="star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  <w:r>
        <w:br w:type="page"/>
      </w:r>
    </w:p>
    <w:p>
      <w:pPr>
        <w:pStyle w:val="Normal"/>
        <w:bidi w:val="0"/>
        <w:spacing w:lineRule="auto" w:line="480" w:before="0" w:after="0"/>
        <w:jc w:val="star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Supplementary Table 3.</w:t>
      </w: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bCs/>
          <w:sz w:val="20"/>
          <w:szCs w:val="20"/>
        </w:rPr>
        <w:t>Data about patients operated within 8 hours - Local vs. University hospitals (transferred vs. directly admitted)</w:t>
      </w:r>
    </w:p>
    <w:tbl>
      <w:tblPr>
        <w:tblW w:w="11175" w:type="dxa"/>
        <w:jc w:val="start"/>
        <w:tblInd w:w="-433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VBand="1" w:noHBand="0" w:lastColumn="0" w:firstColumn="1" w:lastRow="0" w:firstRow="1"/>
      </w:tblPr>
      <w:tblGrid>
        <w:gridCol w:w="3114"/>
        <w:gridCol w:w="2552"/>
        <w:gridCol w:w="2767"/>
        <w:gridCol w:w="2741"/>
      </w:tblGrid>
      <w:tr>
        <w:trPr>
          <w:trHeight w:val="1127" w:hRule="atLeast"/>
        </w:trPr>
        <w:tc>
          <w:tcPr>
            <w:tcW w:w="31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0"/>
                <w:szCs w:val="20"/>
                <w:lang w:eastAsia="en-US" w:bidi="ar-SA"/>
              </w:rPr>
              <w:t>Variables</w:t>
            </w:r>
          </w:p>
        </w:tc>
        <w:tc>
          <w:tcPr>
            <w:tcW w:w="25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0"/>
                <w:szCs w:val="20"/>
                <w:lang w:eastAsia="en-US" w:bidi="ar-SA"/>
              </w:rPr>
              <w:t>Patients treated with craniotomy &lt; 8 h by general surgeons at local hospitals.</w:t>
            </w:r>
          </w:p>
        </w:tc>
        <w:tc>
          <w:tcPr>
            <w:tcW w:w="27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0"/>
                <w:szCs w:val="20"/>
                <w:lang w:eastAsia="en-US" w:bidi="ar-SA"/>
              </w:rPr>
              <w:t>Patients Treated with craniotomy &lt; 8 h by Neurosurgeons directly at University Hospital</w:t>
            </w:r>
          </w:p>
        </w:tc>
        <w:tc>
          <w:tcPr>
            <w:tcW w:w="27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0"/>
                <w:szCs w:val="20"/>
                <w:lang w:eastAsia="en-US" w:bidi="ar-SA"/>
              </w:rPr>
              <w:t>Patients treated with craniotomy in &lt; 8 h by Neurosurgeons at University Hospital after being transferred from Local Hospital</w:t>
            </w:r>
          </w:p>
        </w:tc>
      </w:tr>
      <w:tr>
        <w:trPr>
          <w:trHeight w:val="639" w:hRule="atLeast"/>
        </w:trPr>
        <w:tc>
          <w:tcPr>
            <w:tcW w:w="31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Patients, n (%)</w:t>
            </w:r>
          </w:p>
        </w:tc>
        <w:tc>
          <w:tcPr>
            <w:tcW w:w="25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21 (4%)</w:t>
            </w:r>
          </w:p>
        </w:tc>
        <w:tc>
          <w:tcPr>
            <w:tcW w:w="27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206 (38%)</w:t>
            </w:r>
          </w:p>
        </w:tc>
        <w:tc>
          <w:tcPr>
            <w:tcW w:w="27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338 (62%)</w:t>
            </w:r>
          </w:p>
        </w:tc>
      </w:tr>
      <w:tr>
        <w:trPr>
          <w:trHeight w:val="558" w:hRule="atLeast"/>
        </w:trPr>
        <w:tc>
          <w:tcPr>
            <w:tcW w:w="31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Age (years), median (IQR)</w:t>
            </w:r>
          </w:p>
        </w:tc>
        <w:tc>
          <w:tcPr>
            <w:tcW w:w="25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55 (33-73)</w:t>
            </w:r>
          </w:p>
        </w:tc>
        <w:tc>
          <w:tcPr>
            <w:tcW w:w="27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42 (24-64)</w:t>
            </w:r>
          </w:p>
        </w:tc>
        <w:tc>
          <w:tcPr>
            <w:tcW w:w="27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55 (35-68)</w:t>
            </w:r>
          </w:p>
        </w:tc>
      </w:tr>
      <w:tr>
        <w:trPr>
          <w:trHeight w:val="953" w:hRule="atLeast"/>
        </w:trPr>
        <w:tc>
          <w:tcPr>
            <w:tcW w:w="31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Sex (male/female), n (%)</w:t>
            </w:r>
          </w:p>
        </w:tc>
        <w:tc>
          <w:tcPr>
            <w:tcW w:w="25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15/6 (71%/29%)</w:t>
            </w:r>
          </w:p>
        </w:tc>
        <w:tc>
          <w:tcPr>
            <w:tcW w:w="27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153/53 (74%/26%)</w:t>
            </w:r>
          </w:p>
        </w:tc>
        <w:tc>
          <w:tcPr>
            <w:tcW w:w="27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rial" w:cs="Times New Roman" w:ascii="Times New Roman" w:hAnsi="Times New Roman"/>
                <w:sz w:val="20"/>
                <w:szCs w:val="20"/>
                <w:lang w:eastAsia="en-US" w:bidi="ar-SA"/>
              </w:rPr>
              <w:t>235/103 (70%/30%)</w:t>
            </w:r>
          </w:p>
        </w:tc>
      </w:tr>
      <w:tr>
        <w:trPr>
          <w:trHeight w:val="756" w:hRule="atLeast"/>
        </w:trPr>
        <w:tc>
          <w:tcPr>
            <w:tcW w:w="31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Injury mechanism, n (%)</w:t>
            </w:r>
          </w:p>
        </w:tc>
        <w:tc>
          <w:tcPr>
            <w:tcW w:w="25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Road = 4 (19%);</w:t>
            </w:r>
          </w:p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Fall = 14 (67%);</w:t>
            </w:r>
          </w:p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Blunt = 2 (10%);</w:t>
            </w:r>
          </w:p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Penetrating = 0 (0%)</w:t>
            </w:r>
          </w:p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Explosion = 0 (0%)</w:t>
            </w:r>
          </w:p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Unknown = 1 (4%)</w:t>
            </w:r>
          </w:p>
        </w:tc>
        <w:tc>
          <w:tcPr>
            <w:tcW w:w="27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Road = 68 (33%);</w:t>
            </w:r>
          </w:p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Fall = 97 (47%);</w:t>
            </w:r>
          </w:p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Blunt = 27 (13%);</w:t>
            </w:r>
          </w:p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Penetrating = 8 (4%)</w:t>
            </w:r>
          </w:p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Explosion = 1 (0%)</w:t>
            </w:r>
          </w:p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Unknown = 5 (3%)</w:t>
            </w:r>
          </w:p>
        </w:tc>
        <w:tc>
          <w:tcPr>
            <w:tcW w:w="27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Road = 67 (20%);</w:t>
            </w:r>
          </w:p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Fall = 201 (59%);</w:t>
            </w:r>
          </w:p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Blunt = 44 (13%);</w:t>
            </w:r>
          </w:p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Penetrating = 2 (1%)</w:t>
            </w:r>
          </w:p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Explosion = 0 (0%)</w:t>
            </w:r>
          </w:p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Unknown = 24 (7%)</w:t>
            </w:r>
          </w:p>
        </w:tc>
      </w:tr>
      <w:tr>
        <w:trPr>
          <w:trHeight w:val="621" w:hRule="atLeast"/>
        </w:trPr>
        <w:tc>
          <w:tcPr>
            <w:tcW w:w="31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GCS at admission, median (IQR)</w:t>
            </w:r>
          </w:p>
        </w:tc>
        <w:tc>
          <w:tcPr>
            <w:tcW w:w="25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8 (4-12)</w:t>
            </w:r>
          </w:p>
        </w:tc>
        <w:tc>
          <w:tcPr>
            <w:tcW w:w="27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10 (6-13)</w:t>
            </w:r>
          </w:p>
        </w:tc>
        <w:tc>
          <w:tcPr>
            <w:tcW w:w="27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14 (13-15)</w:t>
            </w:r>
          </w:p>
        </w:tc>
      </w:tr>
      <w:tr>
        <w:trPr>
          <w:trHeight w:val="623" w:hRule="atLeast"/>
        </w:trPr>
        <w:tc>
          <w:tcPr>
            <w:tcW w:w="31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AIS head, median (IQR)</w:t>
            </w:r>
          </w:p>
        </w:tc>
        <w:tc>
          <w:tcPr>
            <w:tcW w:w="25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3 (2-5)</w:t>
            </w:r>
          </w:p>
        </w:tc>
        <w:tc>
          <w:tcPr>
            <w:tcW w:w="27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3 (3-4)</w:t>
            </w:r>
          </w:p>
        </w:tc>
        <w:tc>
          <w:tcPr>
            <w:tcW w:w="27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3 (3-4)</w:t>
            </w:r>
          </w:p>
        </w:tc>
      </w:tr>
      <w:tr>
        <w:trPr>
          <w:trHeight w:val="714" w:hRule="atLeast"/>
        </w:trPr>
        <w:tc>
          <w:tcPr>
            <w:tcW w:w="31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ISS, median (IQR)</w:t>
            </w:r>
          </w:p>
        </w:tc>
        <w:tc>
          <w:tcPr>
            <w:tcW w:w="25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26 (25-29)</w:t>
            </w:r>
          </w:p>
        </w:tc>
        <w:tc>
          <w:tcPr>
            <w:tcW w:w="27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26 (25-30)</w:t>
            </w:r>
          </w:p>
        </w:tc>
        <w:tc>
          <w:tcPr>
            <w:tcW w:w="27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25 (25-27)</w:t>
            </w:r>
          </w:p>
        </w:tc>
      </w:tr>
      <w:tr>
        <w:trPr>
          <w:trHeight w:val="737" w:hRule="atLeast"/>
        </w:trPr>
        <w:tc>
          <w:tcPr>
            <w:tcW w:w="31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Epidural hematoma, n (%)</w:t>
            </w:r>
          </w:p>
        </w:tc>
        <w:tc>
          <w:tcPr>
            <w:tcW w:w="25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7 (33%)</w:t>
            </w:r>
          </w:p>
        </w:tc>
        <w:tc>
          <w:tcPr>
            <w:tcW w:w="27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72 (35%)</w:t>
            </w:r>
          </w:p>
        </w:tc>
        <w:tc>
          <w:tcPr>
            <w:tcW w:w="27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rial" w:cs="Times New Roman" w:ascii="Times New Roman" w:hAnsi="Times New Roman"/>
                <w:sz w:val="20"/>
                <w:szCs w:val="20"/>
                <w:lang w:eastAsia="en-US" w:bidi="ar-SA"/>
              </w:rPr>
              <w:t>106 (31%)</w:t>
            </w:r>
          </w:p>
        </w:tc>
      </w:tr>
      <w:tr>
        <w:trPr>
          <w:trHeight w:val="737" w:hRule="atLeast"/>
        </w:trPr>
        <w:tc>
          <w:tcPr>
            <w:tcW w:w="31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Acute subdural hematoma, n (%)</w:t>
            </w:r>
          </w:p>
        </w:tc>
        <w:tc>
          <w:tcPr>
            <w:tcW w:w="25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18 (86%)</w:t>
            </w:r>
          </w:p>
        </w:tc>
        <w:tc>
          <w:tcPr>
            <w:tcW w:w="27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155 (75%)</w:t>
            </w:r>
          </w:p>
        </w:tc>
        <w:tc>
          <w:tcPr>
            <w:tcW w:w="27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rial" w:cs="Times New Roman" w:ascii="Times New Roman" w:hAnsi="Times New Roman"/>
                <w:sz w:val="20"/>
                <w:szCs w:val="20"/>
                <w:lang w:eastAsia="en-US" w:bidi="ar-SA"/>
              </w:rPr>
              <w:t>265 (78%)</w:t>
            </w:r>
          </w:p>
        </w:tc>
      </w:tr>
      <w:tr>
        <w:trPr>
          <w:trHeight w:val="648" w:hRule="atLeast"/>
        </w:trPr>
        <w:tc>
          <w:tcPr>
            <w:tcW w:w="31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Traumatic subarachnoid hemorrhage, n (%)</w:t>
            </w:r>
          </w:p>
        </w:tc>
        <w:tc>
          <w:tcPr>
            <w:tcW w:w="25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10 (48%)</w:t>
            </w:r>
          </w:p>
        </w:tc>
        <w:tc>
          <w:tcPr>
            <w:tcW w:w="27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115 (56%)</w:t>
            </w:r>
          </w:p>
        </w:tc>
        <w:tc>
          <w:tcPr>
            <w:tcW w:w="27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126 (37%)</w:t>
            </w:r>
          </w:p>
        </w:tc>
      </w:tr>
      <w:tr>
        <w:trPr>
          <w:trHeight w:val="558" w:hRule="atLeast"/>
        </w:trPr>
        <w:tc>
          <w:tcPr>
            <w:tcW w:w="31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Contusion, n (%)</w:t>
            </w:r>
          </w:p>
        </w:tc>
        <w:tc>
          <w:tcPr>
            <w:tcW w:w="25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3 (14%)</w:t>
            </w:r>
          </w:p>
        </w:tc>
        <w:tc>
          <w:tcPr>
            <w:tcW w:w="27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122 (59%)</w:t>
            </w:r>
          </w:p>
        </w:tc>
        <w:tc>
          <w:tcPr>
            <w:tcW w:w="27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166 (49%)</w:t>
            </w:r>
          </w:p>
        </w:tc>
      </w:tr>
      <w:tr>
        <w:trPr>
          <w:trHeight w:val="714" w:hRule="atLeast"/>
        </w:trPr>
        <w:tc>
          <w:tcPr>
            <w:tcW w:w="31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Time to surgery post-injury (hours), median (IQR)</w:t>
            </w:r>
          </w:p>
        </w:tc>
        <w:tc>
          <w:tcPr>
            <w:tcW w:w="25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1.6 (1.0-2.4)</w:t>
            </w:r>
          </w:p>
        </w:tc>
        <w:tc>
          <w:tcPr>
            <w:tcW w:w="27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1.75 (1.25-2.70)</w:t>
            </w:r>
          </w:p>
        </w:tc>
        <w:tc>
          <w:tcPr>
            <w:tcW w:w="27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1.6 (0.75 – 2.85)</w:t>
            </w:r>
          </w:p>
        </w:tc>
      </w:tr>
      <w:tr>
        <w:trPr>
          <w:trHeight w:val="714" w:hRule="atLeast"/>
        </w:trPr>
        <w:tc>
          <w:tcPr>
            <w:tcW w:w="31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GOS, median (IQR)</w:t>
            </w:r>
          </w:p>
        </w:tc>
        <w:tc>
          <w:tcPr>
            <w:tcW w:w="25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3 (1-3)</w:t>
            </w:r>
          </w:p>
        </w:tc>
        <w:tc>
          <w:tcPr>
            <w:tcW w:w="27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3 (3-3)</w:t>
            </w:r>
          </w:p>
        </w:tc>
        <w:tc>
          <w:tcPr>
            <w:tcW w:w="27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3 (3-3)</w:t>
            </w:r>
          </w:p>
        </w:tc>
      </w:tr>
      <w:tr>
        <w:trPr>
          <w:trHeight w:val="748" w:hRule="atLeast"/>
        </w:trPr>
        <w:tc>
          <w:tcPr>
            <w:tcW w:w="31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Favourable/unfavourable**, n (%)</w:t>
            </w:r>
          </w:p>
        </w:tc>
        <w:tc>
          <w:tcPr>
            <w:tcW w:w="25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5/16 (24%/76%)</w:t>
            </w:r>
          </w:p>
        </w:tc>
        <w:tc>
          <w:tcPr>
            <w:tcW w:w="27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40/166 (19%/81%)</w:t>
            </w:r>
          </w:p>
        </w:tc>
        <w:tc>
          <w:tcPr>
            <w:tcW w:w="27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rial" w:cs="Times New Roman" w:ascii="Times New Roman" w:hAnsi="Times New Roman"/>
                <w:sz w:val="20"/>
                <w:szCs w:val="20"/>
                <w:lang w:eastAsia="en-US" w:bidi="ar-SA"/>
              </w:rPr>
              <w:t>32/306 (9%/91%)</w:t>
            </w:r>
          </w:p>
        </w:tc>
      </w:tr>
      <w:tr>
        <w:trPr>
          <w:trHeight w:val="714" w:hRule="atLeast"/>
        </w:trPr>
        <w:tc>
          <w:tcPr>
            <w:tcW w:w="31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Mortality, n (%)</w:t>
            </w:r>
          </w:p>
        </w:tc>
        <w:tc>
          <w:tcPr>
            <w:tcW w:w="25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9 (43%)</w:t>
            </w:r>
          </w:p>
        </w:tc>
        <w:tc>
          <w:tcPr>
            <w:tcW w:w="27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39 (19%)</w:t>
            </w:r>
          </w:p>
        </w:tc>
        <w:tc>
          <w:tcPr>
            <w:tcW w:w="27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48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32 (9%)</w:t>
            </w:r>
          </w:p>
        </w:tc>
      </w:tr>
    </w:tbl>
    <w:p>
      <w:pPr>
        <w:pStyle w:val="Normal"/>
        <w:bidi w:val="0"/>
        <w:spacing w:lineRule="auto" w:line="480" w:before="57" w:after="57"/>
        <w:jc w:val="star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*Missing data (both cohorts combined): Injury Mechanism (n) = 29; GCS (n) = 316; GOS (n) = 0; Mortality (n) = 3.</w:t>
      </w:r>
    </w:p>
    <w:p>
      <w:pPr>
        <w:pStyle w:val="Normal"/>
        <w:bidi w:val="0"/>
        <w:spacing w:lineRule="auto" w:line="480" w:before="57" w:after="57"/>
        <w:jc w:val="star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** Favourable/unfavourable GOS = 4-5/1-3.</w:t>
      </w:r>
    </w:p>
    <w:p>
      <w:pPr>
        <w:pStyle w:val="Normal"/>
        <w:bidi w:val="0"/>
        <w:spacing w:lineRule="auto" w:line="480" w:before="57" w:after="57"/>
        <w:jc w:val="star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AIS = Abbreviated injury scale. GCS = Glasgow Coma Scale. GOS = Glasgow Outcome Scale. IQR = Interquartile range. ISS = Injury severity score.</w:t>
      </w:r>
    </w:p>
    <w:p>
      <w:pPr>
        <w:pStyle w:val="Normal"/>
        <w:bidi w:val="0"/>
        <w:spacing w:before="57" w:after="57"/>
        <w:jc w:val="star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bidi w:val="0"/>
        <w:spacing w:lineRule="auto" w:line="480"/>
        <w:jc w:val="star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bidi w:val="0"/>
        <w:spacing w:lineRule="auto" w:line="480"/>
        <w:jc w:val="star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bidi w:val="0"/>
        <w:spacing w:lineRule="auto" w:line="480"/>
        <w:jc w:val="star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sv-SE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sv-SE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LibreOffice/7.6.3.2$MacOSX_AARCH64 LibreOffice_project/29d686fea9f6705b262d369fede658f824154cc0</Application>
  <AppVersion>15.0000</AppVersion>
  <Pages>6</Pages>
  <Words>941</Words>
  <Characters>4633</Characters>
  <CharactersWithSpaces>5269</CharactersWithSpaces>
  <Paragraphs>314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2024-09-01T13:33:31Z</dcterms:created>
  <dc:creator>Francisco Leal-Méndez</dc:creator>
  <dc:description/>
  <dc:language>sv-SE</dc:language>
  <cp:lastModifiedBy>Francisco Leal-Méndez</cp:lastModifiedBy>
  <dcterms:modified xsi:type="dcterms:W3CDTF">2024-09-01T13:34:19Z</dcterms:modified>
  <cp:revision>1</cp:revision>
  <dc:subject/>
  <dc:title/>
</cp:coreProperties>
</file>