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EC904">
      <w:pPr>
        <w:spacing w:line="480" w:lineRule="auto"/>
        <w:rPr>
          <w:rFonts w:ascii="Arial" w:hAnsi="Arial" w:cs="Arial"/>
          <w:color w:val="000000" w:themeColor="text1"/>
          <w:u w:val="single"/>
          <w14:textFill>
            <w14:solidFill>
              <w14:schemeClr w14:val="tx1"/>
            </w14:solidFill>
          </w14:textFill>
        </w:rPr>
      </w:pPr>
      <w:bookmarkStart w:id="0" w:name="_GoBack"/>
      <w:bookmarkEnd w:id="0"/>
      <w:r>
        <w:rPr>
          <w:rFonts w:ascii="Arial" w:hAnsi="Arial" w:cs="Arial"/>
          <w:color w:val="000000" w:themeColor="text1"/>
          <w:u w:val="single"/>
          <w14:textFill>
            <w14:solidFill>
              <w14:schemeClr w14:val="tx1"/>
            </w14:solidFill>
          </w14:textFill>
        </w:rPr>
        <w:t>Testing and cost</w:t>
      </w:r>
    </w:p>
    <w:p w14:paraId="09D79465">
      <w:pPr>
        <w:spacing w:line="480" w:lineRule="auto"/>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 xml:space="preserve">A review by Flynn </w:t>
      </w:r>
      <w:r>
        <w:rPr>
          <w:rFonts w:ascii="Arial" w:hAnsi="Arial" w:cs="Arial"/>
          <w:i/>
          <w:iCs/>
          <w:color w:val="000000" w:themeColor="text1"/>
          <w14:textFill>
            <w14:solidFill>
              <w14:schemeClr w14:val="tx1"/>
            </w14:solidFill>
          </w14:textFill>
        </w:rPr>
        <w:t>et al</w:t>
      </w:r>
      <w:r>
        <w:rPr>
          <w:rFonts w:ascii="Arial" w:hAnsi="Arial" w:cs="Arial"/>
          <w:color w:val="000000" w:themeColor="text1"/>
          <w14:textFill>
            <w14:solidFill>
              <w14:schemeClr w14:val="tx1"/>
            </w14:solidFill>
          </w14:textFill>
        </w:rPr>
        <w:t xml:space="preserve"> </w:t>
      </w:r>
      <w:r>
        <w:rPr>
          <w:rFonts w:ascii="Arial" w:hAnsi="Arial" w:cs="Arial"/>
          <w:color w:val="000000" w:themeColor="text1"/>
          <w14:textFill>
            <w14:solidFill>
              <w14:schemeClr w14:val="tx1"/>
            </w14:solidFill>
          </w14:textFill>
        </w:rPr>
        <w:fldChar w:fldCharType="begin" w:fldLock="1"/>
      </w:r>
      <w:r>
        <w:rPr>
          <w:rFonts w:ascii="Arial" w:hAnsi="Arial" w:cs="Arial"/>
          <w:color w:val="000000" w:themeColor="text1"/>
          <w14:textFill>
            <w14:solidFill>
              <w14:schemeClr w14:val="tx1"/>
            </w14:solidFill>
          </w14:textFill>
        </w:rPr>
        <w:instrText xml:space="preserve"> ADDIN ZOTERO_ITEM CSL_CITATION {"citationID":"pc9mdZef","properties":{"formattedCitation":"\\super 1\\nosupersub{}","plainCitation":"1","noteIndex":0},"citationItems":[{"id":"aC1IoIUI/4Ar6p779","uris":["http://www.mendeley.com/documents/?uuid=a6e95309-0bef-38a0-bf89-6b73ae99f443"],"itemData":{"DOI":"10.1111/J.1553-2712.2012.01414.X","ISSN":"1553-2712","PMID":"22853804","abstract":"Background: Many decisions in the emergency department (ED) may benefit from patient involvement, even though this setting has been considered least conducive to shared decision-making (SDM). Objectives: The objective was to conduct a systematic review to evaluate the approaches, methods, and tools used to engage patients or their surrogates in SDM in the ED. Methods: Five electronic databases were searched in conjunction with contacting content experts, reviewing selected bibliographies, and conducting citation searches using the Web of Knowledge database. Two reviewers independently selected eligible studies that addressed patient involvement and engagement in decision-making in the ED setting via the use of decision support interventions (DSIs), defined as decision aids or decision support designed to communicate probabilistic information on the risks and benefits of treatment options to patients as part of an SDM process. Eligible studies described and assessed at least one of the following outcomes: patient knowledge, experiences and perspectives on participating in treatment or management decisions, clinician or patient satisfaction, preference for involvement and/or degree of engagement in decision-making and treatment preferences, and clinical outcomes (e.g., rates of hospital admission/readmission, rates of medical or surgical interventions). Two reviewers extracted data on study characteristics, methodologic quality, and outcomes. The authors also assessed the extent to which SDM interventions adhered to good practice for the presentation of information on outcome probabilities (eight probability items from the International Patient Decision Aid Standards Instrument [IPDASi]) and had comprehensive development processes. Results: Five studies met inclusion criteria and were synthesized using a narrative approach. Each study was of satisfactory methodologic quality and used a DSI to engage patients or their surrogates in decision-making in the ED across four domains: 1) management options for children with small lacerations; 2) options for rehydrating children presenting with vomiting or diarrhea or both; 3) risk of bacteremia (and associated complications), tests, and treatment options for febrile children; and 4) short-term risk of acute coronary syndrome (ACS) in adults with low-risk nontraumatic chest pain. Three studies had poor IPDASi probabilities and development process scores and lacked development informed by theory or involvement of c…","author":[{"dropping-particle":"","family":"Flynn","given":"Darren","non-dropping-particle":"","parse-names":false,"suffix":""},{"dropping-particle":"","family":"Knoedler","given":"Meghan A.","non-dropping-particle":"","parse-names":false,"suffix":""},{"dropping-particle":"","family":"Hess","given":"Erik P.","non-dropping-particle":"","parse-names":false,"suffix":""},{"dropping-particle":"","family":"Murad","given":"M. Hassan","non-dropping-particle":"","parse-names":false,"suffix":""},{"dropping-particle":"","family":"Erwin","given":"Patricia J.","non-dropping-particle":"","parse-names":false,"suffix":""},{"dropping-particle":"","family":"Montori","given":"Victor M.","non-dropping-particle":"","parse-names":false,"suffix":""},{"dropping-particle":"","family":"Thomson","given":"Richard G.","non-dropping-particle":"","parse-names":false,"suffix":""}],"container-title":"Academic emergency medicine : official journal of the Society for Academic Emergency Medicine","id":"ITEM-1","issue":"8","issued":{"date-parts":[["2012","8"]]},"page":"959-967","publisher":"Acad Emerg Med","title":"Engaging patients in health care decisions in the emergency department through shared decision-making: a systematic review","type":"article-journal","volume":"19"}}],"schema":"https://github.com/citation-style-language/schema/raw/master/csl-citation.json"} </w:instrText>
      </w:r>
      <w:r>
        <w:rPr>
          <w:rFonts w:ascii="Arial" w:hAnsi="Arial" w:cs="Arial"/>
          <w:color w:val="000000" w:themeColor="text1"/>
          <w14:textFill>
            <w14:solidFill>
              <w14:schemeClr w14:val="tx1"/>
            </w14:solidFill>
          </w14:textFill>
        </w:rPr>
        <w:fldChar w:fldCharType="separate"/>
      </w:r>
      <w:r>
        <w:rPr>
          <w:rFonts w:ascii="Arial" w:hAnsi="Arial" w:cs="Arial"/>
          <w:color w:val="000000"/>
          <w:vertAlign w:val="superscript"/>
        </w:rPr>
        <w:t>1</w:t>
      </w:r>
      <w:r>
        <w:rPr>
          <w:rFonts w:ascii="Arial" w:hAnsi="Arial" w:cs="Arial"/>
          <w:color w:val="000000" w:themeColor="text1"/>
          <w14:textFill>
            <w14:solidFill>
              <w14:schemeClr w14:val="tx1"/>
            </w14:solidFill>
          </w14:textFill>
        </w:rPr>
        <w:fldChar w:fldCharType="end"/>
      </w:r>
      <w:r>
        <w:rPr>
          <w:rFonts w:ascii="Arial" w:hAnsi="Arial" w:cs="Arial"/>
          <w:color w:val="000000" w:themeColor="text1"/>
          <w14:textFill>
            <w14:solidFill>
              <w14:schemeClr w14:val="tx1"/>
            </w14:solidFill>
          </w14:textFill>
        </w:rPr>
        <w:t xml:space="preserve"> demonstrated that the use of a chest pain decision aid decreased cardiac stress testing at 30 days and pre-test probability reduced thoracic imaging. This is based on high confidence narrative data based on two primary studies with low RoB in adults presenting with chest pain to the ED. </w:t>
      </w:r>
      <w:r>
        <w:rPr>
          <w:rFonts w:ascii="Arial" w:hAnsi="Arial" w:cs="Arial"/>
          <w:color w:val="000000" w:themeColor="text1"/>
          <w14:textFill>
            <w14:solidFill>
              <w14:schemeClr w14:val="tx1"/>
            </w14:solidFill>
          </w14:textFill>
        </w:rPr>
        <w:fldChar w:fldCharType="begin"/>
      </w:r>
      <w:r>
        <w:rPr>
          <w:rFonts w:ascii="Arial" w:hAnsi="Arial" w:cs="Arial"/>
          <w:color w:val="000000" w:themeColor="text1"/>
          <w14:textFill>
            <w14:solidFill>
              <w14:schemeClr w14:val="tx1"/>
            </w14:solidFill>
          </w14:textFill>
        </w:rPr>
        <w:instrText xml:space="preserve"> ADDIN ZOTERO_ITEM CSL_CITATION {"citationID":"cyC6EELX","properties":{"formattedCitation":"\\super 2,3\\nosupersub{}","plainCitation":"2,3","noteIndex":0},"citationItems":[{"id":2655,"uris":["http://zotero.org/users/10858031/items/JW5PRAMJ"],"itemData":{"id":2655,"type":"article-journal","container-title":"Circulation: Cardiovascular Quality and Outcomes","DOI":"10.1161/CIRCOUTCOMES.111.964791","issue":"3","journalAbbreviation":"Circulation: Cardiovascular Quality and Outcomes","note":"publisher: American Heart Association","page":"251-259","title":"The Chest Pain Choice Decision Aid","volume":"5","author":[{"family":"Hess","given":"Erik P."},{"family":"Knoedler","given":"Meghan A."},{"family":"Shah","given":"Nilay D."},{"family":"Kline","given":"Jeffrey A."},{"family":"Breslin","given":"Maggie"},{"family":"Branda","given":"Megan E."},{"family":"Pencille","given":"Laurie J."},{"family":"Asplin","given":"Brent R."},{"family":"Nestler","given":"David M."},{"family":"Sadosty","given":"Annie T."},{"family":"Stiell","given":"Ian G."},{"family":"Ting","given":"Henry H."},{"family":"Montori","given":"Victor M."}],"issued":{"date-parts":[["2012",5,1]]}}},{"id":2649,"uris":["http://zotero.org/users/10858031/items/MPYRC8YT"],"itemData":{"id":2649,"type":"article-journal","abstract":"Pretest probability (PTP) assessment plays a central role in diagnosis. This report compares a novel attribute-matching method to generate a PTP for acute coronary syndrome (ACS). We compare the new method with a validated logistic regression equation (LRE).","container-title":"BMC Medical Informatics and Decision Making","DOI":"10.1186/1472-6947-5-26","ISSN":"1472-6947","issue":"1","journalAbbreviation":"BMC Medical Informatics and Decision Making","page":"26","title":"Pretest probability assessment derived from attribute matching","volume":"5","author":[{"family":"Kline","given":"Jeffrey A."},{"family":"Johnson","given":"Charles L."},{"family":"Pollack","given":"Charles V."},{"family":"Diercks","given":"Deborah B."},{"family":"Hollander","given":"Judd E."},{"family":"Newgard","given":"Craig D."},{"family":"Garvey","given":"J. Lee"}],"issued":{"date-parts":[["2005",8,11]]}}}],"schema":"https://github.com/citation-style-language/schema/raw/master/csl-citation.json"} </w:instrText>
      </w:r>
      <w:r>
        <w:rPr>
          <w:rFonts w:ascii="Arial" w:hAnsi="Arial" w:cs="Arial"/>
          <w:color w:val="000000" w:themeColor="text1"/>
          <w14:textFill>
            <w14:solidFill>
              <w14:schemeClr w14:val="tx1"/>
            </w14:solidFill>
          </w14:textFill>
        </w:rPr>
        <w:fldChar w:fldCharType="separate"/>
      </w:r>
      <w:r>
        <w:rPr>
          <w:rFonts w:ascii="Arial" w:hAnsi="Arial" w:cs="Arial"/>
          <w:color w:val="000000"/>
          <w:vertAlign w:val="superscript"/>
        </w:rPr>
        <w:t>2,3</w:t>
      </w:r>
      <w:r>
        <w:rPr>
          <w:rFonts w:ascii="Arial" w:hAnsi="Arial" w:cs="Arial"/>
          <w:color w:val="000000" w:themeColor="text1"/>
          <w14:textFill>
            <w14:solidFill>
              <w14:schemeClr w14:val="tx1"/>
            </w14:solidFill>
          </w14:textFill>
        </w:rPr>
        <w:fldChar w:fldCharType="end"/>
      </w:r>
    </w:p>
    <w:p w14:paraId="2E649F57">
      <w:pPr>
        <w:spacing w:line="480" w:lineRule="auto"/>
        <w:rPr>
          <w:rFonts w:ascii="Arial" w:hAnsi="Arial" w:cs="Arial"/>
          <w:color w:val="000000" w:themeColor="text1"/>
          <w14:textFill>
            <w14:solidFill>
              <w14:schemeClr w14:val="tx1"/>
            </w14:solidFill>
          </w14:textFill>
        </w:rPr>
      </w:pPr>
    </w:p>
    <w:p w14:paraId="65418C5E">
      <w:pPr>
        <w:spacing w:line="480" w:lineRule="auto"/>
        <w:rPr>
          <w:rFonts w:ascii="Arial" w:hAnsi="Arial" w:cs="Arial"/>
          <w:color w:val="000000" w:themeColor="text1"/>
          <w14:textFill>
            <w14:solidFill>
              <w14:schemeClr w14:val="tx1"/>
            </w14:solidFill>
          </w14:textFill>
        </w:rPr>
      </w:pPr>
      <w:r>
        <w:rPr>
          <w:rFonts w:ascii="Arial" w:hAnsi="Arial" w:cs="Arial"/>
          <w:color w:val="000000" w:themeColor="text1"/>
          <w14:textFill>
            <w14:solidFill>
              <w14:schemeClr w14:val="tx1"/>
            </w14:solidFill>
          </w14:textFill>
        </w:rPr>
        <w:t xml:space="preserve">In the frequent attender cohort, interventions including case management, care plans, social work home visits, diversion strategies to non-urgent care, counselling, care co-ordination, pain protocols reduced costs in frequent attenders. Case management was the most common strategy studied and most common intervention to reduce costs. This is based on high confidence data from two reviews by Moe </w:t>
      </w:r>
      <w:r>
        <w:rPr>
          <w:rFonts w:ascii="Arial" w:hAnsi="Arial" w:cs="Arial"/>
          <w:i/>
          <w:iCs/>
          <w:color w:val="000000" w:themeColor="text1"/>
          <w14:textFill>
            <w14:solidFill>
              <w14:schemeClr w14:val="tx1"/>
            </w14:solidFill>
          </w14:textFill>
        </w:rPr>
        <w:t xml:space="preserve">et al </w:t>
      </w:r>
      <w:r>
        <w:rPr>
          <w:rFonts w:ascii="Arial" w:hAnsi="Arial" w:cs="Arial"/>
          <w:color w:val="000000" w:themeColor="text1"/>
          <w14:textFill>
            <w14:solidFill>
              <w14:schemeClr w14:val="tx1"/>
            </w14:solidFill>
          </w14:textFill>
        </w:rPr>
        <w:t xml:space="preserve"> </w:t>
      </w:r>
      <w:r>
        <w:rPr>
          <w:rFonts w:ascii="Arial" w:hAnsi="Arial" w:cs="Arial"/>
          <w:color w:val="000000" w:themeColor="text1"/>
          <w14:textFill>
            <w14:solidFill>
              <w14:schemeClr w14:val="tx1"/>
            </w14:solidFill>
          </w14:textFill>
        </w:rPr>
        <w:fldChar w:fldCharType="begin" w:fldLock="1"/>
      </w:r>
      <w:r>
        <w:rPr>
          <w:rFonts w:ascii="Arial" w:hAnsi="Arial" w:cs="Arial"/>
          <w:color w:val="000000" w:themeColor="text1"/>
          <w14:textFill>
            <w14:solidFill>
              <w14:schemeClr w14:val="tx1"/>
            </w14:solidFill>
          </w14:textFill>
        </w:rPr>
        <w:instrText xml:space="preserve"> ADDIN ZOTERO_ITEM CSL_CITATION {"citationID":"isyk8tt7","properties":{"formattedCitation":"\\super 4\\nosupersub{}","plainCitation":"4","noteIndex":0},"citationItems":[{"id":"aC1IoIUI/1xrfELxr","uris":["http://www.mendeley.com/documents/?uuid=075c9ff3-b68b-4da7-a217-7aed5ec6370b"],"itemData":{"DOI":"10.1111/acem.13060","ISSN":"1069-6563","abstract":"Objectives Frequent emergency department ( ED) users are high-risk and high-resource-utilizing patients. This systematic review evaluates effectiveness of interventions targeting adult frequent ED users in reducing visit frequency and improving patient outcomes. Methods An a priori protocol was published in PROSPERO. Two independent reviewers screened, selected, rated quality, and extracted data. Third-party adjudication resolved disagreements. Rate ratios of post- versus pre-intervention ED visits were calculated. Data sources were from a comprehensive search that included seven databases and the gray literature. Eligibility criteria for selecting studies included experimental studies assessing the effect of interventions on frequent users' ED visits and patient-oriented outcomes. Results A total of 6,865 citations were identified and 31 studies included. Designs were noncontrolled ( n = 21) and controlled ( n = 4) before-after studies and randomized controlled trials ( n = 6). Frequent user definitions varied considerably and risk of bias was moderate to high. Studies examined general frequent users or those with psychiatric comorbidities, chronic disease, or low socioeconomic status or the elderly. Interventions included case management ( n = 18), care plans ( n = 8), diversion strategies ( n = 3), printout case notes ( n = 1), and social work visits ( n = 1). Post- versus pre-intervention rate ratios were calculated for 25 studies and indicated a significant visit decrease in 21 (84%) of these studies. The median rate ratio was 0.63 (interquartile range = 0.41 to 0.71), indicating that the general effect of the interventions described was to decrease ED visits post-intervention. Significant visit decreases were found for a majority of studies in subgroup analyses based on 6- or 12-month follow-up, definition thresholds, clinical frequent user subgroups, and intervention types. Studies reporting homelessness found consistent improvements in stable housing. Overall, interstudy heterogeneity was high. Conclusions Interventions targeting frequent ED users appear to decrease ED visits and may improve stable housing. Future research should examine cost-effectiveness and adopt standardized definitions.","author":[{"dropping-particle":"","family":"Moe","given":"Jessica","non-dropping-particle":"","parse-names":false,"suffix":""},{"dropping-particle":"","family":"Kirkland","given":"Scott W","non-dropping-particle":"","parse-names":false,"suffix":""},{"dropping-particle":"","family":"Rawe","given":"Erin","non-dropping-particle":"","parse-names":false,"suffix":""},{"dropping-particle":"","family":"Ospina","given":"Maria B","non-dropping-particle":"","parse-names":false,"suffix":""},{"dropping-particle":"","family":"Vandermeer","given":"Ben","non-dropping-particle":"","parse-names":false,"suffix":""},{"dropping-particle":"","family":"Campbell","given":"Sandy","non-dropping-particle":"","parse-names":false,"suffix":""},{"dropping-particle":"","family":"Rowe","given":"Brian H","non-dropping-particle":"","parse-names":false,"suffix":""},{"dropping-particle":"","family":"Gratton","given":"Matthew C","non-dropping-particle":"","parse-names":false,"suffix":""}],"container-title":"Academic Emergency Medicine","id":"ITEM-1","issue":"1","issued":{"date-parts":[["2017","1"]]},"note":"Accession Number: 120687718. Language: English. Entry Date: 20170119. Revision Date: 20180810. Publication Type: Article; research; systematic review; tables/charts. Journal Subset: Biomedical; Peer Reviewed; USA. Special Interest: Evidence-Based Practice. NLM UID: 9418450.","page":"40-52","publisher":"Wiley-Blackwell","publisher-place":"Department of Emergency Medicine, University of Alberta, Edmonton Alberta, Canada","title":"Effectiveness of Interventions to Decrease Emergency Department Visits by Adult Frequent Users: A Systematic Review.","type":"article-journal","volume":"24"}}],"schema":"https://github.com/citation-style-language/schema/raw/master/csl-citation.json"} </w:instrText>
      </w:r>
      <w:r>
        <w:rPr>
          <w:rFonts w:ascii="Arial" w:hAnsi="Arial" w:cs="Arial"/>
          <w:color w:val="000000" w:themeColor="text1"/>
          <w14:textFill>
            <w14:solidFill>
              <w14:schemeClr w14:val="tx1"/>
            </w14:solidFill>
          </w14:textFill>
        </w:rPr>
        <w:fldChar w:fldCharType="separate"/>
      </w:r>
      <w:r>
        <w:rPr>
          <w:rFonts w:ascii="Arial" w:hAnsi="Arial" w:cs="Arial"/>
          <w:color w:val="000000"/>
          <w:vertAlign w:val="superscript"/>
        </w:rPr>
        <w:t>4</w:t>
      </w:r>
      <w:r>
        <w:rPr>
          <w:rFonts w:ascii="Arial" w:hAnsi="Arial" w:cs="Arial"/>
          <w:color w:val="000000" w:themeColor="text1"/>
          <w14:textFill>
            <w14:solidFill>
              <w14:schemeClr w14:val="tx1"/>
            </w14:solidFill>
          </w14:textFill>
        </w:rPr>
        <w:fldChar w:fldCharType="end"/>
      </w:r>
      <w:r>
        <w:rPr>
          <w:rFonts w:ascii="Arial" w:hAnsi="Arial" w:cs="Arial"/>
          <w:color w:val="000000" w:themeColor="text1"/>
          <w14:textFill>
            <w14:solidFill>
              <w14:schemeClr w14:val="tx1"/>
            </w14:solidFill>
          </w14:textFill>
        </w:rPr>
        <w:t xml:space="preserve"> and Berkman </w:t>
      </w:r>
      <w:r>
        <w:rPr>
          <w:rFonts w:ascii="Arial" w:hAnsi="Arial" w:cs="Arial"/>
          <w:i/>
          <w:iCs/>
          <w:color w:val="000000" w:themeColor="text1"/>
          <w14:textFill>
            <w14:solidFill>
              <w14:schemeClr w14:val="tx1"/>
            </w14:solidFill>
          </w14:textFill>
        </w:rPr>
        <w:t>et al</w:t>
      </w:r>
      <w:r>
        <w:rPr>
          <w:rFonts w:ascii="Arial" w:hAnsi="Arial" w:cs="Arial"/>
          <w:color w:val="000000" w:themeColor="text1"/>
          <w14:textFill>
            <w14:solidFill>
              <w14:schemeClr w14:val="tx1"/>
            </w14:solidFill>
          </w14:textFill>
        </w:rPr>
        <w:t xml:space="preserve"> </w:t>
      </w:r>
      <w:r>
        <w:rPr>
          <w:rFonts w:ascii="Arial" w:hAnsi="Arial" w:cs="Arial"/>
          <w:color w:val="000000" w:themeColor="text1"/>
          <w14:textFill>
            <w14:solidFill>
              <w14:schemeClr w14:val="tx1"/>
            </w14:solidFill>
          </w14:textFill>
        </w:rPr>
        <w:fldChar w:fldCharType="begin" w:fldLock="1"/>
      </w:r>
      <w:r>
        <w:rPr>
          <w:rFonts w:ascii="Arial" w:hAnsi="Arial" w:cs="Arial"/>
          <w:color w:val="000000" w:themeColor="text1"/>
          <w14:textFill>
            <w14:solidFill>
              <w14:schemeClr w14:val="tx1"/>
            </w14:solidFill>
          </w14:textFill>
        </w:rPr>
        <w:instrText xml:space="preserve"> ADDIN ZOTERO_ITEM CSL_CITATION {"citationID":"jphSbUQH","properties":{"formattedCitation":"\\super 5\\nosupersub{}","plainCitation":"5","noteIndex":0},"citationItems":[{"id":"aC1IoIUI/TRjWt9dv","uris":["http://www.mendeley.com/documents/?uuid=5a669540-5f29-3868-bf13-106b76836d77"],"itemData":{"DOI":"10.23970/AHRQEPCCER246","author":[{"dropping-particle":"","family":"Berkman","given":"Nancy D.","non-dropping-particle":"","parse-names":false,"suffix":""},{"dropping-particle":"","family":"Chang","given":"Eva","non-dropping-particle":"","parse-names":false,"suffix":""},{"dropping-particle":"","family":"Seibert","given":"Julie","non-dropping-particle":"","parse-names":false,"suffix":""},{"dropping-particle":"","family":"Ali","given":"Rania","non-dropping-particle":"","parse-names":false,"suffix":""},{"dropping-particle":"","family":"Porterfield","given":"Deborah","non-dropping-particle":"","parse-names":false,"suffix":""},{"dropping-particle":"","family":"Jiang","given":"Linda","non-dropping-particle":"","parse-names":false,"suffix":""},{"dropping-particle":"","family":"Wines","given":"Roberta","non-dropping-particle":"","parse-names":false,"suffix":""},{"dropping-particle":"","family":"Rains","given":"Caroline","non-dropping-particle":"","parse-names":false,"suffix":""},{"dropping-particle":"","family":"Viswanathan","given":"Meera","non-dropping-particle":"","parse-names":false,"suffix":""}],"id":"ITEM-1","issued":{"date-parts":[["2021","10","29"]]},"title":"Management of High-Need, High-Cost Patients: A “Best Fit” Framework Synthesis, Realist Review, and Systematic Review","type":"article-journal"}}],"schema":"https://github.com/citation-style-language/schema/raw/master/csl-citation.json"} </w:instrText>
      </w:r>
      <w:r>
        <w:rPr>
          <w:rFonts w:ascii="Arial" w:hAnsi="Arial" w:cs="Arial"/>
          <w:color w:val="000000" w:themeColor="text1"/>
          <w14:textFill>
            <w14:solidFill>
              <w14:schemeClr w14:val="tx1"/>
            </w14:solidFill>
          </w14:textFill>
        </w:rPr>
        <w:fldChar w:fldCharType="separate"/>
      </w:r>
      <w:r>
        <w:rPr>
          <w:rFonts w:ascii="Arial" w:hAnsi="Arial" w:cs="Arial"/>
          <w:color w:val="000000"/>
          <w:vertAlign w:val="superscript"/>
        </w:rPr>
        <w:t>5</w:t>
      </w:r>
      <w:r>
        <w:rPr>
          <w:rFonts w:ascii="Arial" w:hAnsi="Arial" w:cs="Arial"/>
          <w:color w:val="000000" w:themeColor="text1"/>
          <w14:textFill>
            <w14:solidFill>
              <w14:schemeClr w14:val="tx1"/>
            </w14:solidFill>
          </w14:textFill>
        </w:rPr>
        <w:fldChar w:fldCharType="end"/>
      </w:r>
      <w:r>
        <w:rPr>
          <w:rFonts w:ascii="Arial" w:hAnsi="Arial" w:cs="Arial"/>
          <w:color w:val="000000" w:themeColor="text1"/>
          <w14:textFill>
            <w14:solidFill>
              <w14:schemeClr w14:val="tx1"/>
            </w14:solidFill>
          </w14:textFill>
        </w:rPr>
        <w:t xml:space="preserve"> and moderate confidence data by Wong </w:t>
      </w:r>
      <w:r>
        <w:rPr>
          <w:rFonts w:ascii="Arial" w:hAnsi="Arial" w:cs="Arial"/>
          <w:i/>
          <w:iCs/>
          <w:color w:val="000000" w:themeColor="text1"/>
          <w14:textFill>
            <w14:solidFill>
              <w14:schemeClr w14:val="tx1"/>
            </w14:solidFill>
          </w14:textFill>
        </w:rPr>
        <w:t>et al</w:t>
      </w:r>
      <w:r>
        <w:rPr>
          <w:rFonts w:ascii="Arial" w:hAnsi="Arial" w:cs="Arial"/>
          <w:color w:val="000000" w:themeColor="text1"/>
          <w14:textFill>
            <w14:solidFill>
              <w14:schemeClr w14:val="tx1"/>
            </w14:solidFill>
          </w14:textFill>
        </w:rPr>
        <w:t xml:space="preserve"> </w:t>
      </w:r>
      <w:r>
        <w:rPr>
          <w:rFonts w:ascii="Arial" w:hAnsi="Arial" w:cs="Arial"/>
          <w:color w:val="000000" w:themeColor="text1"/>
          <w14:textFill>
            <w14:solidFill>
              <w14:schemeClr w14:val="tx1"/>
            </w14:solidFill>
          </w14:textFill>
        </w:rPr>
        <w:fldChar w:fldCharType="begin" w:fldLock="1"/>
      </w:r>
      <w:r>
        <w:rPr>
          <w:rFonts w:ascii="Arial" w:hAnsi="Arial" w:cs="Arial"/>
          <w:color w:val="000000" w:themeColor="text1"/>
          <w14:textFill>
            <w14:solidFill>
              <w14:schemeClr w14:val="tx1"/>
            </w14:solidFill>
          </w14:textFill>
        </w:rPr>
        <w:instrText xml:space="preserve"> ADDIN ZOTERO_ITEM CSL_CITATION {"citationID":"CUUVQjaL","properties":{"formattedCitation":"\\super 6\\nosupersub{}","plainCitation":"6","noteIndex":0},"citationItems":[{"id":"aC1IoIUI/UHILixRy","uris":["http://www.mendeley.com/documents/?uuid=fef9e930-5412-3ffd-8804-2bfd1db4801f"],"itemData":{"DOI":"10.1111/ACEM.13934","ISSN":"1553-2712","PMID":"32030836","abstract":"Background: Patients with chronic noncancer pain (CNCP) present unique challenges to emergency department (ED) care providers and administrators. Their conditions lead to frequent ED visits for pain relief and symptom management and are often poorly addressed with costly, low-yield care. A systematic review has not been performed to inform the management of frequent ED utilizing patients with CNCP. Therefore, we synthesized the available evidence on interventional strategies to improve care-associated outcomes for this patient group. Methods: We searched Medline, EMBASE, CINAHL, CENTRAL, SCOPUS, and Web of Science from database inception to June 2018 for eligible interventional studies aimed at reducing frequent ED utilization among adult patients with CNCP. Articles were assessed in duplicate in accordance with methodologic recommendations from the Cochrane Handbook for Systematic Reviews of Interventions. Outcomes of interest were the frequency of subsequent ED visits, type and amount of opioids administered in the ED and prescribed at discharge, and costs. Methodologic quality was assessed using the Cochrane Risk of Bias in Non-Randomized Studies of Interventions and Risk of Bias tools for nonrandomized and randomized studies, respectively. Results: Thirteen studies including 1,679 patients met the inclusion criteria. Identified interventions implemented pain policies (n = 4), individualized care plans (n = 5), ED care coordination (n = 2), chronic pain management pathways (n = 1), and behavioral health interventions (n = 1). All of the studies reported a decrease in ED visit frequency following their respective interventions. These reductions were especially pronounced in studies whose interventions were focused around individualized care plans and primary care involvement. Interventions implementing opioid restriction and pain management policies were largely successful in reducing the amounts of opioid medications administered and prescribed in the ED. Conclusions: Multifaceted interventions, especially those employing individualized care plans, can successfully reduce subsequent ED visits, ED opioid administration and prescription, and care-associated costs for frequent ED utilizing patients with CNCP.","author":[{"dropping-particle":"","family":"Wong","given":"Charles K.","non-dropping-particle":"","parse-names":false,"suffix":""},{"dropping-particle":"","family":"O'Rielly","given":"Connor M.","non-dropping-particle":"","parse-names":false,"suffix":""},{"dropping-particle":"","family":"Teitge","given":"Braden D.","non-dropping-particle":"","parse-names":false,"suffix":""},{"dropping-particle":"","family":"Sutherland","given":"Robert L.","non-dropping-particle":"","parse-names":false,"suffix":""},{"dropping-particle":"","family":"Farquharson","given":"Scott","non-dropping-particle":"","parse-names":false,"suffix":""},{"dropping-particle":"","family":"Ghosh","given":"Monty","non-dropping-particle":"","parse-names":false,"suffix":""},{"dropping-particle":"","family":"Robertson","given":"Helen L.","non-dropping-particle":"","parse-names":false,"suffix":""},{"dropping-particle":"","family":"Lang","given":"Eddy","non-dropping-particle":"","parse-names":false,"suffix":""}],"container-title":"Academic Emergency Medicine","id":"ITEM-1","issue":"8","issued":{"date-parts":[["2020","8","1"]]},"page":"742-752","publisher":"John Wiley &amp; Sons, Ltd","title":"The Characteristics and Effectiveness of Interventions for Frequent Emergency Department Utilizing Patients With Chronic Noncancer Pain: A Systematic Review","type":"article-journal","volume":"27"}}],"schema":"https://github.com/citation-style-language/schema/raw/master/csl-citation.json"} </w:instrText>
      </w:r>
      <w:r>
        <w:rPr>
          <w:rFonts w:ascii="Arial" w:hAnsi="Arial" w:cs="Arial"/>
          <w:color w:val="000000" w:themeColor="text1"/>
          <w14:textFill>
            <w14:solidFill>
              <w14:schemeClr w14:val="tx1"/>
            </w14:solidFill>
          </w14:textFill>
        </w:rPr>
        <w:fldChar w:fldCharType="separate"/>
      </w:r>
      <w:r>
        <w:rPr>
          <w:rFonts w:ascii="Arial" w:hAnsi="Arial" w:cs="Arial"/>
          <w:color w:val="000000"/>
          <w:vertAlign w:val="superscript"/>
        </w:rPr>
        <w:t>6</w:t>
      </w:r>
      <w:r>
        <w:rPr>
          <w:rFonts w:ascii="Arial" w:hAnsi="Arial" w:cs="Arial"/>
          <w:color w:val="000000" w:themeColor="text1"/>
          <w14:textFill>
            <w14:solidFill>
              <w14:schemeClr w14:val="tx1"/>
            </w14:solidFill>
          </w14:textFill>
        </w:rPr>
        <w:fldChar w:fldCharType="end"/>
      </w:r>
      <w:r>
        <w:rPr>
          <w:rFonts w:ascii="Arial" w:hAnsi="Arial" w:cs="Arial"/>
          <w:color w:val="000000" w:themeColor="text1"/>
          <w14:textFill>
            <w14:solidFill>
              <w14:schemeClr w14:val="tx1"/>
            </w14:solidFill>
          </w14:textFill>
        </w:rPr>
        <w:t>.</w:t>
      </w:r>
    </w:p>
    <w:p w14:paraId="578234DF">
      <w:pPr>
        <w:spacing w:line="480" w:lineRule="auto"/>
        <w:rPr>
          <w:rFonts w:ascii="Arial" w:hAnsi="Arial" w:cs="Arial"/>
          <w:color w:val="000000" w:themeColor="text1"/>
          <w14:textFill>
            <w14:solidFill>
              <w14:schemeClr w14:val="tx1"/>
            </w14:solidFill>
          </w14:textFill>
        </w:rPr>
      </w:pPr>
    </w:p>
    <w:p w14:paraId="3D750CA9">
      <w:pPr>
        <w:pStyle w:val="37"/>
        <w:rPr>
          <w:rFonts w:ascii="Arial" w:hAnsi="Arial" w:cs="Arial"/>
        </w:rPr>
      </w:pPr>
      <w:r>
        <w:rPr>
          <w:rFonts w:ascii="Arial" w:hAnsi="Arial" w:cs="Arial"/>
        </w:rPr>
        <w:fldChar w:fldCharType="begin"/>
      </w:r>
      <w:r>
        <w:rPr>
          <w:rFonts w:ascii="Arial" w:hAnsi="Arial" w:cs="Arial"/>
        </w:rPr>
        <w:instrText xml:space="preserve"> ADDIN ZOTERO_BIBL {"uncited":[],"omitted":[],"custom":[]} CSL_BIBLIOGRAPHY </w:instrText>
      </w:r>
      <w:r>
        <w:rPr>
          <w:rFonts w:ascii="Arial" w:hAnsi="Arial" w:cs="Arial"/>
        </w:rPr>
        <w:fldChar w:fldCharType="separate"/>
      </w:r>
      <w:r>
        <w:rPr>
          <w:rFonts w:ascii="Arial" w:hAnsi="Arial" w:cs="Arial"/>
        </w:rPr>
        <w:t>1.</w:t>
      </w:r>
      <w:r>
        <w:rPr>
          <w:rFonts w:ascii="Arial" w:hAnsi="Arial" w:cs="Arial"/>
        </w:rPr>
        <w:tab/>
      </w:r>
      <w:r>
        <w:rPr>
          <w:rFonts w:ascii="Arial" w:hAnsi="Arial" w:cs="Arial"/>
        </w:rPr>
        <w:t xml:space="preserve">Flynn, D. </w:t>
      </w:r>
      <w:r>
        <w:rPr>
          <w:rFonts w:ascii="Arial" w:hAnsi="Arial" w:cs="Arial"/>
          <w:i/>
          <w:iCs/>
        </w:rPr>
        <w:t>et al.</w:t>
      </w:r>
      <w:r>
        <w:rPr>
          <w:rFonts w:ascii="Arial" w:hAnsi="Arial" w:cs="Arial"/>
        </w:rPr>
        <w:t xml:space="preserve"> Engaging patients in health care decisions in the emergency department through shared decision-making: a systematic review. </w:t>
      </w:r>
      <w:r>
        <w:rPr>
          <w:rFonts w:ascii="Arial" w:hAnsi="Arial" w:cs="Arial"/>
          <w:i/>
          <w:iCs/>
        </w:rPr>
        <w:t>Acad. Emerg. Med. Off. J. Soc. Acad. Emerg. Med.</w:t>
      </w:r>
      <w:r>
        <w:rPr>
          <w:rFonts w:ascii="Arial" w:hAnsi="Arial" w:cs="Arial"/>
        </w:rPr>
        <w:t xml:space="preserve"> </w:t>
      </w:r>
      <w:r>
        <w:rPr>
          <w:rFonts w:ascii="Arial" w:hAnsi="Arial" w:cs="Arial"/>
          <w:b/>
          <w:bCs/>
        </w:rPr>
        <w:t>19</w:t>
      </w:r>
      <w:r>
        <w:rPr>
          <w:rFonts w:ascii="Arial" w:hAnsi="Arial" w:cs="Arial"/>
        </w:rPr>
        <w:t>, 959–967 (2012).</w:t>
      </w:r>
    </w:p>
    <w:p w14:paraId="4E7395AC">
      <w:pPr>
        <w:pStyle w:val="37"/>
        <w:rPr>
          <w:rFonts w:ascii="Arial" w:hAnsi="Arial" w:cs="Arial"/>
        </w:rPr>
      </w:pPr>
      <w:r>
        <w:rPr>
          <w:rFonts w:ascii="Arial" w:hAnsi="Arial" w:cs="Arial"/>
        </w:rPr>
        <w:t>2.</w:t>
      </w:r>
      <w:r>
        <w:rPr>
          <w:rFonts w:ascii="Arial" w:hAnsi="Arial" w:cs="Arial"/>
        </w:rPr>
        <w:tab/>
      </w:r>
      <w:r>
        <w:rPr>
          <w:rFonts w:ascii="Arial" w:hAnsi="Arial" w:cs="Arial"/>
        </w:rPr>
        <w:t xml:space="preserve">Hess, E. P. </w:t>
      </w:r>
      <w:r>
        <w:rPr>
          <w:rFonts w:ascii="Arial" w:hAnsi="Arial" w:cs="Arial"/>
          <w:i/>
          <w:iCs/>
        </w:rPr>
        <w:t>et al.</w:t>
      </w:r>
      <w:r>
        <w:rPr>
          <w:rFonts w:ascii="Arial" w:hAnsi="Arial" w:cs="Arial"/>
        </w:rPr>
        <w:t xml:space="preserve"> The Chest Pain Choice Decision Aid. </w:t>
      </w:r>
      <w:r>
        <w:rPr>
          <w:rFonts w:ascii="Arial" w:hAnsi="Arial" w:cs="Arial"/>
          <w:i/>
          <w:iCs/>
        </w:rPr>
        <w:t>Circ. Cardiovasc. Qual. Outcomes</w:t>
      </w:r>
      <w:r>
        <w:rPr>
          <w:rFonts w:ascii="Arial" w:hAnsi="Arial" w:cs="Arial"/>
        </w:rPr>
        <w:t xml:space="preserve"> </w:t>
      </w:r>
      <w:r>
        <w:rPr>
          <w:rFonts w:ascii="Arial" w:hAnsi="Arial" w:cs="Arial"/>
          <w:b/>
          <w:bCs/>
        </w:rPr>
        <w:t>5</w:t>
      </w:r>
      <w:r>
        <w:rPr>
          <w:rFonts w:ascii="Arial" w:hAnsi="Arial" w:cs="Arial"/>
        </w:rPr>
        <w:t>, 251–259 (2012).</w:t>
      </w:r>
    </w:p>
    <w:p w14:paraId="4341BF00">
      <w:pPr>
        <w:pStyle w:val="37"/>
        <w:rPr>
          <w:rFonts w:ascii="Arial" w:hAnsi="Arial" w:cs="Arial"/>
        </w:rPr>
      </w:pPr>
      <w:r>
        <w:rPr>
          <w:rFonts w:ascii="Arial" w:hAnsi="Arial" w:cs="Arial"/>
        </w:rPr>
        <w:t>3.</w:t>
      </w:r>
      <w:r>
        <w:rPr>
          <w:rFonts w:ascii="Arial" w:hAnsi="Arial" w:cs="Arial"/>
        </w:rPr>
        <w:tab/>
      </w:r>
      <w:r>
        <w:rPr>
          <w:rFonts w:ascii="Arial" w:hAnsi="Arial" w:cs="Arial"/>
        </w:rPr>
        <w:t xml:space="preserve">Kline, J. A. </w:t>
      </w:r>
      <w:r>
        <w:rPr>
          <w:rFonts w:ascii="Arial" w:hAnsi="Arial" w:cs="Arial"/>
          <w:i/>
          <w:iCs/>
        </w:rPr>
        <w:t>et al.</w:t>
      </w:r>
      <w:r>
        <w:rPr>
          <w:rFonts w:ascii="Arial" w:hAnsi="Arial" w:cs="Arial"/>
        </w:rPr>
        <w:t xml:space="preserve"> Pretest probability assessment derived from attribute matching. </w:t>
      </w:r>
      <w:r>
        <w:rPr>
          <w:rFonts w:ascii="Arial" w:hAnsi="Arial" w:cs="Arial"/>
          <w:i/>
          <w:iCs/>
        </w:rPr>
        <w:t>BMC Med. Inform. Decis. Mak.</w:t>
      </w:r>
      <w:r>
        <w:rPr>
          <w:rFonts w:ascii="Arial" w:hAnsi="Arial" w:cs="Arial"/>
        </w:rPr>
        <w:t xml:space="preserve"> </w:t>
      </w:r>
      <w:r>
        <w:rPr>
          <w:rFonts w:ascii="Arial" w:hAnsi="Arial" w:cs="Arial"/>
          <w:b/>
          <w:bCs/>
        </w:rPr>
        <w:t>5</w:t>
      </w:r>
      <w:r>
        <w:rPr>
          <w:rFonts w:ascii="Arial" w:hAnsi="Arial" w:cs="Arial"/>
        </w:rPr>
        <w:t>, 26 (2005).</w:t>
      </w:r>
    </w:p>
    <w:p w14:paraId="4C4942D5">
      <w:pPr>
        <w:pStyle w:val="37"/>
        <w:rPr>
          <w:rFonts w:ascii="Arial" w:hAnsi="Arial" w:cs="Arial"/>
        </w:rPr>
      </w:pPr>
      <w:r>
        <w:rPr>
          <w:rFonts w:ascii="Arial" w:hAnsi="Arial" w:cs="Arial"/>
        </w:rPr>
        <w:t>4.</w:t>
      </w:r>
      <w:r>
        <w:rPr>
          <w:rFonts w:ascii="Arial" w:hAnsi="Arial" w:cs="Arial"/>
        </w:rPr>
        <w:tab/>
      </w:r>
      <w:r>
        <w:rPr>
          <w:rFonts w:ascii="Arial" w:hAnsi="Arial" w:cs="Arial"/>
        </w:rPr>
        <w:t xml:space="preserve">Moe, J. </w:t>
      </w:r>
      <w:r>
        <w:rPr>
          <w:rFonts w:ascii="Arial" w:hAnsi="Arial" w:cs="Arial"/>
          <w:i/>
          <w:iCs/>
        </w:rPr>
        <w:t>et al.</w:t>
      </w:r>
      <w:r>
        <w:rPr>
          <w:rFonts w:ascii="Arial" w:hAnsi="Arial" w:cs="Arial"/>
        </w:rPr>
        <w:t xml:space="preserve"> Effectiveness of Interventions to Decrease Emergency Department Visits by Adult Frequent Users: A Systematic Review. </w:t>
      </w:r>
      <w:r>
        <w:rPr>
          <w:rFonts w:ascii="Arial" w:hAnsi="Arial" w:cs="Arial"/>
          <w:i/>
          <w:iCs/>
        </w:rPr>
        <w:t>Acad. Emerg. Med.</w:t>
      </w:r>
      <w:r>
        <w:rPr>
          <w:rFonts w:ascii="Arial" w:hAnsi="Arial" w:cs="Arial"/>
        </w:rPr>
        <w:t xml:space="preserve"> </w:t>
      </w:r>
      <w:r>
        <w:rPr>
          <w:rFonts w:ascii="Arial" w:hAnsi="Arial" w:cs="Arial"/>
          <w:b/>
          <w:bCs/>
        </w:rPr>
        <w:t>24</w:t>
      </w:r>
      <w:r>
        <w:rPr>
          <w:rFonts w:ascii="Arial" w:hAnsi="Arial" w:cs="Arial"/>
        </w:rPr>
        <w:t>, 40–52 (2017).</w:t>
      </w:r>
    </w:p>
    <w:p w14:paraId="3195CB6F">
      <w:pPr>
        <w:pStyle w:val="37"/>
        <w:rPr>
          <w:rFonts w:ascii="Arial" w:hAnsi="Arial" w:cs="Arial"/>
        </w:rPr>
      </w:pPr>
      <w:r>
        <w:rPr>
          <w:rFonts w:ascii="Arial" w:hAnsi="Arial" w:cs="Arial"/>
        </w:rPr>
        <w:t>5.</w:t>
      </w:r>
      <w:r>
        <w:rPr>
          <w:rFonts w:ascii="Arial" w:hAnsi="Arial" w:cs="Arial"/>
        </w:rPr>
        <w:tab/>
      </w:r>
      <w:r>
        <w:rPr>
          <w:rFonts w:ascii="Arial" w:hAnsi="Arial" w:cs="Arial"/>
        </w:rPr>
        <w:t xml:space="preserve">Berkman, N. D. </w:t>
      </w:r>
      <w:r>
        <w:rPr>
          <w:rFonts w:ascii="Arial" w:hAnsi="Arial" w:cs="Arial"/>
          <w:i/>
          <w:iCs/>
        </w:rPr>
        <w:t>et al.</w:t>
      </w:r>
      <w:r>
        <w:rPr>
          <w:rFonts w:ascii="Arial" w:hAnsi="Arial" w:cs="Arial"/>
        </w:rPr>
        <w:t xml:space="preserve"> Management of High-Need, High-Cost Patients: A “Best Fit” Framework Synthesis, Realist Review, and Systematic Review. (2021) doi:10.23970/AHRQEPCCER246.</w:t>
      </w:r>
    </w:p>
    <w:p w14:paraId="5AAA23EF">
      <w:pPr>
        <w:pStyle w:val="37"/>
        <w:rPr>
          <w:rFonts w:ascii="Arial" w:hAnsi="Arial" w:cs="Arial"/>
        </w:rPr>
      </w:pPr>
      <w:r>
        <w:rPr>
          <w:rFonts w:ascii="Arial" w:hAnsi="Arial" w:cs="Arial"/>
        </w:rPr>
        <w:t>6.</w:t>
      </w:r>
      <w:r>
        <w:rPr>
          <w:rFonts w:ascii="Arial" w:hAnsi="Arial" w:cs="Arial"/>
        </w:rPr>
        <w:tab/>
      </w:r>
      <w:r>
        <w:rPr>
          <w:rFonts w:ascii="Arial" w:hAnsi="Arial" w:cs="Arial"/>
        </w:rPr>
        <w:t xml:space="preserve">Wong, C. K. </w:t>
      </w:r>
      <w:r>
        <w:rPr>
          <w:rFonts w:ascii="Arial" w:hAnsi="Arial" w:cs="Arial"/>
          <w:i/>
          <w:iCs/>
        </w:rPr>
        <w:t>et al.</w:t>
      </w:r>
      <w:r>
        <w:rPr>
          <w:rFonts w:ascii="Arial" w:hAnsi="Arial" w:cs="Arial"/>
        </w:rPr>
        <w:t xml:space="preserve"> The Characteristics and Effectiveness of Interventions for Frequent Emergency Department Utilizing Patients With Chronic Noncancer Pain: A Systematic Review. </w:t>
      </w:r>
      <w:r>
        <w:rPr>
          <w:rFonts w:ascii="Arial" w:hAnsi="Arial" w:cs="Arial"/>
          <w:i/>
          <w:iCs/>
        </w:rPr>
        <w:t>Acad. Emerg. Med.</w:t>
      </w:r>
      <w:r>
        <w:rPr>
          <w:rFonts w:ascii="Arial" w:hAnsi="Arial" w:cs="Arial"/>
        </w:rPr>
        <w:t xml:space="preserve"> </w:t>
      </w:r>
      <w:r>
        <w:rPr>
          <w:rFonts w:ascii="Arial" w:hAnsi="Arial" w:cs="Arial"/>
          <w:b/>
          <w:bCs/>
        </w:rPr>
        <w:t>27</w:t>
      </w:r>
      <w:r>
        <w:rPr>
          <w:rFonts w:ascii="Arial" w:hAnsi="Arial" w:cs="Arial"/>
        </w:rPr>
        <w:t>, 742–752 (2020).</w:t>
      </w:r>
    </w:p>
    <w:p w14:paraId="0F052850">
      <w:pPr>
        <w:rPr>
          <w:rFonts w:ascii="Arial" w:hAnsi="Arial" w:cs="Arial"/>
        </w:rPr>
      </w:pPr>
      <w:r>
        <w:rPr>
          <w:rFonts w:ascii="Arial" w:hAnsi="Arial" w:cs="Arial"/>
        </w:rPr>
        <w:fldChar w:fldCharType="end"/>
      </w: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Arial">
    <w:panose1 w:val="020B0604020202090204"/>
    <w:charset w:val="00"/>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6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panose1 w:val="020F0702030404030204"/>
    <w:charset w:val="00"/>
    <w:family w:val="swiss"/>
    <w:pitch w:val="default"/>
    <w:sig w:usb0="E10002FF" w:usb1="4000ACFF" w:usb2="00000009" w:usb3="00000000" w:csb0="2000019F" w:csb1="00000000"/>
  </w:font>
  <w:font w:name="Aptos">
    <w:altName w:val="宋体-简"/>
    <w:panose1 w:val="020B0004020202020204"/>
    <w:charset w:val="86"/>
    <w:family w:val="swiss"/>
    <w:pitch w:val="default"/>
    <w:sig w:usb0="00000000" w:usb1="00000000" w:usb2="00000000" w:usb3="00000000" w:csb0="0000019F" w:csb1="00000000"/>
  </w:font>
  <w:font w:name="Aptos">
    <w:altName w:val="苹方-简"/>
    <w:panose1 w:val="00000000000000000000"/>
    <w:charset w:val="00"/>
    <w:family w:val="auto"/>
    <w:pitch w:val="default"/>
    <w:sig w:usb0="00000000" w:usb1="00000000" w:usb2="00000000" w:usb3="00000000" w:csb0="00000000" w:csb1="00000000"/>
  </w:font>
  <w:font w:name="Aptos Display">
    <w:altName w:val="苹方-简"/>
    <w:panose1 w:val="020B0004020202020204"/>
    <w:charset w:val="00"/>
    <w:family w:val="swiss"/>
    <w:pitch w:val="default"/>
    <w:sig w:usb0="00000000" w:usb1="00000000" w:usb2="00000000" w:usb3="00000000" w:csb0="0000019F" w:csb1="00000000"/>
  </w:font>
  <w:font w:name="等线 Light">
    <w:altName w:val="宋体-简"/>
    <w:panose1 w:val="00000000000000000000"/>
    <w:charset w:val="00"/>
    <w:family w:val="auto"/>
    <w:pitch w:val="default"/>
    <w:sig w:usb0="00000000" w:usb1="00000000" w:usb2="00000000" w:usb3="00000000" w:csb0="00000000" w:csb1="00000000"/>
  </w:font>
  <w:font w:name="苹方-简">
    <w:altName w:val="Times New Roman"/>
    <w:panose1 w:val="020B0600000000000000"/>
    <w:charset w:val="00"/>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6D3"/>
    <w:rsid w:val="00037A90"/>
    <w:rsid w:val="00074C44"/>
    <w:rsid w:val="000A663F"/>
    <w:rsid w:val="000B1788"/>
    <w:rsid w:val="00111898"/>
    <w:rsid w:val="00115B24"/>
    <w:rsid w:val="002671D9"/>
    <w:rsid w:val="0027475F"/>
    <w:rsid w:val="002E3E4E"/>
    <w:rsid w:val="002E630F"/>
    <w:rsid w:val="002F399F"/>
    <w:rsid w:val="002F5383"/>
    <w:rsid w:val="002F53BA"/>
    <w:rsid w:val="00314E85"/>
    <w:rsid w:val="00326B2D"/>
    <w:rsid w:val="00362815"/>
    <w:rsid w:val="003709A8"/>
    <w:rsid w:val="003976D3"/>
    <w:rsid w:val="003A44EC"/>
    <w:rsid w:val="0040648C"/>
    <w:rsid w:val="004751E4"/>
    <w:rsid w:val="00490D26"/>
    <w:rsid w:val="004C3BB7"/>
    <w:rsid w:val="004C439E"/>
    <w:rsid w:val="005704B6"/>
    <w:rsid w:val="00606DBC"/>
    <w:rsid w:val="006136D6"/>
    <w:rsid w:val="00632BE9"/>
    <w:rsid w:val="00681FB3"/>
    <w:rsid w:val="006A4726"/>
    <w:rsid w:val="006A64BE"/>
    <w:rsid w:val="006B132F"/>
    <w:rsid w:val="006D3EB4"/>
    <w:rsid w:val="006E5838"/>
    <w:rsid w:val="006F398E"/>
    <w:rsid w:val="00707AA2"/>
    <w:rsid w:val="00712E3B"/>
    <w:rsid w:val="007440F6"/>
    <w:rsid w:val="00773191"/>
    <w:rsid w:val="00823105"/>
    <w:rsid w:val="00831925"/>
    <w:rsid w:val="008760C6"/>
    <w:rsid w:val="0088269B"/>
    <w:rsid w:val="00893B01"/>
    <w:rsid w:val="00956633"/>
    <w:rsid w:val="00992AFD"/>
    <w:rsid w:val="009E4F8D"/>
    <w:rsid w:val="009E5B8D"/>
    <w:rsid w:val="00A12183"/>
    <w:rsid w:val="00A2757B"/>
    <w:rsid w:val="00A651D6"/>
    <w:rsid w:val="00A65868"/>
    <w:rsid w:val="00AD2765"/>
    <w:rsid w:val="00B23618"/>
    <w:rsid w:val="00B30C3C"/>
    <w:rsid w:val="00B53E08"/>
    <w:rsid w:val="00B9275A"/>
    <w:rsid w:val="00BD468F"/>
    <w:rsid w:val="00BE684E"/>
    <w:rsid w:val="00C12744"/>
    <w:rsid w:val="00C34842"/>
    <w:rsid w:val="00C42C4C"/>
    <w:rsid w:val="00C6189E"/>
    <w:rsid w:val="00C93171"/>
    <w:rsid w:val="00CE3035"/>
    <w:rsid w:val="00D02CCD"/>
    <w:rsid w:val="00D46E4E"/>
    <w:rsid w:val="00D80C3A"/>
    <w:rsid w:val="00D850C5"/>
    <w:rsid w:val="00D85EF1"/>
    <w:rsid w:val="00DE10A1"/>
    <w:rsid w:val="00E122BF"/>
    <w:rsid w:val="00E13D75"/>
    <w:rsid w:val="00E56AC8"/>
    <w:rsid w:val="00EB0E4E"/>
    <w:rsid w:val="00F07E58"/>
    <w:rsid w:val="00F10864"/>
    <w:rsid w:val="00F54B7A"/>
    <w:rsid w:val="00F728F7"/>
    <w:rsid w:val="00FA31AB"/>
    <w:rsid w:val="00FB36B2"/>
    <w:rsid w:val="00FB3CF8"/>
    <w:rsid w:val="7D79F17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kern w:val="0"/>
      <w:sz w:val="24"/>
      <w:szCs w:val="24"/>
      <w:lang w:val="en-GB" w:eastAsia="en-GB" w:bidi="ar-SA"/>
      <w14:ligatures w14:val="none"/>
    </w:rPr>
  </w:style>
  <w:style w:type="paragraph" w:styleId="2">
    <w:name w:val="heading 1"/>
    <w:basedOn w:val="1"/>
    <w:next w:val="1"/>
    <w:link w:val="18"/>
    <w:autoRedefine/>
    <w:qFormat/>
    <w:uiPriority w:val="9"/>
    <w:pPr>
      <w:keepNext/>
      <w:keepLines/>
      <w:pBdr>
        <w:top w:val="none" w:color="auto" w:sz="0" w:space="0"/>
        <w:left w:val="none" w:color="auto" w:sz="0" w:space="0"/>
        <w:bottom w:val="none" w:color="auto" w:sz="0" w:space="0"/>
        <w:right w:val="none" w:color="auto" w:sz="0" w:space="0"/>
        <w:between w:val="none" w:color="auto" w:sz="0" w:space="0"/>
      </w:pBdr>
      <w:spacing w:before="240" w:after="120"/>
      <w:outlineLvl w:val="0"/>
    </w:pPr>
    <w:rPr>
      <w:rFonts w:asciiTheme="majorHAnsi" w:hAnsiTheme="majorHAnsi" w:eastAsiaTheme="majorEastAsia" w:cstheme="majorBidi"/>
      <w:color w:val="104862" w:themeColor="accent1" w:themeShade="BF"/>
      <w:kern w:val="2"/>
      <w:sz w:val="32"/>
      <w:szCs w:val="32"/>
      <w:lang w:eastAsia="en-US"/>
      <w14:ligatures w14:val="standardContextual"/>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kern w:val="2"/>
      <w:sz w:val="32"/>
      <w:szCs w:val="32"/>
      <w:lang w:eastAsia="en-US"/>
      <w14:ligatures w14:val="standardContextual"/>
    </w:rPr>
  </w:style>
  <w:style w:type="paragraph" w:styleId="4">
    <w:name w:val="heading 3"/>
    <w:basedOn w:val="1"/>
    <w:next w:val="1"/>
    <w:link w:val="20"/>
    <w:semiHidden/>
    <w:unhideWhenUsed/>
    <w:qFormat/>
    <w:uiPriority w:val="9"/>
    <w:pPr>
      <w:keepNext/>
      <w:keepLines/>
      <w:spacing w:before="160" w:after="80"/>
      <w:outlineLvl w:val="2"/>
    </w:pPr>
    <w:rPr>
      <w:rFonts w:asciiTheme="minorHAnsi" w:hAnsiTheme="minorHAnsi" w:eastAsiaTheme="majorEastAsia" w:cstheme="majorBidi"/>
      <w:color w:val="104862" w:themeColor="accent1" w:themeShade="BF"/>
      <w:kern w:val="2"/>
      <w:sz w:val="28"/>
      <w:szCs w:val="28"/>
      <w:lang w:eastAsia="en-US"/>
      <w14:ligatures w14:val="standardContextual"/>
    </w:rPr>
  </w:style>
  <w:style w:type="paragraph" w:styleId="5">
    <w:name w:val="heading 4"/>
    <w:basedOn w:val="1"/>
    <w:next w:val="1"/>
    <w:link w:val="21"/>
    <w:semiHidden/>
    <w:unhideWhenUsed/>
    <w:qFormat/>
    <w:uiPriority w:val="9"/>
    <w:pPr>
      <w:keepNext/>
      <w:keepLines/>
      <w:spacing w:before="80" w:after="40"/>
      <w:outlineLvl w:val="3"/>
    </w:pPr>
    <w:rPr>
      <w:rFonts w:asciiTheme="minorHAnsi" w:hAnsiTheme="minorHAnsi" w:eastAsiaTheme="majorEastAsia" w:cstheme="majorBidi"/>
      <w:i/>
      <w:iCs/>
      <w:color w:val="104862" w:themeColor="accent1" w:themeShade="BF"/>
      <w:kern w:val="2"/>
      <w:lang w:eastAsia="en-US"/>
      <w14:ligatures w14:val="standardContextual"/>
    </w:rPr>
  </w:style>
  <w:style w:type="paragraph" w:styleId="6">
    <w:name w:val="heading 5"/>
    <w:basedOn w:val="1"/>
    <w:next w:val="1"/>
    <w:link w:val="22"/>
    <w:semiHidden/>
    <w:unhideWhenUsed/>
    <w:qFormat/>
    <w:uiPriority w:val="9"/>
    <w:pPr>
      <w:keepNext/>
      <w:keepLines/>
      <w:spacing w:before="80" w:after="40"/>
      <w:outlineLvl w:val="4"/>
    </w:pPr>
    <w:rPr>
      <w:rFonts w:asciiTheme="minorHAnsi" w:hAnsiTheme="minorHAnsi" w:eastAsiaTheme="majorEastAsia" w:cstheme="majorBidi"/>
      <w:color w:val="104862" w:themeColor="accent1" w:themeShade="BF"/>
      <w:kern w:val="2"/>
      <w:lang w:eastAsia="en-US"/>
      <w14:ligatures w14:val="standardContextual"/>
    </w:rPr>
  </w:style>
  <w:style w:type="paragraph" w:styleId="7">
    <w:name w:val="heading 6"/>
    <w:basedOn w:val="1"/>
    <w:next w:val="1"/>
    <w:link w:val="23"/>
    <w:semiHidden/>
    <w:unhideWhenUsed/>
    <w:qFormat/>
    <w:uiPriority w:val="9"/>
    <w:pPr>
      <w:keepNext/>
      <w:keepLines/>
      <w:spacing w:before="40"/>
      <w:outlineLvl w:val="5"/>
    </w:pPr>
    <w:rPr>
      <w:rFonts w:asciiTheme="minorHAnsi" w:hAnsiTheme="minorHAnsi" w:eastAsiaTheme="majorEastAsia" w:cstheme="majorBidi"/>
      <w:i/>
      <w:iCs/>
      <w:color w:val="595959" w:themeColor="text1" w:themeTint="A6"/>
      <w:kern w:val="2"/>
      <w:lang w:eastAsia="en-US"/>
      <w14:textFill>
        <w14:solidFill>
          <w14:schemeClr w14:val="tx1">
            <w14:lumMod w14:val="65000"/>
            <w14:lumOff w14:val="35000"/>
          </w14:schemeClr>
        </w14:solidFill>
      </w14:textFill>
      <w14:ligatures w14:val="standardContextual"/>
    </w:rPr>
  </w:style>
  <w:style w:type="paragraph" w:styleId="8">
    <w:name w:val="heading 7"/>
    <w:basedOn w:val="1"/>
    <w:next w:val="1"/>
    <w:link w:val="24"/>
    <w:semiHidden/>
    <w:unhideWhenUsed/>
    <w:qFormat/>
    <w:uiPriority w:val="9"/>
    <w:pPr>
      <w:keepNext/>
      <w:keepLines/>
      <w:spacing w:before="40"/>
      <w:outlineLvl w:val="6"/>
    </w:pPr>
    <w:rPr>
      <w:rFonts w:asciiTheme="minorHAnsi" w:hAnsiTheme="minorHAnsi" w:eastAsiaTheme="majorEastAsia" w:cstheme="majorBidi"/>
      <w:color w:val="595959" w:themeColor="text1" w:themeTint="A6"/>
      <w:kern w:val="2"/>
      <w:lang w:eastAsia="en-US"/>
      <w14:textFill>
        <w14:solidFill>
          <w14:schemeClr w14:val="tx1">
            <w14:lumMod w14:val="65000"/>
            <w14:lumOff w14:val="35000"/>
          </w14:schemeClr>
        </w14:solidFill>
      </w14:textFill>
      <w14:ligatures w14:val="standardContextual"/>
    </w:rPr>
  </w:style>
  <w:style w:type="paragraph" w:styleId="9">
    <w:name w:val="heading 8"/>
    <w:basedOn w:val="1"/>
    <w:next w:val="1"/>
    <w:link w:val="25"/>
    <w:semiHidden/>
    <w:unhideWhenUsed/>
    <w:qFormat/>
    <w:uiPriority w:val="9"/>
    <w:pPr>
      <w:keepNext/>
      <w:keepLines/>
      <w:outlineLvl w:val="7"/>
    </w:pPr>
    <w:rPr>
      <w:rFonts w:asciiTheme="minorHAnsi" w:hAnsiTheme="minorHAnsi" w:eastAsiaTheme="majorEastAsia" w:cstheme="majorBidi"/>
      <w:i/>
      <w:iCs/>
      <w:color w:val="262626" w:themeColor="text1" w:themeTint="D9"/>
      <w:kern w:val="2"/>
      <w:lang w:eastAsia="en-US"/>
      <w14:textFill>
        <w14:solidFill>
          <w14:schemeClr w14:val="tx1">
            <w14:lumMod w14:val="85000"/>
            <w14:lumOff w14:val="15000"/>
          </w14:schemeClr>
        </w14:solidFill>
      </w14:textFill>
      <w14:ligatures w14:val="standardContextual"/>
    </w:rPr>
  </w:style>
  <w:style w:type="paragraph" w:styleId="10">
    <w:name w:val="heading 9"/>
    <w:basedOn w:val="1"/>
    <w:next w:val="1"/>
    <w:link w:val="26"/>
    <w:semiHidden/>
    <w:unhideWhenUsed/>
    <w:qFormat/>
    <w:uiPriority w:val="9"/>
    <w:pPr>
      <w:keepNext/>
      <w:keepLines/>
      <w:outlineLvl w:val="8"/>
    </w:pPr>
    <w:rPr>
      <w:rFonts w:asciiTheme="minorHAnsi" w:hAnsiTheme="minorHAnsi" w:eastAsiaTheme="majorEastAsia" w:cstheme="majorBidi"/>
      <w:color w:val="262626" w:themeColor="text1" w:themeTint="D9"/>
      <w:kern w:val="2"/>
      <w:lang w:eastAsia="en-US"/>
      <w14:textFill>
        <w14:solidFill>
          <w14:schemeClr w14:val="tx1">
            <w14:lumMod w14:val="85000"/>
            <w14:lumOff w14:val="15000"/>
          </w14:schemeClr>
        </w14:solidFill>
      </w14:textFill>
      <w14:ligatures w14:val="standardContextua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character" w:styleId="13">
    <w:name w:val="annotation reference"/>
    <w:basedOn w:val="11"/>
    <w:semiHidden/>
    <w:unhideWhenUsed/>
    <w:uiPriority w:val="99"/>
    <w:rPr>
      <w:sz w:val="16"/>
      <w:szCs w:val="16"/>
    </w:rPr>
  </w:style>
  <w:style w:type="paragraph" w:styleId="14">
    <w:name w:val="annotation text"/>
    <w:basedOn w:val="1"/>
    <w:link w:val="36"/>
    <w:semiHidden/>
    <w:unhideWhenUsed/>
    <w:uiPriority w:val="99"/>
    <w:rPr>
      <w:sz w:val="20"/>
      <w:szCs w:val="20"/>
    </w:rPr>
  </w:style>
  <w:style w:type="character" w:styleId="15">
    <w:name w:val="Hyperlink"/>
    <w:basedOn w:val="11"/>
    <w:unhideWhenUsed/>
    <w:uiPriority w:val="99"/>
    <w:rPr>
      <w:color w:val="0563C1"/>
      <w:u w:val="single"/>
    </w:rPr>
  </w:style>
  <w:style w:type="paragraph" w:styleId="16">
    <w:name w:val="Subtitle"/>
    <w:basedOn w:val="1"/>
    <w:next w:val="1"/>
    <w:link w:val="28"/>
    <w:qFormat/>
    <w:uiPriority w:val="11"/>
    <w:pPr>
      <w:spacing w:after="160"/>
    </w:pPr>
    <w:rPr>
      <w:rFonts w:asciiTheme="minorHAnsi" w:hAnsiTheme="minorHAnsi" w:eastAsiaTheme="majorEastAsia" w:cstheme="majorBidi"/>
      <w:color w:val="595959" w:themeColor="text1" w:themeTint="A6"/>
      <w:spacing w:val="15"/>
      <w:kern w:val="2"/>
      <w:sz w:val="28"/>
      <w:szCs w:val="28"/>
      <w:lang w:eastAsia="en-US"/>
      <w14:textFill>
        <w14:solidFill>
          <w14:schemeClr w14:val="tx1">
            <w14:lumMod w14:val="65000"/>
            <w14:lumOff w14:val="35000"/>
          </w14:schemeClr>
        </w14:solidFill>
      </w14:textFill>
      <w14:ligatures w14:val="standardContextual"/>
    </w:rPr>
  </w:style>
  <w:style w:type="paragraph" w:styleId="17">
    <w:name w:val="Title"/>
    <w:basedOn w:val="1"/>
    <w:next w:val="1"/>
    <w:link w:val="27"/>
    <w:qFormat/>
    <w:uiPriority w:val="10"/>
    <w:pPr>
      <w:spacing w:after="80"/>
      <w:contextualSpacing/>
    </w:pPr>
    <w:rPr>
      <w:rFonts w:asciiTheme="majorHAnsi" w:hAnsiTheme="majorHAnsi" w:eastAsiaTheme="majorEastAsia" w:cstheme="majorBidi"/>
      <w:spacing w:val="-10"/>
      <w:kern w:val="28"/>
      <w:sz w:val="56"/>
      <w:szCs w:val="56"/>
      <w:lang w:eastAsia="en-US"/>
      <w14:ligatures w14:val="standardContextual"/>
    </w:rPr>
  </w:style>
  <w:style w:type="character" w:customStyle="1" w:styleId="18">
    <w:name w:val="Heading 1 Char"/>
    <w:basedOn w:val="11"/>
    <w:link w:val="2"/>
    <w:uiPriority w:val="9"/>
    <w:rPr>
      <w:rFonts w:asciiTheme="majorHAnsi" w:hAnsiTheme="majorHAnsi" w:eastAsiaTheme="majorEastAsia" w:cstheme="majorBidi"/>
      <w:color w:val="104862" w:themeColor="accent1" w:themeShade="BF"/>
      <w:sz w:val="32"/>
      <w:szCs w:val="32"/>
    </w:rPr>
  </w:style>
  <w:style w:type="character" w:customStyle="1" w:styleId="19">
    <w:name w:val="Heading 2 Char"/>
    <w:basedOn w:val="11"/>
    <w:link w:val="3"/>
    <w:semiHidden/>
    <w:uiPriority w:val="9"/>
    <w:rPr>
      <w:rFonts w:asciiTheme="majorHAnsi" w:hAnsiTheme="majorHAnsi" w:eastAsiaTheme="majorEastAsia" w:cstheme="majorBidi"/>
      <w:color w:val="104862" w:themeColor="accent1" w:themeShade="BF"/>
      <w:sz w:val="32"/>
      <w:szCs w:val="32"/>
    </w:rPr>
  </w:style>
  <w:style w:type="character" w:customStyle="1" w:styleId="20">
    <w:name w:val="Heading 3 Char"/>
    <w:basedOn w:val="11"/>
    <w:link w:val="4"/>
    <w:semiHidden/>
    <w:uiPriority w:val="9"/>
    <w:rPr>
      <w:rFonts w:eastAsiaTheme="majorEastAsia" w:cstheme="majorBidi"/>
      <w:color w:val="104862" w:themeColor="accent1" w:themeShade="BF"/>
      <w:sz w:val="28"/>
      <w:szCs w:val="28"/>
    </w:rPr>
  </w:style>
  <w:style w:type="character" w:customStyle="1" w:styleId="21">
    <w:name w:val="Heading 4 Char"/>
    <w:basedOn w:val="11"/>
    <w:link w:val="5"/>
    <w:semiHidden/>
    <w:uiPriority w:val="9"/>
    <w:rPr>
      <w:rFonts w:eastAsiaTheme="majorEastAsia" w:cstheme="majorBidi"/>
      <w:i/>
      <w:iCs/>
      <w:color w:val="104862" w:themeColor="accent1" w:themeShade="BF"/>
    </w:rPr>
  </w:style>
  <w:style w:type="character" w:customStyle="1" w:styleId="22">
    <w:name w:val="Heading 5 Char"/>
    <w:basedOn w:val="11"/>
    <w:link w:val="6"/>
    <w:semiHidden/>
    <w:uiPriority w:val="9"/>
    <w:rPr>
      <w:rFonts w:eastAsiaTheme="majorEastAsia" w:cstheme="majorBidi"/>
      <w:color w:val="104862" w:themeColor="accent1" w:themeShade="BF"/>
    </w:rPr>
  </w:style>
  <w:style w:type="character" w:customStyle="1" w:styleId="23">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Title Char"/>
    <w:basedOn w:val="11"/>
    <w:link w:val="17"/>
    <w:uiPriority w:val="10"/>
    <w:rPr>
      <w:rFonts w:asciiTheme="majorHAnsi" w:hAnsiTheme="majorHAnsi" w:eastAsiaTheme="majorEastAsia" w:cstheme="majorBidi"/>
      <w:spacing w:val="-10"/>
      <w:kern w:val="28"/>
      <w:sz w:val="56"/>
      <w:szCs w:val="56"/>
    </w:rPr>
  </w:style>
  <w:style w:type="character" w:customStyle="1" w:styleId="28">
    <w:name w:val="Subtitle Char"/>
    <w:basedOn w:val="11"/>
    <w:link w:val="16"/>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rFonts w:asciiTheme="minorHAnsi" w:hAnsiTheme="minorHAnsi" w:eastAsiaTheme="minorHAnsi" w:cstheme="minorBidi"/>
      <w:i/>
      <w:iCs/>
      <w:color w:val="404040" w:themeColor="text1" w:themeTint="BF"/>
      <w:kern w:val="2"/>
      <w:lang w:eastAsia="en-US"/>
      <w14:textFill>
        <w14:solidFill>
          <w14:schemeClr w14:val="tx1">
            <w14:lumMod w14:val="75000"/>
            <w14:lumOff w14:val="25000"/>
          </w14:schemeClr>
        </w14:solidFill>
      </w14:textFill>
      <w14:ligatures w14:val="standardContextual"/>
    </w:rPr>
  </w:style>
  <w:style w:type="character" w:customStyle="1" w:styleId="30">
    <w:name w:val="Quote Char"/>
    <w:basedOn w:val="11"/>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rPr>
      <w:rFonts w:asciiTheme="minorHAnsi" w:hAnsiTheme="minorHAnsi" w:eastAsiaTheme="minorHAnsi" w:cstheme="minorBidi"/>
      <w:kern w:val="2"/>
      <w:lang w:eastAsia="en-US"/>
      <w14:ligatures w14:val="standardContextual"/>
    </w:rPr>
  </w:style>
  <w:style w:type="character" w:customStyle="1" w:styleId="32">
    <w:name w:val="Intense Emphasis"/>
    <w:basedOn w:val="11"/>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rFonts w:asciiTheme="minorHAnsi" w:hAnsiTheme="minorHAnsi" w:eastAsiaTheme="minorHAnsi" w:cstheme="minorBidi"/>
      <w:i/>
      <w:iCs/>
      <w:color w:val="104862" w:themeColor="accent1" w:themeShade="BF"/>
      <w:kern w:val="2"/>
      <w:lang w:eastAsia="en-US"/>
      <w14:ligatures w14:val="standardContextual"/>
    </w:rPr>
  </w:style>
  <w:style w:type="character" w:customStyle="1" w:styleId="34">
    <w:name w:val="Intense Quote Char"/>
    <w:basedOn w:val="11"/>
    <w:link w:val="33"/>
    <w:uiPriority w:val="30"/>
    <w:rPr>
      <w:i/>
      <w:iCs/>
      <w:color w:val="104862" w:themeColor="accent1" w:themeShade="BF"/>
    </w:rPr>
  </w:style>
  <w:style w:type="character" w:customStyle="1" w:styleId="35">
    <w:name w:val="Intense Reference"/>
    <w:basedOn w:val="11"/>
    <w:qFormat/>
    <w:uiPriority w:val="32"/>
    <w:rPr>
      <w:b/>
      <w:bCs/>
      <w:smallCaps/>
      <w:color w:val="104862" w:themeColor="accent1" w:themeShade="BF"/>
      <w:spacing w:val="5"/>
    </w:rPr>
  </w:style>
  <w:style w:type="character" w:customStyle="1" w:styleId="36">
    <w:name w:val="Comment Text Char"/>
    <w:basedOn w:val="11"/>
    <w:link w:val="14"/>
    <w:semiHidden/>
    <w:uiPriority w:val="99"/>
    <w:rPr>
      <w:rFonts w:ascii="Times New Roman" w:hAnsi="Times New Roman" w:eastAsia="Times New Roman" w:cs="Times New Roman"/>
      <w:kern w:val="0"/>
      <w:sz w:val="20"/>
      <w:szCs w:val="20"/>
      <w:lang w:eastAsia="en-GB"/>
      <w14:ligatures w14:val="none"/>
    </w:rPr>
  </w:style>
  <w:style w:type="paragraph" w:customStyle="1" w:styleId="37">
    <w:name w:val="Bibliography"/>
    <w:basedOn w:val="1"/>
    <w:next w:val="1"/>
    <w:unhideWhenUsed/>
    <w:uiPriority w:val="37"/>
    <w:pPr>
      <w:tabs>
        <w:tab w:val="left" w:pos="260"/>
      </w:tabs>
      <w:spacing w:line="480" w:lineRule="auto"/>
      <w:ind w:left="264" w:hanging="264"/>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2775</Words>
  <Characters>15819</Characters>
  <Lines>131</Lines>
  <Paragraphs>37</Paragraphs>
  <TotalTime>0</TotalTime>
  <ScaleCrop>false</ScaleCrop>
  <LinksUpToDate>false</LinksUpToDate>
  <CharactersWithSpaces>18557</CharactersWithSpaces>
  <Application>WPS Office_6.10.2.8397_F1E327BC-269C-435d-A152-05C5408002CA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2025-02-05T14:26:00Z</dcterms:created>
  <dc:creator>Thomas Roberts</dc:creator>
  <cp:lastModifiedBy>WPS_1660052749</cp:lastModifiedBy>
  <dcterms:modified xsi:type="dcterms:W3CDTF">2025-02-05T14:30:31Z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id="aC1IoIUI"/&gt;&lt;style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y fmtid="{D5CDD505-2E9C-101B-9397-08002B2CF9AE}" pid="4" name="KSOProductBuildVer">
    <vt:lpwstr>1033-6.10.2.8397</vt:lpwstr>
  </property>
  <property fmtid="{D5CDD505-2E9C-101B-9397-08002B2CF9AE}" pid="5" name="ICV">
    <vt:lpwstr>244675DFDEA9D4AE0776A367DE9B0833_42</vt:lpwstr>
  </property>
</Properties>
</file>