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1B000">
      <w:pPr>
        <w:spacing w:line="480" w:lineRule="auto"/>
        <w:rPr>
          <w:rFonts w:ascii="Arial" w:hAnsi="Arial" w:cs="Arial"/>
          <w:b/>
          <w:bCs/>
          <w:color w:val="000000" w:themeColor="text1"/>
          <w:u w:val="single"/>
          <w14:textFill>
            <w14:solidFill>
              <w14:schemeClr w14:val="tx1"/>
            </w14:solidFill>
          </w14:textFill>
        </w:rPr>
      </w:pPr>
      <w:bookmarkStart w:id="0" w:name="_GoBack"/>
      <w:r>
        <w:rPr>
          <w:rFonts w:ascii="Arial" w:hAnsi="Arial" w:cs="Arial"/>
          <w:b/>
          <w:bCs/>
          <w:i/>
          <w:iCs/>
          <w:color w:val="000000" w:themeColor="text1"/>
          <w:u w:val="single"/>
          <w14:textFill>
            <w14:solidFill>
              <w14:schemeClr w14:val="tx1"/>
            </w14:solidFill>
          </w14:textFill>
        </w:rPr>
        <w:t xml:space="preserve">Outcome 2c - </w:t>
      </w:r>
      <w:r>
        <w:rPr>
          <w:rFonts w:ascii="Arial" w:hAnsi="Arial" w:cs="Arial"/>
          <w:b/>
          <w:bCs/>
          <w:color w:val="000000" w:themeColor="text1"/>
          <w:u w:val="single"/>
          <w14:textFill>
            <w14:solidFill>
              <w14:schemeClr w14:val="tx1"/>
            </w14:solidFill>
          </w14:textFill>
        </w:rPr>
        <w:t>Interventions that increased scheduled healthcare resource as their aim</w:t>
      </w:r>
    </w:p>
    <w:bookmarkEnd w:id="0"/>
    <w:p w14:paraId="7A805FD5">
      <w:pPr>
        <w:spacing w:line="480" w:lineRule="auto"/>
        <w:rPr>
          <w:rFonts w:ascii="Arial" w:hAnsi="Arial" w:cs="Arial"/>
          <w:color w:val="000000" w:themeColor="text1"/>
          <w:u w:val="single"/>
          <w14:textFill>
            <w14:solidFill>
              <w14:schemeClr w14:val="tx1"/>
            </w14:solidFill>
          </w14:textFill>
        </w:rPr>
      </w:pPr>
    </w:p>
    <w:p w14:paraId="1160D327">
      <w:pPr>
        <w:spacing w:line="480" w:lineRule="auto"/>
        <w:rPr>
          <w:rFonts w:ascii="Arial" w:hAnsi="Arial" w:cs="Arial"/>
          <w:color w:val="000000" w:themeColor="text1"/>
          <w:u w:val="single"/>
          <w14:textFill>
            <w14:solidFill>
              <w14:schemeClr w14:val="tx1"/>
            </w14:solidFill>
          </w14:textFill>
        </w:rPr>
      </w:pPr>
      <w:r>
        <w:rPr>
          <w:rFonts w:ascii="Arial" w:hAnsi="Arial" w:cs="Arial"/>
          <w:color w:val="000000" w:themeColor="text1"/>
          <w:u w:val="single"/>
          <w14:textFill>
            <w14:solidFill>
              <w14:schemeClr w14:val="tx1"/>
            </w14:solidFill>
          </w14:textFill>
        </w:rPr>
        <w:t>Primary care follow-up</w:t>
      </w:r>
    </w:p>
    <w:p w14:paraId="4A912D2C">
      <w:pPr>
        <w:spacing w:line="480" w:lineRule="auto"/>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 xml:space="preserve">Interventions (patient navigation for ED patients and emergency room decision-support (ERDS) program) designed for ED frequent attenders to seek more ‘appropriate’ healthcare options other than the ED, resulted in increased primary care visits as intended. This is based on high confidence data from Berkman </w:t>
      </w:r>
      <w:r>
        <w:rPr>
          <w:rFonts w:ascii="Arial" w:hAnsi="Arial" w:cs="Arial"/>
          <w:i/>
          <w:iCs/>
          <w:color w:val="000000" w:themeColor="text1"/>
          <w14:textFill>
            <w14:solidFill>
              <w14:schemeClr w14:val="tx1"/>
            </w14:solidFill>
          </w14:textFill>
        </w:rPr>
        <w:t>et al</w:t>
      </w:r>
      <w:r>
        <w:rPr>
          <w:rFonts w:ascii="Arial" w:hAnsi="Arial" w:cs="Arial"/>
          <w:color w:val="000000" w:themeColor="text1"/>
          <w14:textFill>
            <w14:solidFill>
              <w14:schemeClr w14:val="tx1"/>
            </w14:solidFill>
          </w14:textFill>
        </w:rPr>
        <w:t xml:space="preserve"> </w:t>
      </w:r>
      <w:r>
        <w:rPr>
          <w:rFonts w:ascii="Arial" w:hAnsi="Arial" w:cs="Arial"/>
          <w:color w:val="000000" w:themeColor="text1"/>
          <w14:textFill>
            <w14:solidFill>
              <w14:schemeClr w14:val="tx1"/>
            </w14:solidFill>
          </w14:textFill>
        </w:rPr>
        <w:fldChar w:fldCharType="begin" w:fldLock="1"/>
      </w:r>
      <w:r>
        <w:rPr>
          <w:rFonts w:ascii="Arial" w:hAnsi="Arial" w:cs="Arial"/>
          <w:color w:val="000000" w:themeColor="text1"/>
          <w14:textFill>
            <w14:solidFill>
              <w14:schemeClr w14:val="tx1"/>
            </w14:solidFill>
          </w14:textFill>
        </w:rPr>
        <w:instrText xml:space="preserve"> ADDIN ZOTERO_ITEM CSL_CITATION {"citationID":"Ye28G2PT","properties":{"formattedCitation":"\\super 1\\nosupersub{}","plainCitation":"1","noteIndex":0},"citationItems":[{"id":"LCf4RF7q/h4qYpc26","uris":["http://www.mendeley.com/documents/?uuid=5a669540-5f29-3868-bf13-106b76836d77"],"itemData":{"DOI":"10.23970/AHRQEPCCER246","author":[{"dropping-particle":"","family":"Berkman","given":"Nancy D.","non-dropping-particle":"","parse-names":false,"suffix":""},{"dropping-particle":"","family":"Chang","given":"Eva","non-dropping-particle":"","parse-names":false,"suffix":""},{"dropping-particle":"","family":"Seibert","given":"Julie","non-dropping-particle":"","parse-names":false,"suffix":""},{"dropping-particle":"","family":"Ali","given":"Rania","non-dropping-particle":"","parse-names":false,"suffix":""},{"dropping-particle":"","family":"Porterfield","given":"Deborah","non-dropping-particle":"","parse-names":false,"suffix":""},{"dropping-particle":"","family":"Jiang","given":"Linda","non-dropping-particle":"","parse-names":false,"suffix":""},{"dropping-particle":"","family":"Wines","given":"Roberta","non-dropping-particle":"","parse-names":false,"suffix":""},{"dropping-particle":"","family":"Rains","given":"Caroline","non-dropping-particle":"","parse-names":false,"suffix":""},{"dropping-particle":"","family":"Viswanathan","given":"Meera","non-dropping-particle":"","parse-names":false,"suffix":""}],"id":"ITEM-1","issued":{"date-parts":[["2021","10","29"]]},"title":"Management of High-Need, High-Cost Patients: A “Best Fit” Framework Synthesis, Realist Review, and Systematic Review","type":"article-journal"}}],"schema":"https://github.com/citation-style-language/schema/raw/master/csl-citation.json"} </w:instrText>
      </w:r>
      <w:r>
        <w:rPr>
          <w:rFonts w:ascii="Arial" w:hAnsi="Arial" w:cs="Arial"/>
          <w:color w:val="000000" w:themeColor="text1"/>
          <w14:textFill>
            <w14:solidFill>
              <w14:schemeClr w14:val="tx1"/>
            </w14:solidFill>
          </w14:textFill>
        </w:rPr>
        <w:fldChar w:fldCharType="separate"/>
      </w:r>
      <w:r>
        <w:rPr>
          <w:rFonts w:ascii="Arial" w:hAnsi="Arial" w:cs="Arial"/>
          <w:color w:val="000000"/>
          <w:vertAlign w:val="superscript"/>
        </w:rPr>
        <w:t>1</w:t>
      </w:r>
      <w:r>
        <w:rPr>
          <w:rFonts w:ascii="Arial" w:hAnsi="Arial" w:cs="Arial"/>
          <w:color w:val="000000" w:themeColor="text1"/>
          <w14:textFill>
            <w14:solidFill>
              <w14:schemeClr w14:val="tx1"/>
            </w14:solidFill>
          </w14:textFill>
        </w:rPr>
        <w:fldChar w:fldCharType="end"/>
      </w:r>
      <w:r>
        <w:rPr>
          <w:rFonts w:ascii="Arial" w:hAnsi="Arial" w:cs="Arial"/>
          <w:color w:val="000000" w:themeColor="text1"/>
          <w14:textFill>
            <w14:solidFill>
              <w14:schemeClr w14:val="tx1"/>
            </w14:solidFill>
          </w14:textFill>
        </w:rPr>
        <w:t>. The GRADE was low and evidence was based on one RCT with favourable findings (RoB = some concerns) and one observational study with favourable findings (RoB= some concerns).</w:t>
      </w:r>
      <w:r>
        <w:rPr>
          <w:rFonts w:ascii="Arial" w:hAnsi="Arial" w:cs="Arial"/>
          <w:color w:val="000000" w:themeColor="text1"/>
          <w14:textFill>
            <w14:solidFill>
              <w14:schemeClr w14:val="tx1"/>
            </w14:solidFill>
          </w14:textFill>
        </w:rPr>
        <w:br w:type="textWrapping"/>
      </w:r>
      <w:r>
        <w:rPr>
          <w:rFonts w:ascii="Arial" w:hAnsi="Arial" w:cs="Arial"/>
          <w:color w:val="000000" w:themeColor="text1"/>
          <w14:textFill>
            <w14:solidFill>
              <w14:schemeClr w14:val="tx1"/>
            </w14:solidFill>
          </w14:textFill>
        </w:rPr>
        <w:br w:type="textWrapping"/>
      </w:r>
      <w:r>
        <w:rPr>
          <w:rFonts w:ascii="Arial" w:hAnsi="Arial" w:cs="Arial"/>
          <w:color w:val="000000" w:themeColor="text1"/>
          <w14:textFill>
            <w14:solidFill>
              <w14:schemeClr w14:val="tx1"/>
            </w14:solidFill>
          </w14:textFill>
        </w:rPr>
        <w:t xml:space="preserve">In patients presenting to the ED with asthma, a review by Villa-Roel </w:t>
      </w:r>
      <w:r>
        <w:rPr>
          <w:rFonts w:ascii="Arial" w:hAnsi="Arial" w:cs="Arial"/>
          <w:i/>
          <w:iCs/>
          <w:color w:val="000000" w:themeColor="text1"/>
          <w14:textFill>
            <w14:solidFill>
              <w14:schemeClr w14:val="tx1"/>
            </w14:solidFill>
          </w14:textFill>
        </w:rPr>
        <w:t>et al</w:t>
      </w:r>
      <w:r>
        <w:rPr>
          <w:rFonts w:ascii="Arial" w:hAnsi="Arial" w:cs="Arial"/>
          <w:color w:val="000000" w:themeColor="text1"/>
          <w14:textFill>
            <w14:solidFill>
              <w14:schemeClr w14:val="tx1"/>
            </w14:solidFill>
          </w14:textFill>
        </w:rPr>
        <w:t xml:space="preserve"> </w:t>
      </w:r>
      <w:r>
        <w:rPr>
          <w:rFonts w:ascii="Arial" w:hAnsi="Arial" w:cs="Arial"/>
          <w:color w:val="000000" w:themeColor="text1"/>
          <w14:textFill>
            <w14:solidFill>
              <w14:schemeClr w14:val="tx1"/>
            </w14:solidFill>
          </w14:textFill>
        </w:rPr>
        <w:fldChar w:fldCharType="begin" w:fldLock="1"/>
      </w:r>
      <w:r>
        <w:rPr>
          <w:rFonts w:ascii="Arial" w:hAnsi="Arial" w:cs="Arial"/>
          <w:color w:val="000000" w:themeColor="text1"/>
          <w14:textFill>
            <w14:solidFill>
              <w14:schemeClr w14:val="tx1"/>
            </w14:solidFill>
          </w14:textFill>
        </w:rPr>
        <w:instrText xml:space="preserve"> ADDIN ZOTERO_ITEM CSL_CITATION {"citationID":"cqLHHoDm","properties":{"formattedCitation":"\\super 2\\nosupersub{}","plainCitation":"2","noteIndex":0},"citationItems":[{"id":"LCf4RF7q/YxJ0a0PT","uris":["http://www.mendeley.com/documents/?uuid=cb634b46-1162-47ad-a647-53261d2004d2"],"itemData":{"DOI":"https://dx.doi.org/10.1111/acem.12837","ISSN":"1553-2712","abstract":"OBJECTIVES: Patients with asthma commonly present to emergency departments (ED) with exacerbations. Asthma guidelines recommend close follow-up with a primary care provider (PCP) after ED discharge; however, this linkage is often delayed or absent. The objective of this study was to assess whether ED-directed educational interventions improve office follow-up with PCPs after ED discharge for acute asthma., METHODS: Comprehensive literature searches were conducted in seven electronic databases (1946 to 2014). Randomized controlled clinical trials examining the effectiveness of educational interventions to increase office follow-up with a PCP were included. Study quality was determined using the Cochrane risk of bias tool; fidelity of the interventions was assessed using the Treatment Fidelity Assessment Grid. Using study data, risk ratios (RRs),and the number needed to treat for benefit (NNTB) with 95% confidence intervals (CI) were calculated using random-effects models., RESULTS: From 427 potentially relevant studies, five (n = 825) were included. The overall risk of bias was unclear, and the description of intervention fidelity varied across the studies. Educational interventions targeting either patients or PCPs led to a greater likelihood of having primary care follow-up after ED discharge (RR = 1.6; 95% CI = 1.31 to 1.87; I(2) = 0%). The number needed to treat for benefit was six (95% CI = 4 to 11). No significant benefit was observed in reductions of relapses (RR = 1.3; 95% CI = 0.82 to 1.98; I(2) = 23%) and admissions (RR = 0.51; 95% CI = 0.24 to 1.06; I(2) = 0%). Due to the small number of studies for each comparison, publication bias was not formally assessed., CONCLUSIONS: ED-directed educational interventions targeting either patients or providers increase the chance of having office follow-up visits with PCPs after asthma exacerbations. Their impact on health-related outcomes (e.g., relapse and admissions) remains unclear. Copyright © 2015 by the Society for Academic Emergency Medicine.","author":[{"dropping-particle":"","family":"Villa-Roel","given":"Cristina","non-dropping-particle":"","parse-names":false,"suffix":""},{"dropping-particle":"","family":"Nikel","given":"Taylor","non-dropping-particle":"","parse-names":false,"suffix":""},{"dropping-particle":"","family":"Ospina","given":"Maria","non-dropping-particle":"","parse-names":false,"suffix":""},{"dropping-particle":"","family":"Voaklander","given":"Britt","non-dropping-particle":"","parse-names":false,"suffix":""},{"dropping-particle":"","family":"Campbell","given":"Sandra","non-dropping-particle":"","parse-names":false,"suffix":""},{"dropping-particle":"","family":"Rowe","given":"Brian H","non-dropping-particle":"","parse-names":false,"suffix":""}],"container-title":"Academic emergency medicine : official journal of the Society for Academic Emergency Medicine","id":"ITEM-1","issue":"1","issued":{"date-parts":[["2016"]]},"page":"5-13","publisher-place":"United States","title":"Effectiveness of Educational Interventions to Increase Primary Care Follow-up for Adults Seen in the Emergency Department for Acute Asthma: A Systematic Review and Meta-analysis.","type":"article-journal","volume":"23"}}],"schema":"https://github.com/citation-style-language/schema/raw/master/csl-citation.json"} </w:instrText>
      </w:r>
      <w:r>
        <w:rPr>
          <w:rFonts w:ascii="Arial" w:hAnsi="Arial" w:cs="Arial"/>
          <w:color w:val="000000" w:themeColor="text1"/>
          <w14:textFill>
            <w14:solidFill>
              <w14:schemeClr w14:val="tx1"/>
            </w14:solidFill>
          </w14:textFill>
        </w:rPr>
        <w:fldChar w:fldCharType="separate"/>
      </w:r>
      <w:r>
        <w:rPr>
          <w:rFonts w:ascii="Arial" w:hAnsi="Arial" w:cs="Arial"/>
          <w:color w:val="000000"/>
          <w:vertAlign w:val="superscript"/>
        </w:rPr>
        <w:t>2</w:t>
      </w:r>
      <w:r>
        <w:rPr>
          <w:rFonts w:ascii="Arial" w:hAnsi="Arial" w:cs="Arial"/>
          <w:color w:val="000000" w:themeColor="text1"/>
          <w14:textFill>
            <w14:solidFill>
              <w14:schemeClr w14:val="tx1"/>
            </w14:solidFill>
          </w14:textFill>
        </w:rPr>
        <w:fldChar w:fldCharType="end"/>
      </w:r>
      <w:r>
        <w:rPr>
          <w:rFonts w:ascii="Arial" w:hAnsi="Arial" w:cs="Arial"/>
          <w:color w:val="000000" w:themeColor="text1"/>
          <w14:textFill>
            <w14:solidFill>
              <w14:schemeClr w14:val="tx1"/>
            </w14:solidFill>
          </w14:textFill>
        </w:rPr>
        <w:t xml:space="preserve">, found educational interventions increased follow-up rates with a primary care practitioner as intended. Interventions were: arranged follow-up, follow-up phone calls, faxed letters, asthma action plans and transportation vouchers plus oral steroids. The risk ratio compared to usual care was 1.6 (95% CI = 1.31 to 1.87), indicating the increased likelihood of planned follow-up. Grade was not reported, and results were based on five RCTs with a predominantly low RoB. </w:t>
      </w:r>
    </w:p>
    <w:p w14:paraId="3E7EDF0E">
      <w:pPr>
        <w:spacing w:line="480" w:lineRule="auto"/>
        <w:rPr>
          <w:rFonts w:ascii="Arial" w:hAnsi="Arial" w:cs="Arial"/>
          <w:color w:val="000000" w:themeColor="text1"/>
          <w14:textFill>
            <w14:solidFill>
              <w14:schemeClr w14:val="tx1"/>
            </w14:solidFill>
          </w14:textFill>
        </w:rPr>
      </w:pPr>
    </w:p>
    <w:p w14:paraId="243FEF69">
      <w:pPr>
        <w:spacing w:line="480" w:lineRule="auto"/>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 xml:space="preserve">Care transition interventions improved the rate of follow-up with primary care or specialist providers in adult ED patients. Care transition interventions were defined as educational support (face-to-face, video-based or telephonic), reminders (mailed, text or telephonic), appointment scheduling and ED-based discharge instructions and case management programs. The odds of outpatient follow-up rate increased versus usual care (OR 1.79, 95% CI 1.43,2.24). This is based on high confidence meta-analysis data from Aghajafari </w:t>
      </w:r>
      <w:r>
        <w:rPr>
          <w:rFonts w:ascii="Arial" w:hAnsi="Arial" w:cs="Arial"/>
          <w:i/>
          <w:iCs/>
          <w:color w:val="000000" w:themeColor="text1"/>
          <w14:textFill>
            <w14:solidFill>
              <w14:schemeClr w14:val="tx1"/>
            </w14:solidFill>
          </w14:textFill>
        </w:rPr>
        <w:t>et al</w:t>
      </w:r>
      <w:r>
        <w:rPr>
          <w:rFonts w:ascii="Arial" w:hAnsi="Arial" w:cs="Arial"/>
          <w:color w:val="000000" w:themeColor="text1"/>
          <w14:textFill>
            <w14:solidFill>
              <w14:schemeClr w14:val="tx1"/>
            </w14:solidFill>
          </w14:textFill>
        </w:rPr>
        <w:t xml:space="preserve">  </w:t>
      </w:r>
      <w:r>
        <w:rPr>
          <w:rFonts w:ascii="Arial" w:hAnsi="Arial" w:cs="Arial"/>
          <w:color w:val="000000" w:themeColor="text1"/>
          <w14:textFill>
            <w14:solidFill>
              <w14:schemeClr w14:val="tx1"/>
            </w14:solidFill>
          </w14:textFill>
        </w:rPr>
        <w:fldChar w:fldCharType="begin" w:fldLock="1"/>
      </w:r>
      <w:r>
        <w:rPr>
          <w:rFonts w:ascii="Arial" w:hAnsi="Arial" w:cs="Arial"/>
          <w:color w:val="000000" w:themeColor="text1"/>
          <w14:textFill>
            <w14:solidFill>
              <w14:schemeClr w14:val="tx1"/>
            </w14:solidFill>
          </w14:textFill>
        </w:rPr>
        <w:instrText xml:space="preserve"> ADDIN ZOTERO_ITEM CSL_CITATION {"citationID":"0A7Viq5r","properties":{"formattedCitation":"\\super 3\\nosupersub{}","plainCitation":"3","noteIndex":0},"citationItems":[{"id":"LCf4RF7q/hq9DbMPm","uris":["http://www.mendeley.com/documents/?uuid=22427d86-b4f2-37a5-b8b7-3a65201dfe6d"],"itemData":{"DOI":"10.1016/J.AJEM.2020.07.043","ISSN":"1532-8171","PMID":"33067059","abstract":"Introduction: Suboptimal transitions from the emergency department (ED) to outpatient settings can result in poor care continuity, and subsequently higher costs to the healthcare system. We aimed to systematically review care transition interventions (CTIs) for adult patients to understand how effective ED-based CTIs are in reducing return visits to the ED and increasing follow-up visits with primary care physicians. Methods: We searched multiple databases and identified eligible published RCTs of ED-based CTIs affecting outpatient follow-up rates, ED readmission and hospital admission. Two independent authors reviewed titles and abstracts for potential inclusion and selected studies for full review. Study quality was assessed using the Cochrane risk-of-bias tool. ED-based CTIs were classified using a care continuity framework. Results: Our search generated 28,807 articles; 112 were selected for full-text review. Data were abstracted from 42 articles that met inclusion criteria. Pooling data from 20 studies (n = 8178 patients) found a relative increase in outpatient follow-up with ED-based CTIs compared to routine care (odds ratio 1.79, 95% confidence interval [CI] 1.43, 2.24). However, ED-based CTIs (20 studies, n = 8048 patients) had no significant effect on ED readmissions (odds ratio 1.02, 95% CI 0.87, 1.20]) or hospital admission after ED discharge (13 studies, n = 5742 patients) (odds ratio 0.99, 95% CI 0.86, 1.14) when compared to routine care. Twenty-two studies encompassed CTIs supporting all three functions of care continuity (information, communication and coordination). Conclusions: ED-based CTIs do not appear to reduce ED revisit or hospital admission after ED discharge but are effective in increasing follow-up.","author":[{"dropping-particle":"","family":"Aghajafari","given":"Fariba","non-dropping-particle":"","parse-names":false,"suffix":""},{"dropping-particle":"","family":"Sayed","given":"Sayeeda","non-dropping-particle":"","parse-names":false,"suffix":""},{"dropping-particle":"","family":"Emami","given":"Nader","non-dropping-particle":"","parse-names":false,"suffix":""},{"dropping-particle":"","family":"Lang","given":"Eddy","non-dropping-particle":"","parse-names":false,"suffix":""},{"dropping-particle":"","family":"Abraham","given":"Joanna","non-dropping-particle":"","parse-names":false,"suffix":""}],"container-title":"The American journal of emergency medicine","id":"ITEM-1","issue":"12","issued":{"date-parts":[["2020","12","1"]]},"page":"2667-2680","publisher":"Am J Emerg Med","title":"Optimizing emergency department care transitions to outpatient settings: A systematic review and meta-analysis","type":"article-journal","volume":"38"}}],"schema":"https://github.com/citation-style-language/schema/raw/master/csl-citation.json"} </w:instrText>
      </w:r>
      <w:r>
        <w:rPr>
          <w:rFonts w:ascii="Arial" w:hAnsi="Arial" w:cs="Arial"/>
          <w:color w:val="000000" w:themeColor="text1"/>
          <w14:textFill>
            <w14:solidFill>
              <w14:schemeClr w14:val="tx1"/>
            </w14:solidFill>
          </w14:textFill>
        </w:rPr>
        <w:fldChar w:fldCharType="separate"/>
      </w:r>
      <w:r>
        <w:rPr>
          <w:rFonts w:ascii="Arial" w:hAnsi="Arial" w:cs="Arial"/>
          <w:color w:val="000000"/>
          <w:vertAlign w:val="superscript"/>
        </w:rPr>
        <w:t>3</w:t>
      </w:r>
      <w:r>
        <w:rPr>
          <w:rFonts w:ascii="Arial" w:hAnsi="Arial" w:cs="Arial"/>
          <w:color w:val="000000" w:themeColor="text1"/>
          <w14:textFill>
            <w14:solidFill>
              <w14:schemeClr w14:val="tx1"/>
            </w14:solidFill>
          </w14:textFill>
        </w:rPr>
        <w:fldChar w:fldCharType="end"/>
      </w:r>
      <w:r>
        <w:rPr>
          <w:rFonts w:ascii="Arial" w:hAnsi="Arial" w:cs="Arial"/>
          <w:color w:val="000000" w:themeColor="text1"/>
          <w14:textFill>
            <w14:solidFill>
              <w14:schemeClr w14:val="tx1"/>
            </w14:solidFill>
          </w14:textFill>
        </w:rPr>
        <w:t xml:space="preserve">, which included 20 studies (n=8178 patients), the GRADE outcome was low. </w:t>
      </w:r>
    </w:p>
    <w:p w14:paraId="43D04205">
      <w:pPr>
        <w:spacing w:line="480" w:lineRule="auto"/>
        <w:rPr>
          <w:rFonts w:ascii="Arial" w:hAnsi="Arial" w:cs="Arial"/>
          <w:color w:val="000000" w:themeColor="text1"/>
          <w14:textFill>
            <w14:solidFill>
              <w14:schemeClr w14:val="tx1"/>
            </w14:solidFill>
          </w14:textFill>
        </w:rPr>
      </w:pPr>
    </w:p>
    <w:p w14:paraId="2781A078">
      <w:pPr>
        <w:spacing w:line="480" w:lineRule="auto"/>
        <w:rPr>
          <w:rFonts w:ascii="Arial" w:hAnsi="Arial" w:cs="Arial"/>
          <w:color w:val="000000" w:themeColor="text1"/>
          <w:u w:val="single"/>
          <w14:textFill>
            <w14:solidFill>
              <w14:schemeClr w14:val="tx1"/>
            </w14:solidFill>
          </w14:textFill>
        </w:rPr>
      </w:pPr>
      <w:r>
        <w:rPr>
          <w:rFonts w:ascii="Arial" w:hAnsi="Arial" w:cs="Arial"/>
          <w:color w:val="000000" w:themeColor="text1"/>
          <w:u w:val="single"/>
          <w14:textFill>
            <w14:solidFill>
              <w14:schemeClr w14:val="tx1"/>
            </w14:solidFill>
          </w14:textFill>
        </w:rPr>
        <w:t>Outpatient/specialist follow-up</w:t>
      </w:r>
    </w:p>
    <w:p w14:paraId="32F5EF97">
      <w:pPr>
        <w:spacing w:line="480" w:lineRule="auto"/>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 xml:space="preserve">Case management interventions in ED frequent attenders increased outpatient visits as intended. This is based on high confidence data from Althaus </w:t>
      </w:r>
      <w:r>
        <w:rPr>
          <w:rFonts w:ascii="Arial" w:hAnsi="Arial" w:cs="Arial"/>
          <w:i/>
          <w:iCs/>
          <w:color w:val="000000" w:themeColor="text1"/>
          <w14:textFill>
            <w14:solidFill>
              <w14:schemeClr w14:val="tx1"/>
            </w14:solidFill>
          </w14:textFill>
        </w:rPr>
        <w:t>et al</w:t>
      </w:r>
      <w:r>
        <w:rPr>
          <w:rFonts w:ascii="Arial" w:hAnsi="Arial" w:cs="Arial"/>
          <w:color w:val="000000" w:themeColor="text1"/>
          <w14:textFill>
            <w14:solidFill>
              <w14:schemeClr w14:val="tx1"/>
            </w14:solidFill>
          </w14:textFill>
        </w:rPr>
        <w:t xml:space="preserve"> </w:t>
      </w:r>
      <w:r>
        <w:rPr>
          <w:rFonts w:ascii="Arial" w:hAnsi="Arial" w:cs="Arial"/>
          <w:color w:val="000000" w:themeColor="text1"/>
          <w14:textFill>
            <w14:solidFill>
              <w14:schemeClr w14:val="tx1"/>
            </w14:solidFill>
          </w14:textFill>
        </w:rPr>
        <w:fldChar w:fldCharType="begin" w:fldLock="1"/>
      </w:r>
      <w:r>
        <w:rPr>
          <w:rFonts w:ascii="Arial" w:hAnsi="Arial" w:cs="Arial"/>
          <w:color w:val="000000" w:themeColor="text1"/>
          <w14:textFill>
            <w14:solidFill>
              <w14:schemeClr w14:val="tx1"/>
            </w14:solidFill>
          </w14:textFill>
        </w:rPr>
        <w:instrText xml:space="preserve"> ADDIN ZOTERO_ITEM CSL_CITATION {"citationID":"pN1Q7Uj8","properties":{"formattedCitation":"\\super 4\\nosupersub{}","plainCitation":"4","noteIndex":0},"citationItems":[{"id":"LCf4RF7q/3G732OTq","uris":["http://www.mendeley.com/documents/?uuid=27aa55d0-b148-364f-a91e-3bb79494c333"],"itemData":{"DOI":"10.1016/J.ANNEMERGMED.2011.03.007","ISSN":"1097-6760","PMID":"21689565","abstract":"Study objective: Frequent users of emergency departments (EDs) are a relatively small group of vulnerable patients accounting for a disproportionally high number of ED visits. Our objective is to perform a systematic review of the type and effectiveness of interventions to reduce the number of ED visits by frequent users. Methods: We searched MEDLINE, EMBASE, CINAHL, PsychINFO, the Cochrane Library, and ISI Web of Science for randomized controlled trials, nonrandomized controlled trials, interrupted time series, and controlled and noncontrolled before-and-after studies describing interventions targeting adult frequent users of EDs. Primary outcome of interest was the reduction in ED use. We also explored costs analyses and various clinical (alcohol and drug use, psychiatric symptoms, mortality) and social (homelessness, insurance status, social security support) outcomes. Results: We included 11 studies (3 randomized controlled trials, 2 controlled and 6 noncontrolled before-and-after studies). Heterogeneity in both study designs and definitions of frequent users precluded meta-analyses of the results. The most studied intervention was case management (n=7). Only 1 of 3 randomized controlled trials showed a significant reduction in ED use compared with usual care. Six of the 8 before-and-after studies reported a significant reduction in ED use, and 1 study showed a significant increase. ED cost reductions were demonstrated in 3 studies. Social outcomes such as reduction of homelessness were favorable in 3 of 3 studies, and clinical outcomes trended toward positive results in 2 of 3 studies. Conclusion: Interventions targeting frequent users may reduce ED use. Case management, the most frequently described intervention, reduced ED costs and seemed to improve social and clinical outcomes. It appears to be beneficial to patients and justifiable for hospitals to implement case management for frequent users in the framework of a clear and consensual definition of frequent users and standardized outcome measures. © 2011 American College of Emergency Physicians.","author":[{"dropping-particle":"","family":"Althaus","given":"Fabrice","non-dropping-particle":"","parse-names":false,"suffix":""},{"dropping-particle":"","family":"Paroz","given":"Sophie","non-dropping-particle":"","parse-names":false,"suffix":""},{"dropping-particle":"","family":"Hugli","given":"Olivier","non-dropping-particle":"","parse-names":false,"suffix":""},{"dropping-particle":"","family":"Ghali","given":"William A.","non-dropping-particle":"","parse-names":false,"suffix":""},{"dropping-particle":"","family":"Daeppen","given":"Jean Bernard","non-dropping-particle":"","parse-names":false,"suffix":""},{"dropping-particle":"","family":"Peytremann-Bridevaux","given":"Isabelle","non-dropping-particle":"","parse-names":false,"suffix":""},{"dropping-particle":"","family":"Bodenmann","given":"Patrick","non-dropping-particle":"","parse-names":false,"suffix":""}],"container-title":"Annals of emergency medicine","id":"ITEM-1","issue":"1","issued":{"date-parts":[["2011"]]},"page":"41-52.e42","publisher":"Ann Emerg Med","title":"Effectiveness of interventions targeting frequent users of emergency departments: a systematic review","type":"article-journal","volume":"58"}}],"schema":"https://github.com/citation-style-language/schema/raw/master/csl-citation.json"} </w:instrText>
      </w:r>
      <w:r>
        <w:rPr>
          <w:rFonts w:ascii="Arial" w:hAnsi="Arial" w:cs="Arial"/>
          <w:color w:val="000000" w:themeColor="text1"/>
          <w14:textFill>
            <w14:solidFill>
              <w14:schemeClr w14:val="tx1"/>
            </w14:solidFill>
          </w14:textFill>
        </w:rPr>
        <w:fldChar w:fldCharType="separate"/>
      </w:r>
      <w:r>
        <w:rPr>
          <w:rFonts w:ascii="Arial" w:hAnsi="Arial" w:cs="Arial"/>
          <w:color w:val="000000"/>
          <w:vertAlign w:val="superscript"/>
        </w:rPr>
        <w:t>4</w:t>
      </w:r>
      <w:r>
        <w:rPr>
          <w:rFonts w:ascii="Arial" w:hAnsi="Arial" w:cs="Arial"/>
          <w:color w:val="000000" w:themeColor="text1"/>
          <w14:textFill>
            <w14:solidFill>
              <w14:schemeClr w14:val="tx1"/>
            </w14:solidFill>
          </w14:textFill>
        </w:rPr>
        <w:fldChar w:fldCharType="end"/>
      </w:r>
      <w:r>
        <w:rPr>
          <w:rFonts w:ascii="Arial" w:hAnsi="Arial" w:cs="Arial"/>
          <w:color w:val="000000" w:themeColor="text1"/>
          <w14:textFill>
            <w14:solidFill>
              <w14:schemeClr w14:val="tx1"/>
            </w14:solidFill>
          </w14:textFill>
        </w:rPr>
        <w:t>, which analysed data from two primary studies (</w:t>
      </w:r>
      <w:r>
        <w:rPr>
          <w:rFonts w:ascii="Calibri" w:hAnsi="Calibri" w:cs="Calibri"/>
          <w:color w:val="000000" w:themeColor="text1"/>
          <w14:textFill>
            <w14:solidFill>
              <w14:schemeClr w14:val="tx1"/>
            </w14:solidFill>
          </w14:textFill>
        </w:rPr>
        <w:t>﻿</w:t>
      </w:r>
      <w:r>
        <w:rPr>
          <w:rFonts w:ascii="Arial" w:hAnsi="Arial" w:cs="Arial"/>
          <w:color w:val="000000" w:themeColor="text1"/>
          <w14:textFill>
            <w14:solidFill>
              <w14:schemeClr w14:val="tx1"/>
            </w14:solidFill>
          </w14:textFill>
        </w:rPr>
        <w:t>Quality Criteria for NCBA studies = "Y=6 U=2 N=2, Y=7 U=1 N=2").</w:t>
      </w:r>
    </w:p>
    <w:p w14:paraId="1FF53F16">
      <w:pPr>
        <w:spacing w:line="480" w:lineRule="auto"/>
        <w:rPr>
          <w:rFonts w:ascii="Arial" w:hAnsi="Arial" w:cs="Arial"/>
          <w:color w:val="000000" w:themeColor="text1"/>
          <w14:textFill>
            <w14:solidFill>
              <w14:schemeClr w14:val="tx1"/>
            </w14:solidFill>
          </w14:textFill>
        </w:rPr>
      </w:pPr>
    </w:p>
    <w:p w14:paraId="1E81F08F">
      <w:pPr>
        <w:spacing w:line="480" w:lineRule="auto"/>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 xml:space="preserve">Data from a high confidence review by Moe </w:t>
      </w:r>
      <w:r>
        <w:rPr>
          <w:rFonts w:ascii="Arial" w:hAnsi="Arial" w:cs="Arial"/>
          <w:i/>
          <w:iCs/>
          <w:color w:val="000000" w:themeColor="text1"/>
          <w14:textFill>
            <w14:solidFill>
              <w14:schemeClr w14:val="tx1"/>
            </w14:solidFill>
          </w14:textFill>
        </w:rPr>
        <w:t>et al</w:t>
      </w:r>
      <w:r>
        <w:rPr>
          <w:rFonts w:ascii="Arial" w:hAnsi="Arial" w:cs="Arial"/>
          <w:color w:val="000000" w:themeColor="text1"/>
          <w14:textFill>
            <w14:solidFill>
              <w14:schemeClr w14:val="tx1"/>
            </w14:solidFill>
          </w14:textFill>
        </w:rPr>
        <w:t xml:space="preserve"> </w:t>
      </w:r>
      <w:r>
        <w:rPr>
          <w:rFonts w:ascii="Arial" w:hAnsi="Arial" w:cs="Arial"/>
          <w:color w:val="000000" w:themeColor="text1"/>
          <w14:textFill>
            <w14:solidFill>
              <w14:schemeClr w14:val="tx1"/>
            </w14:solidFill>
          </w14:textFill>
        </w:rPr>
        <w:fldChar w:fldCharType="begin" w:fldLock="1"/>
      </w:r>
      <w:r>
        <w:rPr>
          <w:rFonts w:ascii="Arial" w:hAnsi="Arial" w:cs="Arial"/>
          <w:color w:val="000000" w:themeColor="text1"/>
          <w14:textFill>
            <w14:solidFill>
              <w14:schemeClr w14:val="tx1"/>
            </w14:solidFill>
          </w14:textFill>
        </w:rPr>
        <w:instrText xml:space="preserve"> ADDIN ZOTERO_ITEM CSL_CITATION {"citationID":"Mo031M8G","properties":{"formattedCitation":"\\super 5\\nosupersub{}","plainCitation":"5","noteIndex":0},"citationItems":[{"id":"LCf4RF7q/VsebpAzv","uris":["http://www.mendeley.com/documents/?uuid=075c9ff3-b68b-4da7-a217-7aed5ec6370b"],"itemData":{"DOI":"10.1111/acem.13060","ISSN":"1069-6563","abstract":"Objectives Frequent emergency department ( ED) users are high-risk and high-resource-utilizing patients. This systematic review evaluates effectiveness of interventions targeting adult frequent ED users in reducing visit frequency and improving patient outcomes. Methods An a priori protocol was published in PROSPERO. Two independent reviewers screened, selected, rated quality, and extracted data. Third-party adjudication resolved disagreements. Rate ratios of post- versus pre-intervention ED visits were calculated. Data sources were from a comprehensive search that included seven databases and the gray literature. Eligibility criteria for selecting studies included experimental studies assessing the effect of interventions on frequent users' ED visits and patient-oriented outcomes. Results A total of 6,865 citations were identified and 31 studies included. Designs were noncontrolled ( n = 21) and controlled ( n = 4) before-after studies and randomized controlled trials ( n = 6). Frequent user definitions varied considerably and risk of bias was moderate to high. Studies examined general frequent users or those with psychiatric comorbidities, chronic disease, or low socioeconomic status or the elderly. Interventions included case management ( n = 18), care plans ( n = 8), diversion strategies ( n = 3), printout case notes ( n = 1), and social work visits ( n = 1). Post- versus pre-intervention rate ratios were calculated for 25 studies and indicated a significant visit decrease in 21 (84%) of these studies. The median rate ratio was 0.63 (interquartile range = 0.41 to 0.71), indicating that the general effect of the interventions described was to decrease ED visits post-intervention. Significant visit decreases were found for a majority of studies in subgroup analyses based on 6- or 12-month follow-up, definition thresholds, clinical frequent user subgroups, and intervention types. Studies reporting homelessness found consistent improvements in stable housing. Overall, interstudy heterogeneity was high. Conclusions Interventions targeting frequent ED users appear to decrease ED visits and may improve stable housing. Future research should examine cost-effectiveness and adopt standardized definitions.","author":[{"dropping-particle":"","family":"Moe","given":"Jessica","non-dropping-particle":"","parse-names":false,"suffix":""},{"dropping-particle":"","family":"Kirkland","given":"Scott W","non-dropping-particle":"","parse-names":false,"suffix":""},{"dropping-particle":"","family":"Rawe","given":"Erin","non-dropping-particle":"","parse-names":false,"suffix":""},{"dropping-particle":"","family":"Ospina","given":"Maria B","non-dropping-particle":"","parse-names":false,"suffix":""},{"dropping-particle":"","family":"Vandermeer","given":"Ben","non-dropping-particle":"","parse-names":false,"suffix":""},{"dropping-particle":"","family":"Campbell","given":"Sandy","non-dropping-particle":"","parse-names":false,"suffix":""},{"dropping-particle":"","family":"Rowe","given":"Brian H","non-dropping-particle":"","parse-names":false,"suffix":""},{"dropping-particle":"","family":"Gratton","given":"Matthew C","non-dropping-particle":"","parse-names":false,"suffix":""}],"container-title":"Academic Emergency Medicine","id":"ITEM-1","issue":"1","issued":{"date-parts":[["2017","1"]]},"note":"Accession Number: 120687718. Language: English. Entry Date: 20170119. Revision Date: 20180810. Publication Type: Article; research; systematic review; tables/charts. Journal Subset: Biomedical; Peer Reviewed; USA. Special Interest: Evidence-Based Practice. NLM UID: 9418450.","page":"40-52","publisher":"Wiley-Blackwell","publisher-place":"Department of Emergency Medicine, University of Alberta, Edmonton Alberta, Canada","title":"Effectiveness of Interventions to Decrease Emergency Department Visits by Adult Frequent Users: A Systematic Review.","type":"article-journal","volume":"24"}}],"schema":"https://github.com/citation-style-language/schema/raw/master/csl-citation.json"} </w:instrText>
      </w:r>
      <w:r>
        <w:rPr>
          <w:rFonts w:ascii="Arial" w:hAnsi="Arial" w:cs="Arial"/>
          <w:color w:val="000000" w:themeColor="text1"/>
          <w14:textFill>
            <w14:solidFill>
              <w14:schemeClr w14:val="tx1"/>
            </w14:solidFill>
          </w14:textFill>
        </w:rPr>
        <w:fldChar w:fldCharType="separate"/>
      </w:r>
      <w:r>
        <w:rPr>
          <w:rFonts w:ascii="Arial" w:hAnsi="Arial" w:cs="Arial"/>
          <w:color w:val="000000"/>
          <w:vertAlign w:val="superscript"/>
        </w:rPr>
        <w:t>5</w:t>
      </w:r>
      <w:r>
        <w:rPr>
          <w:rFonts w:ascii="Arial" w:hAnsi="Arial" w:cs="Arial"/>
          <w:color w:val="000000" w:themeColor="text1"/>
          <w14:textFill>
            <w14:solidFill>
              <w14:schemeClr w14:val="tx1"/>
            </w14:solidFill>
          </w14:textFill>
        </w:rPr>
        <w:fldChar w:fldCharType="end"/>
      </w:r>
      <w:r>
        <w:rPr>
          <w:rFonts w:ascii="Arial" w:hAnsi="Arial" w:cs="Arial"/>
          <w:color w:val="000000" w:themeColor="text1"/>
          <w14:textFill>
            <w14:solidFill>
              <w14:schemeClr w14:val="tx1"/>
            </w14:solidFill>
          </w14:textFill>
        </w:rPr>
        <w:t xml:space="preserve"> reported the effect of interventions on frequent attenders and their impact on outpatient resource use. No detail was provided on whether interventions aimed to increase or decrease outpatient use. Six studies reported interventions (three of which listed case management interventions, one listed care plans and two diversion strategies to non-urgent care) that increased outpatient attendances. Four studies had a moderate RoB and two a high RoB. GRADE was not reported. Printout case notes and case management interventions, from two further studies with high RoB, had no effect on outpatient resource use. One study, with a moderate RoB, used a social work home visit intervention and outpatient attendances.</w:t>
      </w:r>
    </w:p>
    <w:p w14:paraId="79F64EF3">
      <w:pPr>
        <w:spacing w:line="480" w:lineRule="auto"/>
        <w:rPr>
          <w:rFonts w:ascii="Arial" w:hAnsi="Arial" w:cs="Arial"/>
          <w:color w:val="000000" w:themeColor="text1"/>
          <w14:textFill>
            <w14:solidFill>
              <w14:schemeClr w14:val="tx1"/>
            </w14:solidFill>
          </w14:textFill>
        </w:rPr>
      </w:pPr>
    </w:p>
    <w:p w14:paraId="793FB889">
      <w:pPr>
        <w:spacing w:line="480" w:lineRule="auto"/>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 xml:space="preserve">Multi-disciplinary team protocols aimed at decreasing imaging for lower back pain, increased the use of physiotherapy and rehabilitation services as planned. This is based on moderate confidence narrative data from Liu </w:t>
      </w:r>
      <w:r>
        <w:rPr>
          <w:rFonts w:ascii="Arial" w:hAnsi="Arial" w:cs="Arial"/>
          <w:i/>
          <w:iCs/>
          <w:color w:val="000000" w:themeColor="text1"/>
          <w14:textFill>
            <w14:solidFill>
              <w14:schemeClr w14:val="tx1"/>
            </w14:solidFill>
          </w14:textFill>
        </w:rPr>
        <w:t>et al</w:t>
      </w:r>
      <w:r>
        <w:rPr>
          <w:rFonts w:ascii="Arial" w:hAnsi="Arial" w:cs="Arial"/>
          <w:color w:val="000000" w:themeColor="text1"/>
          <w14:textFill>
            <w14:solidFill>
              <w14:schemeClr w14:val="tx1"/>
            </w14:solidFill>
          </w14:textFill>
        </w:rPr>
        <w:t xml:space="preserve"> </w:t>
      </w:r>
      <w:r>
        <w:rPr>
          <w:rFonts w:ascii="Arial" w:hAnsi="Arial" w:cs="Arial"/>
          <w:color w:val="000000" w:themeColor="text1"/>
          <w14:textFill>
            <w14:solidFill>
              <w14:schemeClr w14:val="tx1"/>
            </w14:solidFill>
          </w14:textFill>
        </w:rPr>
        <w:fldChar w:fldCharType="begin" w:fldLock="1"/>
      </w:r>
      <w:r>
        <w:rPr>
          <w:rFonts w:ascii="Arial" w:hAnsi="Arial" w:cs="Arial"/>
          <w:color w:val="000000" w:themeColor="text1"/>
          <w14:textFill>
            <w14:solidFill>
              <w14:schemeClr w14:val="tx1"/>
            </w14:solidFill>
          </w14:textFill>
        </w:rPr>
        <w:instrText xml:space="preserve"> ADDIN ZOTERO_ITEM CSL_CITATION {"citationID":"YPhlE0xY","properties":{"formattedCitation":"\\super 6\\nosupersub{}","plainCitation":"6","noteIndex":0},"citationItems":[{"id":"LCf4RF7q/SHATBDGR","uris":["http://www.mendeley.com/documents/?uuid=a2c0a19a-f5e5-4fc6-be35-7ab20ec71a42"],"itemData":{"DOI":"10.1111/acem.13376","ISSN":"1069-6563","abstract":"Abstract: Background: Low back pain (LBP) is an extremely frequent reason for patients to present to an emergency department (ED). Despite evidence against the utility of imaging, simple and advanced imaging (i.e., computed tomography [CT], magnetic resonance imaging) for patients with LBP has become increasingly frequent in the ED. The objective of this review was to identify and examine the effectiveness of interventions aimed at reducing image ordering in the ED for LBP patients. Methods: A protocol was developed a priori, following the PRISMA guidelines, and registered with PROSPERO. Six bibliographic databases (including MEDLINE, EMBASE, EBM Reviews, SCOPUS, CINAHL, and Dissertation Abstracts) and the gray literature were searched. Comparative studies assessing interventions that targeted image ordering in the ED for adult patients with LBP were eligible for inclusion. Two reviewers independently screened study eligibility and completed data extraction. Study quality was completed independently by two reviewers using the before–after quality assessment checklist, with a third</w:instrText>
      </w:r>
      <w:r>
        <w:rPr>
          <w:rFonts w:ascii="Cambria Math" w:hAnsi="Cambria Math" w:cs="Cambria Math"/>
          <w:color w:val="000000" w:themeColor="text1"/>
          <w14:textFill>
            <w14:solidFill>
              <w14:schemeClr w14:val="tx1"/>
            </w14:solidFill>
          </w14:textFill>
        </w:rPr>
        <w:instrText xml:space="preserve">‐</w:instrText>
      </w:r>
      <w:r>
        <w:rPr>
          <w:rFonts w:ascii="Arial" w:hAnsi="Arial" w:cs="Arial"/>
          <w:color w:val="000000" w:themeColor="text1"/>
          <w14:textFill>
            <w14:solidFill>
              <w14:schemeClr w14:val="tx1"/>
            </w14:solidFill>
          </w14:textFill>
        </w:rPr>
        <w:instrText xml:space="preserve">party mediator resolving any differences. Due to a limited number of studies and significant heterogeneity, only a descriptive analysis was performed. Results: The search yielded 603 unique citations of which a total of five before–after studies were included. Quality assessment identified potential biases relating to comparability between the pre</w:instrText>
      </w:r>
      <w:r>
        <w:rPr>
          <w:rFonts w:ascii="Cambria Math" w:hAnsi="Cambria Math" w:cs="Cambria Math"/>
          <w:color w:val="000000" w:themeColor="text1"/>
          <w14:textFill>
            <w14:solidFill>
              <w14:schemeClr w14:val="tx1"/>
            </w14:solidFill>
          </w14:textFill>
        </w:rPr>
        <w:instrText xml:space="preserve">‐</w:instrText>
      </w:r>
      <w:r>
        <w:rPr>
          <w:rFonts w:ascii="Arial" w:hAnsi="Arial" w:cs="Arial"/>
          <w:color w:val="000000" w:themeColor="text1"/>
          <w14:textFill>
            <w14:solidFill>
              <w14:schemeClr w14:val="tx1"/>
            </w14:solidFill>
          </w14:textFill>
        </w:rPr>
        <w:instrText xml:space="preserve"> and postintervention groups, reliable assessment of outcomes, and an overall lack of information on the intervention (i.e., time point, description, intervention data collection). The type of interventions utilized included clinical decision support tools, clinical practice guidelines, a knowledge translation initiative, and multidisciplinary protocols. Overall, four studies reported a decrease in the relative percentage change in imaging in a specific image modality (22.7%–47.4%) following implementation of the interventions; however, one study reported a 35% increase in patient referrals to radiography, while another study reported a subsequent 15.4% increase in referrals to CT and myelography after implementing an intervention which reduced referrals for simple radiography. Discussion: While imaging of LBP has been identified as a key area of imaging overuse (e.g., Choosing Wisely recommendation), evidence on interventions to reduce image ordering for ED patients with LBP is sparse. There is some evidence to suggest that interven…","author":[{"dropping-particle":"","family":"Liu","given":"Chaocheng","non-dropping-particle":"","parse-names":false,"suffix":""},{"dropping-particle":"","family":"Desai","given":"Shashwat","non-dropping-particle":"","parse-names":false,"suffix":""},{"dropping-particle":"","family":"Krebs","given":"Lynette D","non-dropping-particle":"","parse-names":false,"suffix":""},{"dropping-particle":"","family":"Kirkland","given":"Scott W","non-dropping-particle":"","parse-names":false,"suffix":""},{"dropping-particle":"","family":"Keto</w:instrText>
      </w:r>
      <w:r>
        <w:rPr>
          <w:rFonts w:ascii="Cambria Math" w:hAnsi="Cambria Math" w:cs="Cambria Math"/>
          <w:color w:val="000000" w:themeColor="text1"/>
          <w14:textFill>
            <w14:solidFill>
              <w14:schemeClr w14:val="tx1"/>
            </w14:solidFill>
          </w14:textFill>
        </w:rPr>
        <w:instrText xml:space="preserve">‐</w:instrText>
      </w:r>
      <w:r>
        <w:rPr>
          <w:rFonts w:ascii="Arial" w:hAnsi="Arial" w:cs="Arial"/>
          <w:color w:val="000000" w:themeColor="text1"/>
          <w14:textFill>
            <w14:solidFill>
              <w14:schemeClr w14:val="tx1"/>
            </w14:solidFill>
          </w14:textFill>
        </w:rPr>
        <w:instrText xml:space="preserve">Lambert","given":"Diana","non-dropping-particle":"","parse-names":false,"suffix":""},{"dropping-particle":"","family":"Rowe","given":"Brian H","non-dropping-particle":"","parse-names":false,"suffix":""},{"dropping-particle":"","family":"Team","given":"the PRIHS</w:instrText>
      </w:r>
      <w:r>
        <w:rPr>
          <w:rFonts w:ascii="Cambria Math" w:hAnsi="Cambria Math" w:cs="Cambria Math"/>
          <w:color w:val="000000" w:themeColor="text1"/>
          <w14:textFill>
            <w14:solidFill>
              <w14:schemeClr w14:val="tx1"/>
            </w14:solidFill>
          </w14:textFill>
        </w:rPr>
        <w:instrText xml:space="preserve">‐</w:instrText>
      </w:r>
      <w:r>
        <w:rPr>
          <w:rFonts w:ascii="Arial" w:hAnsi="Arial" w:cs="Arial"/>
          <w:color w:val="000000" w:themeColor="text1"/>
          <w14:textFill>
            <w14:solidFill>
              <w14:schemeClr w14:val="tx1"/>
            </w14:solidFill>
          </w14:textFill>
        </w:rPr>
        <w:instrText xml:space="preserve">2 Choosing Wisely","non-dropping-particle":"","parse-names":false,"suffix":""}],"container-title":"Academic Emergency Medicine","id":"ITEM-1","issue":"6","issued":{"date-parts":[["2018","6"]]},"note":"Accession Number: 130105631. Language: English. Entry Date: 20180614. Revision Date: 20190603. Publication Type: Article; research; systematic review; tables/charts. Journal Subset: Biomedical; Peer Reviewed; USA. Special Interest: Evidence-Based Practice. Instrumentation: Quality assessment checklist. NLM UID: 9418450.","page":"614-626","publisher":"Wiley-Blackwell","publisher-place":"Department of Emergency Medicine, University of Alberta, Edmonton, Alberta, Canada","title":"Effectiveness of Interventions to Decrease Image Ordering for Low Back Pain Presentations in the Emergency Department: A Systematic Review.","type":"article-journal","volume":"25"}}],"schema":"https://github.com/citation-style-language/schema/raw/master/csl-citation.json"} </w:instrText>
      </w:r>
      <w:r>
        <w:rPr>
          <w:rFonts w:ascii="Arial" w:hAnsi="Arial" w:cs="Arial"/>
          <w:color w:val="000000" w:themeColor="text1"/>
          <w14:textFill>
            <w14:solidFill>
              <w14:schemeClr w14:val="tx1"/>
            </w14:solidFill>
          </w14:textFill>
        </w:rPr>
        <w:fldChar w:fldCharType="separate"/>
      </w:r>
      <w:r>
        <w:rPr>
          <w:rFonts w:ascii="Arial" w:hAnsi="Arial" w:cs="Arial"/>
          <w:color w:val="000000"/>
          <w:vertAlign w:val="superscript"/>
        </w:rPr>
        <w:t>6</w:t>
      </w:r>
      <w:r>
        <w:rPr>
          <w:rFonts w:ascii="Arial" w:hAnsi="Arial" w:cs="Arial"/>
          <w:color w:val="000000" w:themeColor="text1"/>
          <w14:textFill>
            <w14:solidFill>
              <w14:schemeClr w14:val="tx1"/>
            </w14:solidFill>
          </w14:textFill>
        </w:rPr>
        <w:fldChar w:fldCharType="end"/>
      </w:r>
      <w:r>
        <w:rPr>
          <w:rFonts w:ascii="Arial" w:hAnsi="Arial" w:cs="Arial"/>
          <w:color w:val="000000" w:themeColor="text1"/>
          <w14:textFill>
            <w14:solidFill>
              <w14:schemeClr w14:val="tx1"/>
            </w14:solidFill>
          </w14:textFill>
        </w:rPr>
        <w:t xml:space="preserve"> based on one study with low BAQA scores.</w:t>
      </w:r>
    </w:p>
    <w:p w14:paraId="04EE711D">
      <w:pPr>
        <w:spacing w:line="480" w:lineRule="auto"/>
        <w:rPr>
          <w:rFonts w:ascii="Arial" w:hAnsi="Arial" w:cs="Arial"/>
          <w:color w:val="000000" w:themeColor="text1"/>
          <w14:textFill>
            <w14:solidFill>
              <w14:schemeClr w14:val="tx1"/>
            </w14:solidFill>
          </w14:textFill>
        </w:rPr>
      </w:pPr>
    </w:p>
    <w:p w14:paraId="136A9337">
      <w:pPr>
        <w:pStyle w:val="36"/>
        <w:rPr>
          <w:rFonts w:ascii="Arial" w:hAnsi="Arial" w:cs="Arial"/>
          <w:color w:val="000000"/>
        </w:rPr>
      </w:pPr>
      <w:r>
        <w:rPr>
          <w:rFonts w:ascii="Arial" w:hAnsi="Arial" w:cs="Arial"/>
          <w:color w:val="000000" w:themeColor="text1"/>
          <w14:textFill>
            <w14:solidFill>
              <w14:schemeClr w14:val="tx1"/>
            </w14:solidFill>
          </w14:textFill>
        </w:rPr>
        <w:fldChar w:fldCharType="begin"/>
      </w:r>
      <w:r>
        <w:rPr>
          <w:rFonts w:ascii="Arial" w:hAnsi="Arial" w:cs="Arial"/>
          <w:color w:val="000000" w:themeColor="text1"/>
          <w14:textFill>
            <w14:solidFill>
              <w14:schemeClr w14:val="tx1"/>
            </w14:solidFill>
          </w14:textFill>
        </w:rPr>
        <w:instrText xml:space="preserve"> ADDIN ZOTERO_BIBL {"uncited":[],"omitted":[],"custom":[]} CSL_BIBLIOGRAPHY </w:instrText>
      </w:r>
      <w:r>
        <w:rPr>
          <w:rFonts w:ascii="Arial" w:hAnsi="Arial" w:cs="Arial"/>
          <w:color w:val="000000" w:themeColor="text1"/>
          <w14:textFill>
            <w14:solidFill>
              <w14:schemeClr w14:val="tx1"/>
            </w14:solidFill>
          </w14:textFill>
        </w:rPr>
        <w:fldChar w:fldCharType="separate"/>
      </w:r>
      <w:r>
        <w:rPr>
          <w:rFonts w:ascii="Arial" w:hAnsi="Arial" w:cs="Arial"/>
          <w:color w:val="000000"/>
        </w:rPr>
        <w:t>1.</w:t>
      </w:r>
      <w:r>
        <w:rPr>
          <w:rFonts w:ascii="Arial" w:hAnsi="Arial" w:cs="Arial"/>
          <w:color w:val="000000"/>
        </w:rPr>
        <w:tab/>
      </w:r>
      <w:r>
        <w:rPr>
          <w:rFonts w:ascii="Arial" w:hAnsi="Arial" w:cs="Arial"/>
          <w:color w:val="000000"/>
        </w:rPr>
        <w:t xml:space="preserve">Berkman, N. D. </w:t>
      </w:r>
      <w:r>
        <w:rPr>
          <w:rFonts w:ascii="Arial" w:hAnsi="Arial" w:cs="Arial"/>
          <w:i/>
          <w:iCs/>
          <w:color w:val="000000"/>
        </w:rPr>
        <w:t>et al.</w:t>
      </w:r>
      <w:r>
        <w:rPr>
          <w:rFonts w:ascii="Arial" w:hAnsi="Arial" w:cs="Arial"/>
          <w:color w:val="000000"/>
        </w:rPr>
        <w:t xml:space="preserve"> Management of High-Need, High-Cost Patients: A “Best Fit” Framework Synthesis, Realist Review, and Systematic Review. (2021) doi:10.23970/AHRQEPCCER246.</w:t>
      </w:r>
    </w:p>
    <w:p w14:paraId="7A9E61E5">
      <w:pPr>
        <w:pStyle w:val="36"/>
        <w:rPr>
          <w:rFonts w:ascii="Arial" w:hAnsi="Arial" w:cs="Arial"/>
          <w:color w:val="000000"/>
        </w:rPr>
      </w:pPr>
      <w:r>
        <w:rPr>
          <w:rFonts w:ascii="Arial" w:hAnsi="Arial" w:cs="Arial"/>
          <w:color w:val="000000"/>
        </w:rPr>
        <w:t>2.</w:t>
      </w:r>
      <w:r>
        <w:rPr>
          <w:rFonts w:ascii="Arial" w:hAnsi="Arial" w:cs="Arial"/>
          <w:color w:val="000000"/>
        </w:rPr>
        <w:tab/>
      </w:r>
      <w:r>
        <w:rPr>
          <w:rFonts w:ascii="Arial" w:hAnsi="Arial" w:cs="Arial"/>
          <w:color w:val="000000"/>
        </w:rPr>
        <w:t xml:space="preserve">Villa-Roel, C. </w:t>
      </w:r>
      <w:r>
        <w:rPr>
          <w:rFonts w:ascii="Arial" w:hAnsi="Arial" w:cs="Arial"/>
          <w:i/>
          <w:iCs/>
          <w:color w:val="000000"/>
        </w:rPr>
        <w:t>et al.</w:t>
      </w:r>
      <w:r>
        <w:rPr>
          <w:rFonts w:ascii="Arial" w:hAnsi="Arial" w:cs="Arial"/>
          <w:color w:val="000000"/>
        </w:rPr>
        <w:t xml:space="preserve"> Effectiveness of Educational Interventions to Increase Primary Care Follow-up for Adults Seen in the Emergency Department for Acute Asthma: A Systematic Review and Meta-analysis. </w:t>
      </w:r>
      <w:r>
        <w:rPr>
          <w:rFonts w:ascii="Arial" w:hAnsi="Arial" w:cs="Arial"/>
          <w:i/>
          <w:iCs/>
          <w:color w:val="000000"/>
        </w:rPr>
        <w:t>Acad. Emerg. Med. Off. J. Soc. Acad. Emerg. Med.</w:t>
      </w:r>
      <w:r>
        <w:rPr>
          <w:rFonts w:ascii="Arial" w:hAnsi="Arial" w:cs="Arial"/>
          <w:color w:val="000000"/>
        </w:rPr>
        <w:t xml:space="preserve"> </w:t>
      </w:r>
      <w:r>
        <w:rPr>
          <w:rFonts w:ascii="Arial" w:hAnsi="Arial" w:cs="Arial"/>
          <w:b/>
          <w:bCs/>
          <w:color w:val="000000"/>
        </w:rPr>
        <w:t>23</w:t>
      </w:r>
      <w:r>
        <w:rPr>
          <w:rFonts w:ascii="Arial" w:hAnsi="Arial" w:cs="Arial"/>
          <w:color w:val="000000"/>
        </w:rPr>
        <w:t>, 5–13 (2016).</w:t>
      </w:r>
    </w:p>
    <w:p w14:paraId="291E81E2">
      <w:pPr>
        <w:pStyle w:val="36"/>
        <w:rPr>
          <w:rFonts w:ascii="Arial" w:hAnsi="Arial" w:cs="Arial"/>
          <w:color w:val="000000"/>
        </w:rPr>
      </w:pPr>
      <w:r>
        <w:rPr>
          <w:rFonts w:ascii="Arial" w:hAnsi="Arial" w:cs="Arial"/>
          <w:color w:val="000000"/>
        </w:rPr>
        <w:t>3.</w:t>
      </w:r>
      <w:r>
        <w:rPr>
          <w:rFonts w:ascii="Arial" w:hAnsi="Arial" w:cs="Arial"/>
          <w:color w:val="000000"/>
        </w:rPr>
        <w:tab/>
      </w:r>
      <w:r>
        <w:rPr>
          <w:rFonts w:ascii="Arial" w:hAnsi="Arial" w:cs="Arial"/>
          <w:color w:val="000000"/>
        </w:rPr>
        <w:t xml:space="preserve">Aghajafari, F., Sayed, S., Emami, N., Lang, E. &amp; Abraham, J. Optimizing emergency department care transitions to outpatient settings: A systematic review and meta-analysis. </w:t>
      </w:r>
      <w:r>
        <w:rPr>
          <w:rFonts w:ascii="Arial" w:hAnsi="Arial" w:cs="Arial"/>
          <w:i/>
          <w:iCs/>
          <w:color w:val="000000"/>
        </w:rPr>
        <w:t>Am. J. Emerg. Med.</w:t>
      </w:r>
      <w:r>
        <w:rPr>
          <w:rFonts w:ascii="Arial" w:hAnsi="Arial" w:cs="Arial"/>
          <w:color w:val="000000"/>
        </w:rPr>
        <w:t xml:space="preserve"> </w:t>
      </w:r>
      <w:r>
        <w:rPr>
          <w:rFonts w:ascii="Arial" w:hAnsi="Arial" w:cs="Arial"/>
          <w:b/>
          <w:bCs/>
          <w:color w:val="000000"/>
        </w:rPr>
        <w:t>38</w:t>
      </w:r>
      <w:r>
        <w:rPr>
          <w:rFonts w:ascii="Arial" w:hAnsi="Arial" w:cs="Arial"/>
          <w:color w:val="000000"/>
        </w:rPr>
        <w:t>, 2667–2680 (2020).</w:t>
      </w:r>
    </w:p>
    <w:p w14:paraId="12697FF7">
      <w:pPr>
        <w:pStyle w:val="36"/>
        <w:rPr>
          <w:rFonts w:ascii="Arial" w:hAnsi="Arial" w:cs="Arial"/>
          <w:color w:val="000000"/>
        </w:rPr>
      </w:pPr>
      <w:r>
        <w:rPr>
          <w:rFonts w:ascii="Arial" w:hAnsi="Arial" w:cs="Arial"/>
          <w:color w:val="000000"/>
        </w:rPr>
        <w:t>4.</w:t>
      </w:r>
      <w:r>
        <w:rPr>
          <w:rFonts w:ascii="Arial" w:hAnsi="Arial" w:cs="Arial"/>
          <w:color w:val="000000"/>
        </w:rPr>
        <w:tab/>
      </w:r>
      <w:r>
        <w:rPr>
          <w:rFonts w:ascii="Arial" w:hAnsi="Arial" w:cs="Arial"/>
          <w:color w:val="000000"/>
        </w:rPr>
        <w:t xml:space="preserve">Althaus, F. </w:t>
      </w:r>
      <w:r>
        <w:rPr>
          <w:rFonts w:ascii="Arial" w:hAnsi="Arial" w:cs="Arial"/>
          <w:i/>
          <w:iCs/>
          <w:color w:val="000000"/>
        </w:rPr>
        <w:t>et al.</w:t>
      </w:r>
      <w:r>
        <w:rPr>
          <w:rFonts w:ascii="Arial" w:hAnsi="Arial" w:cs="Arial"/>
          <w:color w:val="000000"/>
        </w:rPr>
        <w:t xml:space="preserve"> Effectiveness of interventions targeting frequent users of emergency departments: a systematic review. </w:t>
      </w:r>
      <w:r>
        <w:rPr>
          <w:rFonts w:ascii="Arial" w:hAnsi="Arial" w:cs="Arial"/>
          <w:i/>
          <w:iCs/>
          <w:color w:val="000000"/>
        </w:rPr>
        <w:t>Ann. Emerg. Med.</w:t>
      </w:r>
      <w:r>
        <w:rPr>
          <w:rFonts w:ascii="Arial" w:hAnsi="Arial" w:cs="Arial"/>
          <w:color w:val="000000"/>
        </w:rPr>
        <w:t xml:space="preserve"> </w:t>
      </w:r>
      <w:r>
        <w:rPr>
          <w:rFonts w:ascii="Arial" w:hAnsi="Arial" w:cs="Arial"/>
          <w:b/>
          <w:bCs/>
          <w:color w:val="000000"/>
        </w:rPr>
        <w:t>58</w:t>
      </w:r>
      <w:r>
        <w:rPr>
          <w:rFonts w:ascii="Arial" w:hAnsi="Arial" w:cs="Arial"/>
          <w:color w:val="000000"/>
        </w:rPr>
        <w:t>, 41-52.e42 (2011).</w:t>
      </w:r>
    </w:p>
    <w:p w14:paraId="745ED76E">
      <w:pPr>
        <w:pStyle w:val="36"/>
        <w:rPr>
          <w:rFonts w:ascii="Arial" w:hAnsi="Arial" w:cs="Arial"/>
          <w:color w:val="000000"/>
        </w:rPr>
      </w:pPr>
      <w:r>
        <w:rPr>
          <w:rFonts w:ascii="Arial" w:hAnsi="Arial" w:cs="Arial"/>
          <w:color w:val="000000"/>
        </w:rPr>
        <w:t>5.</w:t>
      </w:r>
      <w:r>
        <w:rPr>
          <w:rFonts w:ascii="Arial" w:hAnsi="Arial" w:cs="Arial"/>
          <w:color w:val="000000"/>
        </w:rPr>
        <w:tab/>
      </w:r>
      <w:r>
        <w:rPr>
          <w:rFonts w:ascii="Arial" w:hAnsi="Arial" w:cs="Arial"/>
          <w:color w:val="000000"/>
        </w:rPr>
        <w:t xml:space="preserve">Moe, J. </w:t>
      </w:r>
      <w:r>
        <w:rPr>
          <w:rFonts w:ascii="Arial" w:hAnsi="Arial" w:cs="Arial"/>
          <w:i/>
          <w:iCs/>
          <w:color w:val="000000"/>
        </w:rPr>
        <w:t>et al.</w:t>
      </w:r>
      <w:r>
        <w:rPr>
          <w:rFonts w:ascii="Arial" w:hAnsi="Arial" w:cs="Arial"/>
          <w:color w:val="000000"/>
        </w:rPr>
        <w:t xml:space="preserve"> Effectiveness of Interventions to Decrease Emergency Department Visits by Adult Frequent Users: A Systematic Review. </w:t>
      </w:r>
      <w:r>
        <w:rPr>
          <w:rFonts w:ascii="Arial" w:hAnsi="Arial" w:cs="Arial"/>
          <w:i/>
          <w:iCs/>
          <w:color w:val="000000"/>
        </w:rPr>
        <w:t>Acad. Emerg. Med.</w:t>
      </w:r>
      <w:r>
        <w:rPr>
          <w:rFonts w:ascii="Arial" w:hAnsi="Arial" w:cs="Arial"/>
          <w:color w:val="000000"/>
        </w:rPr>
        <w:t xml:space="preserve"> </w:t>
      </w:r>
      <w:r>
        <w:rPr>
          <w:rFonts w:ascii="Arial" w:hAnsi="Arial" w:cs="Arial"/>
          <w:b/>
          <w:bCs/>
          <w:color w:val="000000"/>
        </w:rPr>
        <w:t>24</w:t>
      </w:r>
      <w:r>
        <w:rPr>
          <w:rFonts w:ascii="Arial" w:hAnsi="Arial" w:cs="Arial"/>
          <w:color w:val="000000"/>
        </w:rPr>
        <w:t>, 40–52 (2017).</w:t>
      </w:r>
    </w:p>
    <w:p w14:paraId="757B99B5">
      <w:pPr>
        <w:pStyle w:val="36"/>
        <w:rPr>
          <w:rFonts w:ascii="Arial" w:hAnsi="Arial" w:cs="Arial"/>
          <w:color w:val="000000"/>
        </w:rPr>
      </w:pPr>
      <w:r>
        <w:rPr>
          <w:rFonts w:ascii="Arial" w:hAnsi="Arial" w:cs="Arial"/>
          <w:color w:val="000000"/>
        </w:rPr>
        <w:t>6.</w:t>
      </w:r>
      <w:r>
        <w:rPr>
          <w:rFonts w:ascii="Arial" w:hAnsi="Arial" w:cs="Arial"/>
          <w:color w:val="000000"/>
        </w:rPr>
        <w:tab/>
      </w:r>
      <w:r>
        <w:rPr>
          <w:rFonts w:ascii="Arial" w:hAnsi="Arial" w:cs="Arial"/>
          <w:color w:val="000000"/>
        </w:rPr>
        <w:t xml:space="preserve">Liu, C. </w:t>
      </w:r>
      <w:r>
        <w:rPr>
          <w:rFonts w:ascii="Arial" w:hAnsi="Arial" w:cs="Arial"/>
          <w:i/>
          <w:iCs/>
          <w:color w:val="000000"/>
        </w:rPr>
        <w:t>et al.</w:t>
      </w:r>
      <w:r>
        <w:rPr>
          <w:rFonts w:ascii="Arial" w:hAnsi="Arial" w:cs="Arial"/>
          <w:color w:val="000000"/>
        </w:rPr>
        <w:t xml:space="preserve"> Effectiveness of Interventions to Decrease Image Ordering for Low Back Pain Presentations in the Emergency Department: A Systematic Review. </w:t>
      </w:r>
      <w:r>
        <w:rPr>
          <w:rFonts w:ascii="Arial" w:hAnsi="Arial" w:cs="Arial"/>
          <w:i/>
          <w:iCs/>
          <w:color w:val="000000"/>
        </w:rPr>
        <w:t>Acad. Emerg. Med.</w:t>
      </w:r>
      <w:r>
        <w:rPr>
          <w:rFonts w:ascii="Arial" w:hAnsi="Arial" w:cs="Arial"/>
          <w:color w:val="000000"/>
        </w:rPr>
        <w:t xml:space="preserve"> </w:t>
      </w:r>
      <w:r>
        <w:rPr>
          <w:rFonts w:ascii="Arial" w:hAnsi="Arial" w:cs="Arial"/>
          <w:b/>
          <w:bCs/>
          <w:color w:val="000000"/>
        </w:rPr>
        <w:t>25</w:t>
      </w:r>
      <w:r>
        <w:rPr>
          <w:rFonts w:ascii="Arial" w:hAnsi="Arial" w:cs="Arial"/>
          <w:color w:val="000000"/>
        </w:rPr>
        <w:t>, 614–626 (2018).</w:t>
      </w:r>
    </w:p>
    <w:p w14:paraId="300655A0">
      <w:pPr>
        <w:spacing w:line="480" w:lineRule="auto"/>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fldChar w:fldCharType="end"/>
      </w:r>
    </w:p>
    <w:p w14:paraId="610AE358"/>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Arial">
    <w:panose1 w:val="020B0604020202090204"/>
    <w:charset w:val="00"/>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Aptos">
    <w:altName w:val="宋体-简"/>
    <w:panose1 w:val="020B0004020202020204"/>
    <w:charset w:val="86"/>
    <w:family w:val="swiss"/>
    <w:pitch w:val="default"/>
    <w:sig w:usb0="00000000" w:usb1="00000000" w:usb2="00000000" w:usb3="00000000" w:csb0="0000019F" w:csb1="00000000"/>
  </w:font>
  <w:font w:name="Aptos">
    <w:altName w:val="苹方-简"/>
    <w:panose1 w:val="00000000000000000000"/>
    <w:charset w:val="00"/>
    <w:family w:val="auto"/>
    <w:pitch w:val="default"/>
    <w:sig w:usb0="00000000" w:usb1="00000000" w:usb2="00000000" w:usb3="00000000" w:csb0="00000000" w:csb1="00000000"/>
  </w:font>
  <w:font w:name="Aptos Display">
    <w:altName w:val="苹方-简"/>
    <w:panose1 w:val="020B0004020202020204"/>
    <w:charset w:val="00"/>
    <w:family w:val="swiss"/>
    <w:pitch w:val="default"/>
    <w:sig w:usb0="00000000" w:usb1="00000000" w:usb2="00000000" w:usb3="00000000" w:csb0="0000019F" w:csb1="00000000"/>
  </w:font>
  <w:font w:name="等线 Light">
    <w:altName w:val="宋体-简"/>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苹方-简">
    <w:altName w:val="Times New Roman"/>
    <w:panose1 w:val="020B0600000000000000"/>
    <w:charset w:val="00"/>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4A5"/>
    <w:rsid w:val="00037A90"/>
    <w:rsid w:val="00074C44"/>
    <w:rsid w:val="000A663F"/>
    <w:rsid w:val="000B1788"/>
    <w:rsid w:val="00111898"/>
    <w:rsid w:val="00115B24"/>
    <w:rsid w:val="002671D9"/>
    <w:rsid w:val="0027475F"/>
    <w:rsid w:val="002E3E4E"/>
    <w:rsid w:val="002E630F"/>
    <w:rsid w:val="002F399F"/>
    <w:rsid w:val="002F5383"/>
    <w:rsid w:val="002F53BA"/>
    <w:rsid w:val="00314E85"/>
    <w:rsid w:val="00326B2D"/>
    <w:rsid w:val="00362815"/>
    <w:rsid w:val="003709A8"/>
    <w:rsid w:val="003A44EC"/>
    <w:rsid w:val="0040648C"/>
    <w:rsid w:val="004751E4"/>
    <w:rsid w:val="00490D26"/>
    <w:rsid w:val="004C3BB7"/>
    <w:rsid w:val="004C439E"/>
    <w:rsid w:val="005704B6"/>
    <w:rsid w:val="00606DBC"/>
    <w:rsid w:val="006136D6"/>
    <w:rsid w:val="00632BE9"/>
    <w:rsid w:val="00681FB3"/>
    <w:rsid w:val="006A4726"/>
    <w:rsid w:val="006A64BE"/>
    <w:rsid w:val="006B132F"/>
    <w:rsid w:val="006D3EB4"/>
    <w:rsid w:val="006E5838"/>
    <w:rsid w:val="006F398E"/>
    <w:rsid w:val="00707AA2"/>
    <w:rsid w:val="00712E3B"/>
    <w:rsid w:val="007440F6"/>
    <w:rsid w:val="00773191"/>
    <w:rsid w:val="00823105"/>
    <w:rsid w:val="00831925"/>
    <w:rsid w:val="008760C6"/>
    <w:rsid w:val="0088269B"/>
    <w:rsid w:val="00893B01"/>
    <w:rsid w:val="009334D1"/>
    <w:rsid w:val="00956633"/>
    <w:rsid w:val="00992AFD"/>
    <w:rsid w:val="009E4F8D"/>
    <w:rsid w:val="009E5B8D"/>
    <w:rsid w:val="00A12183"/>
    <w:rsid w:val="00A2757B"/>
    <w:rsid w:val="00A444A5"/>
    <w:rsid w:val="00A651D6"/>
    <w:rsid w:val="00A65868"/>
    <w:rsid w:val="00AD2765"/>
    <w:rsid w:val="00B23618"/>
    <w:rsid w:val="00B30C3C"/>
    <w:rsid w:val="00B53E08"/>
    <w:rsid w:val="00B9275A"/>
    <w:rsid w:val="00BD468F"/>
    <w:rsid w:val="00BE684E"/>
    <w:rsid w:val="00C12744"/>
    <w:rsid w:val="00C34842"/>
    <w:rsid w:val="00C42C4C"/>
    <w:rsid w:val="00C6189E"/>
    <w:rsid w:val="00CE3035"/>
    <w:rsid w:val="00D02CCD"/>
    <w:rsid w:val="00D46E4E"/>
    <w:rsid w:val="00D80C3A"/>
    <w:rsid w:val="00D850C5"/>
    <w:rsid w:val="00D85EF1"/>
    <w:rsid w:val="00E122BF"/>
    <w:rsid w:val="00E13D75"/>
    <w:rsid w:val="00E56AC8"/>
    <w:rsid w:val="00EB0E4E"/>
    <w:rsid w:val="00F07E58"/>
    <w:rsid w:val="00F10864"/>
    <w:rsid w:val="00F54B7A"/>
    <w:rsid w:val="00F728F7"/>
    <w:rsid w:val="00FA31AB"/>
    <w:rsid w:val="00FB36B2"/>
    <w:rsid w:val="00FB3CF8"/>
    <w:rsid w:val="DFDF2F4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kern w:val="0"/>
      <w:sz w:val="24"/>
      <w:szCs w:val="24"/>
      <w:lang w:val="en-GB" w:eastAsia="en-GB" w:bidi="ar-SA"/>
      <w14:ligatures w14:val="none"/>
    </w:rPr>
  </w:style>
  <w:style w:type="paragraph" w:styleId="2">
    <w:name w:val="heading 1"/>
    <w:basedOn w:val="1"/>
    <w:next w:val="1"/>
    <w:link w:val="17"/>
    <w:autoRedefine/>
    <w:qFormat/>
    <w:uiPriority w:val="9"/>
    <w:pPr>
      <w:keepNext/>
      <w:keepLines/>
      <w:pBdr>
        <w:top w:val="none" w:color="auto" w:sz="0" w:space="0"/>
        <w:left w:val="none" w:color="auto" w:sz="0" w:space="0"/>
        <w:bottom w:val="none" w:color="auto" w:sz="0" w:space="0"/>
        <w:right w:val="none" w:color="auto" w:sz="0" w:space="0"/>
        <w:between w:val="none" w:color="auto" w:sz="0" w:space="0"/>
      </w:pBdr>
      <w:spacing w:before="240" w:after="120"/>
      <w:outlineLvl w:val="0"/>
    </w:pPr>
    <w:rPr>
      <w:rFonts w:asciiTheme="majorHAnsi" w:hAnsiTheme="majorHAnsi" w:eastAsiaTheme="majorEastAsia" w:cstheme="majorBidi"/>
      <w:color w:val="104862" w:themeColor="accent1" w:themeShade="BF"/>
      <w:kern w:val="2"/>
      <w:sz w:val="32"/>
      <w:szCs w:val="32"/>
      <w:lang w:eastAsia="en-US"/>
      <w14:ligatures w14:val="standardContextual"/>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kern w:val="2"/>
      <w:sz w:val="32"/>
      <w:szCs w:val="32"/>
      <w:lang w:eastAsia="en-US"/>
      <w14:ligatures w14:val="standardContextual"/>
    </w:rPr>
  </w:style>
  <w:style w:type="paragraph" w:styleId="4">
    <w:name w:val="heading 3"/>
    <w:basedOn w:val="1"/>
    <w:next w:val="1"/>
    <w:link w:val="19"/>
    <w:semiHidden/>
    <w:unhideWhenUsed/>
    <w:qFormat/>
    <w:uiPriority w:val="9"/>
    <w:pPr>
      <w:keepNext/>
      <w:keepLines/>
      <w:spacing w:before="160" w:after="80"/>
      <w:outlineLvl w:val="2"/>
    </w:pPr>
    <w:rPr>
      <w:rFonts w:asciiTheme="minorHAnsi" w:hAnsiTheme="minorHAnsi" w:eastAsiaTheme="majorEastAsia" w:cstheme="majorBidi"/>
      <w:color w:val="104862" w:themeColor="accent1" w:themeShade="BF"/>
      <w:kern w:val="2"/>
      <w:sz w:val="28"/>
      <w:szCs w:val="28"/>
      <w:lang w:eastAsia="en-US"/>
      <w14:ligatures w14:val="standardContextual"/>
    </w:rPr>
  </w:style>
  <w:style w:type="paragraph" w:styleId="5">
    <w:name w:val="heading 4"/>
    <w:basedOn w:val="1"/>
    <w:next w:val="1"/>
    <w:link w:val="20"/>
    <w:semiHidden/>
    <w:unhideWhenUsed/>
    <w:qFormat/>
    <w:uiPriority w:val="9"/>
    <w:pPr>
      <w:keepNext/>
      <w:keepLines/>
      <w:spacing w:before="80" w:after="40"/>
      <w:outlineLvl w:val="3"/>
    </w:pPr>
    <w:rPr>
      <w:rFonts w:asciiTheme="minorHAnsi" w:hAnsiTheme="minorHAnsi" w:eastAsiaTheme="majorEastAsia" w:cstheme="majorBidi"/>
      <w:i/>
      <w:iCs/>
      <w:color w:val="104862" w:themeColor="accent1" w:themeShade="BF"/>
      <w:kern w:val="2"/>
      <w:lang w:eastAsia="en-US"/>
      <w14:ligatures w14:val="standardContextual"/>
    </w:rPr>
  </w:style>
  <w:style w:type="paragraph" w:styleId="6">
    <w:name w:val="heading 5"/>
    <w:basedOn w:val="1"/>
    <w:next w:val="1"/>
    <w:link w:val="21"/>
    <w:semiHidden/>
    <w:unhideWhenUsed/>
    <w:qFormat/>
    <w:uiPriority w:val="9"/>
    <w:pPr>
      <w:keepNext/>
      <w:keepLines/>
      <w:spacing w:before="80" w:after="40"/>
      <w:outlineLvl w:val="4"/>
    </w:pPr>
    <w:rPr>
      <w:rFonts w:asciiTheme="minorHAnsi" w:hAnsiTheme="minorHAnsi" w:eastAsiaTheme="majorEastAsia" w:cstheme="majorBidi"/>
      <w:color w:val="104862" w:themeColor="accent1" w:themeShade="BF"/>
      <w:kern w:val="2"/>
      <w:lang w:eastAsia="en-US"/>
      <w14:ligatures w14:val="standardContextual"/>
    </w:rPr>
  </w:style>
  <w:style w:type="paragraph" w:styleId="7">
    <w:name w:val="heading 6"/>
    <w:basedOn w:val="1"/>
    <w:next w:val="1"/>
    <w:link w:val="22"/>
    <w:semiHidden/>
    <w:unhideWhenUsed/>
    <w:qFormat/>
    <w:uiPriority w:val="9"/>
    <w:pPr>
      <w:keepNext/>
      <w:keepLines/>
      <w:spacing w:before="40"/>
      <w:outlineLvl w:val="5"/>
    </w:pPr>
    <w:rPr>
      <w:rFonts w:asciiTheme="minorHAnsi" w:hAnsiTheme="minorHAnsi" w:eastAsiaTheme="majorEastAsia" w:cstheme="majorBidi"/>
      <w:i/>
      <w:iCs/>
      <w:color w:val="595959" w:themeColor="text1" w:themeTint="A6"/>
      <w:kern w:val="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23"/>
    <w:semiHidden/>
    <w:unhideWhenUsed/>
    <w:qFormat/>
    <w:uiPriority w:val="9"/>
    <w:pPr>
      <w:keepNext/>
      <w:keepLines/>
      <w:spacing w:before="40"/>
      <w:outlineLvl w:val="6"/>
    </w:pPr>
    <w:rPr>
      <w:rFonts w:asciiTheme="minorHAnsi" w:hAnsiTheme="minorHAnsi" w:eastAsiaTheme="majorEastAsia" w:cstheme="majorBidi"/>
      <w:color w:val="595959" w:themeColor="text1" w:themeTint="A6"/>
      <w:kern w:val="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24"/>
    <w:semiHidden/>
    <w:unhideWhenUsed/>
    <w:qFormat/>
    <w:uiPriority w:val="9"/>
    <w:pPr>
      <w:keepNext/>
      <w:keepLines/>
      <w:outlineLvl w:val="7"/>
    </w:pPr>
    <w:rPr>
      <w:rFonts w:asciiTheme="minorHAnsi" w:hAnsiTheme="minorHAnsi" w:eastAsiaTheme="majorEastAsia" w:cstheme="majorBidi"/>
      <w:i/>
      <w:iCs/>
      <w:color w:val="262626" w:themeColor="text1" w:themeTint="D9"/>
      <w:kern w:val="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25"/>
    <w:semiHidden/>
    <w:unhideWhenUsed/>
    <w:qFormat/>
    <w:uiPriority w:val="9"/>
    <w:pPr>
      <w:keepNext/>
      <w:keepLines/>
      <w:outlineLvl w:val="8"/>
    </w:pPr>
    <w:rPr>
      <w:rFonts w:asciiTheme="minorHAnsi" w:hAnsiTheme="minorHAnsi" w:eastAsiaTheme="majorEastAsia" w:cstheme="majorBidi"/>
      <w:color w:val="262626" w:themeColor="text1" w:themeTint="D9"/>
      <w:kern w:val="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annotation reference"/>
    <w:basedOn w:val="11"/>
    <w:semiHidden/>
    <w:unhideWhenUsed/>
    <w:uiPriority w:val="99"/>
    <w:rPr>
      <w:sz w:val="16"/>
      <w:szCs w:val="16"/>
    </w:rPr>
  </w:style>
  <w:style w:type="paragraph" w:styleId="14">
    <w:name w:val="annotation text"/>
    <w:basedOn w:val="1"/>
    <w:link w:val="35"/>
    <w:semiHidden/>
    <w:unhideWhenUsed/>
    <w:uiPriority w:val="99"/>
    <w:rPr>
      <w:sz w:val="20"/>
      <w:szCs w:val="20"/>
    </w:rPr>
  </w:style>
  <w:style w:type="paragraph" w:styleId="15">
    <w:name w:val="Subtitle"/>
    <w:basedOn w:val="1"/>
    <w:next w:val="1"/>
    <w:link w:val="27"/>
    <w:qFormat/>
    <w:uiPriority w:val="11"/>
    <w:pPr>
      <w:spacing w:after="160"/>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16">
    <w:name w:val="Title"/>
    <w:basedOn w:val="1"/>
    <w:next w:val="1"/>
    <w:link w:val="26"/>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17">
    <w:name w:val="Heading 1 Char"/>
    <w:basedOn w:val="11"/>
    <w:link w:val="2"/>
    <w:uiPriority w:val="9"/>
    <w:rPr>
      <w:rFonts w:asciiTheme="majorHAnsi" w:hAnsiTheme="majorHAnsi" w:eastAsiaTheme="majorEastAsia" w:cstheme="majorBidi"/>
      <w:color w:val="104862" w:themeColor="accent1" w:themeShade="BF"/>
      <w:sz w:val="32"/>
      <w:szCs w:val="32"/>
    </w:rPr>
  </w:style>
  <w:style w:type="character" w:customStyle="1" w:styleId="18">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19">
    <w:name w:val="Heading 3 Char"/>
    <w:basedOn w:val="11"/>
    <w:link w:val="4"/>
    <w:semiHidden/>
    <w:uiPriority w:val="9"/>
    <w:rPr>
      <w:rFonts w:eastAsiaTheme="majorEastAsia" w:cstheme="majorBidi"/>
      <w:color w:val="104862" w:themeColor="accent1" w:themeShade="BF"/>
      <w:sz w:val="28"/>
      <w:szCs w:val="28"/>
    </w:rPr>
  </w:style>
  <w:style w:type="character" w:customStyle="1" w:styleId="20">
    <w:name w:val="Heading 4 Char"/>
    <w:basedOn w:val="11"/>
    <w:link w:val="5"/>
    <w:semiHidden/>
    <w:uiPriority w:val="9"/>
    <w:rPr>
      <w:rFonts w:eastAsiaTheme="majorEastAsia" w:cstheme="majorBidi"/>
      <w:i/>
      <w:iCs/>
      <w:color w:val="104862" w:themeColor="accent1" w:themeShade="BF"/>
    </w:rPr>
  </w:style>
  <w:style w:type="character" w:customStyle="1" w:styleId="21">
    <w:name w:val="Heading 5 Char"/>
    <w:basedOn w:val="11"/>
    <w:link w:val="6"/>
    <w:semiHidden/>
    <w:uiPriority w:val="9"/>
    <w:rPr>
      <w:rFonts w:eastAsiaTheme="majorEastAsia" w:cstheme="majorBidi"/>
      <w:color w:val="104862" w:themeColor="accent1" w:themeShade="BF"/>
    </w:rPr>
  </w:style>
  <w:style w:type="character" w:customStyle="1" w:styleId="22">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itle Char"/>
    <w:basedOn w:val="11"/>
    <w:link w:val="16"/>
    <w:uiPriority w:val="10"/>
    <w:rPr>
      <w:rFonts w:asciiTheme="majorHAnsi" w:hAnsiTheme="majorHAnsi" w:eastAsiaTheme="majorEastAsia" w:cstheme="majorBidi"/>
      <w:spacing w:val="-10"/>
      <w:kern w:val="28"/>
      <w:sz w:val="56"/>
      <w:szCs w:val="56"/>
    </w:rPr>
  </w:style>
  <w:style w:type="character" w:customStyle="1" w:styleId="27">
    <w:name w:val="Subtitle Char"/>
    <w:basedOn w:val="11"/>
    <w:link w:val="15"/>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rFonts w:asciiTheme="minorHAnsi" w:hAnsiTheme="minorHAnsi" w:eastAsiaTheme="minorHAnsi" w:cstheme="minorBidi"/>
      <w:i/>
      <w:iCs/>
      <w:color w:val="404040" w:themeColor="text1" w:themeTint="BF"/>
      <w:kern w:val="2"/>
      <w:lang w:eastAsia="en-US"/>
      <w14:textFill>
        <w14:solidFill>
          <w14:schemeClr w14:val="tx1">
            <w14:lumMod w14:val="75000"/>
            <w14:lumOff w14:val="25000"/>
          </w14:schemeClr>
        </w14:solidFill>
      </w14:textFill>
      <w14:ligatures w14:val="standardContextual"/>
    </w:rPr>
  </w:style>
  <w:style w:type="character" w:customStyle="1" w:styleId="29">
    <w:name w:val="Quote Char"/>
    <w:basedOn w:val="11"/>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rPr>
      <w:rFonts w:asciiTheme="minorHAnsi" w:hAnsiTheme="minorHAnsi" w:eastAsiaTheme="minorHAnsi" w:cstheme="minorBidi"/>
      <w:kern w:val="2"/>
      <w:lang w:eastAsia="en-US"/>
      <w14:ligatures w14:val="standardContextual"/>
    </w:rPr>
  </w:style>
  <w:style w:type="character" w:customStyle="1" w:styleId="31">
    <w:name w:val="Intense Emphasis"/>
    <w:basedOn w:val="11"/>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HAnsi" w:cstheme="minorBidi"/>
      <w:i/>
      <w:iCs/>
      <w:color w:val="104862" w:themeColor="accent1" w:themeShade="BF"/>
      <w:kern w:val="2"/>
      <w:lang w:eastAsia="en-US"/>
      <w14:ligatures w14:val="standardContextual"/>
    </w:rPr>
  </w:style>
  <w:style w:type="character" w:customStyle="1" w:styleId="33">
    <w:name w:val="Intense Quote Char"/>
    <w:basedOn w:val="11"/>
    <w:link w:val="32"/>
    <w:uiPriority w:val="30"/>
    <w:rPr>
      <w:i/>
      <w:iCs/>
      <w:color w:val="104862" w:themeColor="accent1" w:themeShade="BF"/>
    </w:rPr>
  </w:style>
  <w:style w:type="character" w:customStyle="1" w:styleId="34">
    <w:name w:val="Intense Reference"/>
    <w:basedOn w:val="11"/>
    <w:qFormat/>
    <w:uiPriority w:val="32"/>
    <w:rPr>
      <w:b/>
      <w:bCs/>
      <w:smallCaps/>
      <w:color w:val="104862" w:themeColor="accent1" w:themeShade="BF"/>
      <w:spacing w:val="5"/>
    </w:rPr>
  </w:style>
  <w:style w:type="character" w:customStyle="1" w:styleId="35">
    <w:name w:val="Comment Text Char"/>
    <w:basedOn w:val="11"/>
    <w:link w:val="14"/>
    <w:semiHidden/>
    <w:uiPriority w:val="99"/>
    <w:rPr>
      <w:rFonts w:ascii="Times New Roman" w:hAnsi="Times New Roman" w:eastAsia="Times New Roman" w:cs="Times New Roman"/>
      <w:kern w:val="0"/>
      <w:sz w:val="20"/>
      <w:szCs w:val="20"/>
      <w:lang w:eastAsia="en-GB"/>
      <w14:ligatures w14:val="none"/>
    </w:rPr>
  </w:style>
  <w:style w:type="paragraph" w:customStyle="1" w:styleId="36">
    <w:name w:val="Bibliography"/>
    <w:basedOn w:val="1"/>
    <w:next w:val="1"/>
    <w:unhideWhenUsed/>
    <w:uiPriority w:val="37"/>
    <w:pPr>
      <w:tabs>
        <w:tab w:val="left" w:pos="260"/>
      </w:tabs>
      <w:spacing w:line="480" w:lineRule="auto"/>
      <w:ind w:left="264" w:hanging="264"/>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3834</Words>
  <Characters>21855</Characters>
  <Lines>182</Lines>
  <Paragraphs>51</Paragraphs>
  <TotalTime>1</TotalTime>
  <ScaleCrop>false</ScaleCrop>
  <LinksUpToDate>false</LinksUpToDate>
  <CharactersWithSpaces>25638</CharactersWithSpaces>
  <Application>WPS Office_6.10.2.8397_F1E327BC-269C-435d-A152-05C5408002CA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2025-02-05T14:23:00Z</dcterms:created>
  <dc:creator>Thomas Roberts</dc:creator>
  <cp:lastModifiedBy>WPS_1660052749</cp:lastModifiedBy>
  <dcterms:modified xsi:type="dcterms:W3CDTF">2025-02-05T14:30:12Z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id="LCf4RF7q"/&gt;&lt;style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y fmtid="{D5CDD505-2E9C-101B-9397-08002B2CF9AE}" pid="4" name="KSOProductBuildVer">
    <vt:lpwstr>1033-6.10.2.8397</vt:lpwstr>
  </property>
  <property fmtid="{D5CDD505-2E9C-101B-9397-08002B2CF9AE}" pid="5" name="ICV">
    <vt:lpwstr>65B92287378F51A9F475A3674B39DC9E_42</vt:lpwstr>
  </property>
</Properties>
</file>