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AD" w:rsidRPr="00BB1F52" w:rsidRDefault="008444AD" w:rsidP="008444AD">
      <w:pPr>
        <w:spacing w:line="480" w:lineRule="auto"/>
        <w:jc w:val="both"/>
        <w:rPr>
          <w:rFonts w:ascii="Calibri" w:hAnsi="Calibri" w:cs="Calibri"/>
          <w:b/>
          <w:color w:val="000000" w:themeColor="text1"/>
        </w:rPr>
      </w:pPr>
      <w:r>
        <w:rPr>
          <w:rFonts w:ascii="Calibri" w:hAnsi="Calibri" w:cs="Calibri"/>
          <w:b/>
          <w:color w:val="000000" w:themeColor="text1"/>
        </w:rPr>
        <w:t>Appendix</w:t>
      </w:r>
    </w:p>
    <w:p w:rsidR="008444AD" w:rsidRPr="00BB1F52" w:rsidRDefault="008444AD" w:rsidP="008444AD">
      <w:pPr>
        <w:spacing w:line="480" w:lineRule="auto"/>
        <w:jc w:val="both"/>
        <w:rPr>
          <w:rFonts w:ascii="Calibri" w:hAnsi="Calibri" w:cs="Calibri"/>
          <w:b/>
          <w:color w:val="000000" w:themeColor="text1"/>
        </w:rPr>
      </w:pPr>
      <w:r>
        <w:rPr>
          <w:rFonts w:ascii="Calibri" w:hAnsi="Calibri" w:cs="Calibri"/>
          <w:b/>
          <w:noProof/>
          <w:color w:val="000000" w:themeColor="text1"/>
          <w:lang w:val="en-IN" w:eastAsia="en-IN"/>
        </w:rPr>
        <w:drawing>
          <wp:inline distT="0" distB="0" distL="0" distR="0" wp14:anchorId="13BB0A56" wp14:editId="09884981">
            <wp:extent cx="6119495" cy="3519805"/>
            <wp:effectExtent l="0" t="0" r="1905" b="0"/>
            <wp:docPr id="5751715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71531" name="Grafik 5751715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19495" cy="3519805"/>
                    </a:xfrm>
                    <a:prstGeom prst="rect">
                      <a:avLst/>
                    </a:prstGeom>
                  </pic:spPr>
                </pic:pic>
              </a:graphicData>
            </a:graphic>
          </wp:inline>
        </w:drawing>
      </w:r>
    </w:p>
    <w:p w:rsidR="008444AD" w:rsidRPr="00BB1F52" w:rsidRDefault="008444AD" w:rsidP="008444AD">
      <w:pPr>
        <w:spacing w:line="480" w:lineRule="auto"/>
        <w:jc w:val="both"/>
        <w:rPr>
          <w:rFonts w:ascii="Calibri" w:hAnsi="Calibri" w:cs="Calibri"/>
          <w:color w:val="000000" w:themeColor="text1"/>
          <w:lang w:val="en-US"/>
        </w:rPr>
      </w:pPr>
      <w:proofErr w:type="gramStart"/>
      <w:r>
        <w:rPr>
          <w:rFonts w:ascii="Calibri" w:hAnsi="Calibri" w:cs="Calibri"/>
          <w:b/>
          <w:color w:val="000000" w:themeColor="text1"/>
          <w:lang w:val="en-US"/>
        </w:rPr>
        <w:t>Figure 2.</w:t>
      </w:r>
      <w:proofErr w:type="gramEnd"/>
      <w:r>
        <w:rPr>
          <w:rFonts w:ascii="Calibri" w:hAnsi="Calibri" w:cs="Calibri"/>
          <w:b/>
          <w:color w:val="000000" w:themeColor="text1"/>
          <w:lang w:val="en-US"/>
        </w:rPr>
        <w:t xml:space="preserve"> </w:t>
      </w:r>
      <w:proofErr w:type="gramStart"/>
      <w:r>
        <w:rPr>
          <w:rFonts w:ascii="Calibri" w:hAnsi="Calibri" w:cs="Calibri"/>
          <w:color w:val="000000" w:themeColor="text1"/>
          <w:lang w:val="en-US"/>
        </w:rPr>
        <w:t>Screenshots illustrating the stepwise workflow of the 'CPR Team Leader' application during the ventricular fibrillation (VF) algorithm pathway.</w:t>
      </w:r>
      <w:proofErr w:type="gramEnd"/>
    </w:p>
    <w:p w:rsidR="008444AD" w:rsidRPr="00BB1F52" w:rsidRDefault="008444AD" w:rsidP="008444AD">
      <w:pPr>
        <w:spacing w:line="480" w:lineRule="auto"/>
        <w:jc w:val="both"/>
        <w:rPr>
          <w:rFonts w:ascii="Calibri" w:hAnsi="Calibri" w:cs="Calibri"/>
          <w:b/>
          <w:color w:val="000000" w:themeColor="text1"/>
          <w:lang w:val="en-US"/>
        </w:rPr>
      </w:pPr>
      <w:r>
        <w:rPr>
          <w:rFonts w:ascii="Calibri" w:hAnsi="Calibri" w:cs="Calibri"/>
          <w:color w:val="000000" w:themeColor="text1"/>
          <w:sz w:val="21"/>
          <w:szCs w:val="21"/>
          <w:lang w:val="en-US"/>
        </w:rPr>
        <w:t xml:space="preserve">(A) Application start screen. (B) Screen prompting confirmation of arrival at the patient. (C) Screen displaying arrival time and options to initiate resuscitation or emergency care. (D) Main resuscitation screen showing elapsed time, a countdown timer for the next rhythm check, and quick-access fields for defibrillation, epinephrine, and </w:t>
      </w:r>
      <w:proofErr w:type="spellStart"/>
      <w:r>
        <w:rPr>
          <w:rFonts w:ascii="Calibri" w:hAnsi="Calibri" w:cs="Calibri"/>
          <w:color w:val="000000" w:themeColor="text1"/>
          <w:sz w:val="21"/>
          <w:szCs w:val="21"/>
          <w:lang w:val="en-US"/>
        </w:rPr>
        <w:t>amiodarone</w:t>
      </w:r>
      <w:proofErr w:type="spellEnd"/>
      <w:r>
        <w:rPr>
          <w:rFonts w:ascii="Calibri" w:hAnsi="Calibri" w:cs="Calibri"/>
          <w:color w:val="000000" w:themeColor="text1"/>
          <w:sz w:val="21"/>
          <w:szCs w:val="21"/>
          <w:lang w:val="en-US"/>
        </w:rPr>
        <w:t xml:space="preserve"> administration. (E) Rhythm analysis pop-up window allowing selection of the identified cardiac rhythm (e.g., ventricular fibrillation/pulseless ventricular tachycardia, </w:t>
      </w:r>
      <w:proofErr w:type="spellStart"/>
      <w:r>
        <w:rPr>
          <w:rFonts w:ascii="Calibri" w:hAnsi="Calibri" w:cs="Calibri"/>
          <w:color w:val="000000" w:themeColor="text1"/>
          <w:sz w:val="21"/>
          <w:szCs w:val="21"/>
          <w:lang w:val="en-US"/>
        </w:rPr>
        <w:t>asystole</w:t>
      </w:r>
      <w:proofErr w:type="spellEnd"/>
      <w:r>
        <w:rPr>
          <w:rFonts w:ascii="Calibri" w:hAnsi="Calibri" w:cs="Calibri"/>
          <w:color w:val="000000" w:themeColor="text1"/>
          <w:sz w:val="21"/>
          <w:szCs w:val="21"/>
          <w:lang w:val="en-US"/>
        </w:rPr>
        <w:t>, pulseless electrical activity). (F) Screen following selection of ventricular fibrillation/pulseless VT, initiating the corresponding algorithm branch. (G) Screen during ongoing resuscitation, including a prompt for team member rotation ("</w:t>
      </w:r>
      <w:proofErr w:type="spellStart"/>
      <w:r>
        <w:rPr>
          <w:rFonts w:ascii="Calibri" w:hAnsi="Calibri" w:cs="Calibri"/>
          <w:color w:val="000000" w:themeColor="text1"/>
          <w:sz w:val="21"/>
          <w:szCs w:val="21"/>
          <w:lang w:val="en-US"/>
        </w:rPr>
        <w:t>Helferwechsel</w:t>
      </w:r>
      <w:proofErr w:type="spellEnd"/>
      <w:r>
        <w:rPr>
          <w:rFonts w:ascii="Calibri" w:hAnsi="Calibri" w:cs="Calibri"/>
          <w:color w:val="000000" w:themeColor="text1"/>
          <w:sz w:val="21"/>
          <w:szCs w:val="21"/>
          <w:lang w:val="en-US"/>
        </w:rPr>
        <w:t xml:space="preserve">") and updated defibrillation counter. (H) Screen at a later time point showing cumulative defibrillation, epinephrine, and </w:t>
      </w:r>
      <w:proofErr w:type="spellStart"/>
      <w:r>
        <w:rPr>
          <w:rFonts w:ascii="Calibri" w:hAnsi="Calibri" w:cs="Calibri"/>
          <w:color w:val="000000" w:themeColor="text1"/>
          <w:sz w:val="21"/>
          <w:szCs w:val="21"/>
          <w:lang w:val="en-US"/>
        </w:rPr>
        <w:t>amiodarone</w:t>
      </w:r>
      <w:proofErr w:type="spellEnd"/>
      <w:r>
        <w:rPr>
          <w:rFonts w:ascii="Calibri" w:hAnsi="Calibri" w:cs="Calibri"/>
          <w:color w:val="000000" w:themeColor="text1"/>
          <w:sz w:val="21"/>
          <w:szCs w:val="21"/>
          <w:lang w:val="en-US"/>
        </w:rPr>
        <w:t xml:space="preserve"> administration counts.</w:t>
      </w:r>
    </w:p>
    <w:tbl>
      <w:tblPr>
        <w:tblStyle w:val="GridTableLight"/>
        <w:tblW w:w="5000" w:type="pct"/>
        <w:tblLook w:val="0420" w:firstRow="1" w:lastRow="0" w:firstColumn="0" w:lastColumn="0" w:noHBand="0" w:noVBand="1"/>
      </w:tblPr>
      <w:tblGrid>
        <w:gridCol w:w="1975"/>
        <w:gridCol w:w="1675"/>
        <w:gridCol w:w="1382"/>
        <w:gridCol w:w="1999"/>
        <w:gridCol w:w="979"/>
        <w:gridCol w:w="1232"/>
      </w:tblGrid>
      <w:tr w:rsidR="008444AD" w:rsidTr="007053F0">
        <w:tc>
          <w:tcPr>
            <w:tcW w:w="1085" w:type="pct"/>
          </w:tcPr>
          <w:p w:rsidR="008444AD" w:rsidRPr="00BB1F52" w:rsidRDefault="008444AD" w:rsidP="007053F0">
            <w:pPr>
              <w:pBdr>
                <w:top w:val="nil"/>
                <w:left w:val="nil"/>
                <w:bottom w:val="nil"/>
                <w:right w:val="nil"/>
              </w:pBdr>
              <w:spacing w:before="40" w:after="40"/>
              <w:ind w:left="100" w:right="100"/>
              <w:rPr>
                <w:rFonts w:ascii="Arial" w:eastAsia="Arial" w:hAnsi="Arial" w:cs="Arial"/>
                <w:color w:val="000000" w:themeColor="text1"/>
                <w:sz w:val="22"/>
                <w:szCs w:val="22"/>
              </w:rPr>
            </w:pPr>
            <w:r>
              <w:rPr>
                <w:rFonts w:ascii="Arial" w:eastAsia="Arial" w:hAnsi="Arial" w:cs="Arial"/>
                <w:color w:val="000000" w:themeColor="text1"/>
                <w:sz w:val="22"/>
                <w:szCs w:val="22"/>
              </w:rPr>
              <w:t>Parameter</w:t>
            </w:r>
          </w:p>
        </w:tc>
        <w:tc>
          <w:tcPr>
            <w:tcW w:w="870" w:type="pct"/>
          </w:tcPr>
          <w:p w:rsidR="008444AD" w:rsidRPr="00BB1F52" w:rsidRDefault="008444AD" w:rsidP="007053F0">
            <w:pPr>
              <w:pBdr>
                <w:top w:val="nil"/>
                <w:left w:val="nil"/>
                <w:bottom w:val="nil"/>
                <w:right w:val="nil"/>
              </w:pBdr>
              <w:spacing w:before="40" w:after="40"/>
              <w:ind w:left="100" w:right="100"/>
              <w:jc w:val="center"/>
              <w:rPr>
                <w:rFonts w:ascii="Arial" w:eastAsia="Arial" w:hAnsi="Arial" w:cs="Arial"/>
                <w:color w:val="000000" w:themeColor="text1"/>
                <w:sz w:val="22"/>
                <w:szCs w:val="22"/>
              </w:rPr>
            </w:pPr>
            <w:r>
              <w:rPr>
                <w:rFonts w:ascii="Arial" w:eastAsia="Arial" w:hAnsi="Arial" w:cs="Arial"/>
                <w:b/>
                <w:color w:val="000000" w:themeColor="text1"/>
                <w:sz w:val="22"/>
                <w:szCs w:val="22"/>
              </w:rPr>
              <w:t>Intervention</w:t>
            </w:r>
            <w:r>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br/>
              <w:t>N = 40</w:t>
            </w:r>
          </w:p>
        </w:tc>
        <w:tc>
          <w:tcPr>
            <w:tcW w:w="718" w:type="pct"/>
          </w:tcPr>
          <w:p w:rsidR="008444AD" w:rsidRPr="00BB1F52" w:rsidRDefault="008444AD" w:rsidP="007053F0">
            <w:pPr>
              <w:pBdr>
                <w:top w:val="nil"/>
                <w:left w:val="nil"/>
                <w:bottom w:val="nil"/>
                <w:right w:val="nil"/>
              </w:pBdr>
              <w:spacing w:before="40" w:after="40"/>
              <w:ind w:left="100" w:right="100"/>
              <w:jc w:val="center"/>
              <w:rPr>
                <w:rFonts w:ascii="Arial" w:eastAsia="Arial" w:hAnsi="Arial" w:cs="Arial"/>
                <w:color w:val="000000" w:themeColor="text1"/>
                <w:sz w:val="22"/>
                <w:szCs w:val="22"/>
              </w:rPr>
            </w:pPr>
            <w:r>
              <w:rPr>
                <w:rFonts w:ascii="Arial" w:eastAsia="Arial" w:hAnsi="Arial" w:cs="Arial"/>
                <w:b/>
                <w:color w:val="000000" w:themeColor="text1"/>
                <w:sz w:val="22"/>
                <w:szCs w:val="22"/>
              </w:rPr>
              <w:t>Kontrolle</w:t>
            </w:r>
            <w:r>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br/>
              <w:t>N = 40</w:t>
            </w:r>
          </w:p>
        </w:tc>
        <w:tc>
          <w:tcPr>
            <w:tcW w:w="1098" w:type="pct"/>
          </w:tcPr>
          <w:p w:rsidR="008444AD" w:rsidRPr="00BB1F52" w:rsidRDefault="008444AD" w:rsidP="007053F0">
            <w:pPr>
              <w:pBdr>
                <w:top w:val="nil"/>
                <w:left w:val="nil"/>
                <w:bottom w:val="nil"/>
                <w:right w:val="nil"/>
              </w:pBdr>
              <w:spacing w:before="40" w:after="40"/>
              <w:ind w:left="100" w:right="100"/>
              <w:jc w:val="center"/>
              <w:rPr>
                <w:rFonts w:ascii="Arial" w:eastAsia="Arial" w:hAnsi="Arial" w:cs="Arial"/>
                <w:color w:val="000000" w:themeColor="text1"/>
                <w:sz w:val="22"/>
                <w:szCs w:val="22"/>
              </w:rPr>
            </w:pPr>
            <w:r>
              <w:rPr>
                <w:rFonts w:ascii="Arial" w:eastAsia="Arial" w:hAnsi="Arial" w:cs="Arial"/>
                <w:b/>
                <w:color w:val="000000" w:themeColor="text1"/>
                <w:sz w:val="22"/>
                <w:szCs w:val="22"/>
              </w:rPr>
              <w:t>Difference [95% CI]</w:t>
            </w:r>
          </w:p>
        </w:tc>
        <w:tc>
          <w:tcPr>
            <w:tcW w:w="530" w:type="pct"/>
          </w:tcPr>
          <w:p w:rsidR="008444AD" w:rsidRPr="00BB1F52" w:rsidRDefault="008444AD" w:rsidP="007053F0">
            <w:pPr>
              <w:pBdr>
                <w:top w:val="nil"/>
                <w:left w:val="nil"/>
                <w:bottom w:val="nil"/>
                <w:right w:val="nil"/>
              </w:pBdr>
              <w:spacing w:before="40" w:after="40"/>
              <w:ind w:left="100" w:right="100"/>
              <w:jc w:val="center"/>
              <w:rPr>
                <w:rFonts w:ascii="Arial" w:eastAsia="Arial" w:hAnsi="Arial" w:cs="Arial"/>
                <w:color w:val="000000" w:themeColor="text1"/>
                <w:sz w:val="22"/>
                <w:szCs w:val="22"/>
              </w:rPr>
            </w:pPr>
            <w:r>
              <w:rPr>
                <w:rFonts w:ascii="Arial" w:eastAsia="Arial" w:hAnsi="Arial" w:cs="Arial"/>
                <w:b/>
                <w:color w:val="000000" w:themeColor="text1"/>
                <w:sz w:val="22"/>
                <w:szCs w:val="22"/>
              </w:rPr>
              <w:t>p-value</w:t>
            </w:r>
          </w:p>
        </w:tc>
        <w:tc>
          <w:tcPr>
            <w:tcW w:w="699" w:type="pct"/>
          </w:tcPr>
          <w:p w:rsidR="008444AD" w:rsidRPr="00BB1F52" w:rsidRDefault="008444AD" w:rsidP="007053F0">
            <w:pPr>
              <w:pBdr>
                <w:top w:val="nil"/>
                <w:left w:val="nil"/>
                <w:bottom w:val="nil"/>
                <w:right w:val="nil"/>
              </w:pBdr>
              <w:spacing w:before="40" w:after="40"/>
              <w:ind w:left="100" w:right="100"/>
              <w:jc w:val="center"/>
              <w:rPr>
                <w:rFonts w:ascii="Arial" w:eastAsia="Arial" w:hAnsi="Arial" w:cs="Arial"/>
                <w:color w:val="000000" w:themeColor="text1"/>
                <w:sz w:val="22"/>
                <w:szCs w:val="22"/>
              </w:rPr>
            </w:pPr>
            <w:r>
              <w:rPr>
                <w:rFonts w:ascii="Arial" w:eastAsia="Arial" w:hAnsi="Arial" w:cs="Arial"/>
                <w:b/>
                <w:color w:val="000000" w:themeColor="text1"/>
                <w:sz w:val="22"/>
                <w:szCs w:val="22"/>
              </w:rPr>
              <w:t>Overall</w:t>
            </w:r>
            <w:r>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br/>
              <w:t>N = 80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Mental Demand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-6.4 [-18, 5.5]</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0.3</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54.6 (25.9)</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61.0 (23.2)</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57.8 (24.6)</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55 (30 - 80)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63 (45 - 80)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60 (35 - 80)</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15 - 100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10 - 100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10 - 100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Physical Demand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-7.6 [-20, 4.6]</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0.2</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47.3 (28.0)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54.9 (25.7)</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51.1 (27.0)</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40 (25 - 75)</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63 (33 - 75)</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(25 - 75)</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5 - 100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5 - 95</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Temporal Demand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-7.5 [-19, 3.9]</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0.2</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42.4 (22.8)</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49.9 (24.3)</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46.1 (23.7)</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38 (25 - 50)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(30 - 68)</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45 (28 - 65)</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10 - 100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10 - 100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10 - 100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Effort</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11 [1.9, 21]</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0.020</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62.4 (21.1)</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51.0 (19.5)</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56.7 (21.0)</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70 (50 - 75)</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(30 - 68)</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60 (38 - 70)</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20 - 100</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20 - 90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20 - 100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Performance</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[-16, 6.0]</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0.4</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55.9 (22.6)</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60.9 (19.0)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58.4 (20.9)</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58 (40 - 73)</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65 (50 - 75)</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60 (45 - 75)</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15 - 95</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20 - 100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15 - 100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Frustration</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-14 [-25, -3.0]</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0.013</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32.6 (25.9)</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46.8 (24.0)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39.7 (25.8)</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23 (13 - 55)</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(25 - 60)</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38 (20 - 60)</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0 - 100</w:t>
            </w:r>
            <w:bookmarkStart w:id="0" w:name="_GoBack"/>
            <w:bookmarkEnd w:id="0"/>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5 - 95</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0 - 100</w:t>
            </w:r>
          </w:p>
        </w:tc>
      </w:tr>
      <w:tr w:rsidR="008444AD" w:rsidTr="007053F0">
        <w:tc>
          <w:tcPr>
            <w:tcW w:w="1085" w:type="pct"/>
          </w:tcPr>
          <w:p w:rsidR="008444AD" w:rsidRPr="00BB1F52" w:rsidRDefault="008444AD" w:rsidP="007053F0">
            <w:pPr>
              <w:pBdr>
                <w:top w:val="nil"/>
                <w:left w:val="nil"/>
                <w:bottom w:val="nil"/>
                <w:right w:val="nil"/>
              </w:pBdr>
              <w:spacing w:before="100" w:after="100"/>
              <w:ind w:left="100" w:right="100"/>
              <w:rPr>
                <w:rFonts w:ascii="Arial" w:eastAsia="Arial" w:hAnsi="Arial" w:cs="Arial"/>
                <w:b/>
                <w:color w:val="000000" w:themeColor="text1"/>
                <w:sz w:val="22"/>
                <w:szCs w:val="22"/>
              </w:rPr>
            </w:pPr>
            <w:r>
              <w:rPr>
                <w:rFonts w:ascii="Arial" w:eastAsia="Arial" w:hAnsi="Arial" w:cs="Arial"/>
                <w:b/>
                <w:color w:val="000000" w:themeColor="text1"/>
                <w:sz w:val="22"/>
                <w:szCs w:val="22"/>
              </w:rPr>
              <w:t>NASA TLX Raw Score</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sz w:val="22"/>
                <w:szCs w:val="22"/>
              </w:rPr>
              <w:t>-4.9 [-12, 2.6]</w:t>
            </w: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0.2</w:t>
            </w: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Mean (SD)</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49.2 (13.6)</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54.1 (14.6)</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51.6 (14.2)</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Median (Q1 - Q3)</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50 (43 - 57)</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54 (46 - 61)</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52 (43 - 59)</w:t>
            </w:r>
          </w:p>
        </w:tc>
      </w:tr>
      <w:tr w:rsidR="008444AD" w:rsidTr="007053F0">
        <w:tc>
          <w:tcPr>
            <w:tcW w:w="1085" w:type="pct"/>
          </w:tcPr>
          <w:p w:rsidR="008444AD" w:rsidRPr="00BB1F52" w:rsidRDefault="008444AD" w:rsidP="007053F0">
            <w:pPr>
              <w:pBdr>
                <w:top w:val="nil"/>
                <w:left w:val="nil"/>
                <w:bottom w:val="nil"/>
                <w:right w:val="nil"/>
              </w:pBdr>
              <w:spacing w:before="100" w:after="100"/>
              <w:ind w:left="300" w:right="100"/>
              <w:rPr>
                <w:rFonts w:ascii="Arial" w:eastAsia="Arial" w:hAnsi="Arial" w:cs="Arial"/>
                <w:color w:val="000000" w:themeColor="text1"/>
                <w:sz w:val="22"/>
                <w:szCs w:val="22"/>
              </w:rPr>
            </w:pPr>
            <w:r>
              <w:rPr>
                <w:rFonts w:ascii="Arial" w:eastAsia="Arial" w:hAnsi="Arial" w:cs="Arial"/>
                <w:color w:val="000000" w:themeColor="text1"/>
                <w:sz w:val="22"/>
                <w:szCs w:val="22"/>
              </w:rPr>
              <w:t>Min - Max</w:t>
            </w:r>
          </w:p>
        </w:tc>
        <w:tc>
          <w:tcPr>
            <w:tcW w:w="87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24 - 85</w:t>
            </w:r>
          </w:p>
        </w:tc>
        <w:tc>
          <w:tcPr>
            <w:tcW w:w="71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16 - 78</w:t>
            </w:r>
          </w:p>
        </w:tc>
        <w:tc>
          <w:tcPr>
            <w:tcW w:w="1098"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530"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p>
        </w:tc>
        <w:tc>
          <w:tcPr>
            <w:tcW w:w="699" w:type="pct"/>
          </w:tcPr>
          <w:p w:rsidR="008444AD" w:rsidRPr="00BB1F52" w:rsidRDefault="008444AD" w:rsidP="007053F0">
            <w:pPr>
              <w:pBdr>
                <w:top w:val="nil"/>
                <w:left w:val="nil"/>
                <w:bottom w:val="nil"/>
                <w:right w:val="nil"/>
              </w:pBdr>
              <w:spacing w:before="100" w:after="100"/>
              <w:ind w:left="100" w:right="100"/>
              <w:jc w:val="center"/>
              <w:rPr>
                <w:rFonts w:ascii="Arial" w:eastAsia="Arial" w:hAnsi="Arial" w:cs="Arial"/>
                <w:color w:val="000000" w:themeColor="text1"/>
                <w:sz w:val="22"/>
                <w:szCs w:val="22"/>
              </w:rPr>
            </w:pPr>
            <w:r>
              <w:rPr>
                <w:rFonts w:ascii="Arial" w:eastAsia="Arial" w:hAnsi="Arial" w:cs="Arial"/>
                <w:color w:val="000000" w:themeColor="text1"/>
                <w:sz w:val="22"/>
                <w:szCs w:val="22"/>
              </w:rPr>
              <w:t>16 - 85</w:t>
            </w:r>
          </w:p>
        </w:tc>
      </w:tr>
      <w:tr w:rsidR="008444AD" w:rsidTr="007053F0">
        <w:tc>
          <w:tcPr>
            <w:tcW w:w="5000" w:type="pct"/>
            <w:gridSpan w:val="6"/>
          </w:tcPr>
          <w:p w:rsidR="008444AD" w:rsidRPr="00BB1F52" w:rsidRDefault="008444AD" w:rsidP="007053F0">
            <w:pPr>
              <w:pBdr>
                <w:top w:val="nil"/>
                <w:left w:val="nil"/>
                <w:bottom w:val="nil"/>
                <w:right w:val="nil"/>
              </w:pBdr>
              <w:spacing w:before="100" w:after="100"/>
              <w:ind w:left="100" w:right="100"/>
              <w:rPr>
                <w:rFonts w:ascii="Arial" w:eastAsia="Arial" w:hAnsi="Arial" w:cs="Arial"/>
                <w:color w:val="000000" w:themeColor="text1"/>
                <w:sz w:val="22"/>
                <w:szCs w:val="22"/>
              </w:rPr>
            </w:pPr>
            <w:r>
              <w:rPr>
                <w:rFonts w:ascii="Arial" w:eastAsia="Arial" w:hAnsi="Arial" w:cs="Arial"/>
                <w:color w:val="000000" w:themeColor="text1"/>
                <w:sz w:val="22"/>
                <w:szCs w:val="22"/>
              </w:rPr>
              <w:t>Abbreviation: CI = Confidence Interval</w:t>
            </w:r>
          </w:p>
        </w:tc>
      </w:tr>
    </w:tbl>
    <w:p w:rsidR="008444AD" w:rsidRPr="00631680" w:rsidRDefault="008444AD" w:rsidP="008444AD">
      <w:pPr>
        <w:spacing w:line="480" w:lineRule="auto"/>
        <w:rPr>
          <w:rFonts w:ascii="Calibri" w:hAnsi="Calibri" w:cs="Calibri"/>
          <w:b/>
          <w:color w:val="00B050"/>
          <w:lang w:val="en-US"/>
        </w:rPr>
      </w:pPr>
      <w:proofErr w:type="gramStart"/>
      <w:r>
        <w:rPr>
          <w:rFonts w:ascii="Calibri" w:hAnsi="Calibri" w:cs="Calibri"/>
          <w:color w:val="00B050"/>
          <w:lang w:val="en-US"/>
        </w:rPr>
        <w:t>Supplementary Table S1</w:t>
      </w:r>
      <w:r>
        <w:rPr>
          <w:rFonts w:ascii="Calibri" w:hAnsi="Calibri" w:cs="Calibri"/>
          <w:b/>
          <w:color w:val="00B050"/>
          <w:lang w:val="en-US"/>
        </w:rPr>
        <w:t>.</w:t>
      </w:r>
      <w:proofErr w:type="gramEnd"/>
      <w:r>
        <w:rPr>
          <w:rFonts w:ascii="Calibri" w:hAnsi="Calibri" w:cs="Calibri"/>
          <w:b/>
          <w:color w:val="00B050"/>
          <w:lang w:val="en-US"/>
        </w:rPr>
        <w:t xml:space="preserve"> </w:t>
      </w:r>
      <w:r>
        <w:rPr>
          <w:rFonts w:ascii="Calibri" w:hAnsi="Calibri" w:cs="Calibri"/>
          <w:color w:val="00B050"/>
          <w:lang w:val="en-US"/>
        </w:rPr>
        <w:t>Results of NASA Task Load Index</w:t>
      </w:r>
    </w:p>
    <w:p w:rsidR="00F532C6" w:rsidRDefault="008444AD"/>
    <w:sectPr w:rsidR="00F53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AD"/>
    <w:rsid w:val="008444AD"/>
    <w:rsid w:val="008B6524"/>
    <w:rsid w:val="00C874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AD"/>
    <w:pPr>
      <w:spacing w:after="0" w:line="240" w:lineRule="auto"/>
    </w:pPr>
    <w:rPr>
      <w:rFonts w:ascii="Times New Roman" w:eastAsia="Times New Roman" w:hAnsi="Times New Roman" w:cs="Times New Roman"/>
      <w:sz w:val="24"/>
      <w:szCs w:val="24"/>
      <w:lang w:val="de-DE" w:eastAsia="de-D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basedOn w:val="TableNormal"/>
    <w:rsid w:val="008444AD"/>
    <w:pPr>
      <w:spacing w:after="0" w:line="240" w:lineRule="auto"/>
    </w:pPr>
    <w:rPr>
      <w:sz w:val="24"/>
      <w:szCs w:val="24"/>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44AD"/>
    <w:rPr>
      <w:rFonts w:ascii="Tahoma" w:hAnsi="Tahoma" w:cs="Tahoma"/>
      <w:sz w:val="16"/>
      <w:szCs w:val="16"/>
    </w:rPr>
  </w:style>
  <w:style w:type="character" w:customStyle="1" w:styleId="BalloonTextChar">
    <w:name w:val="Balloon Text Char"/>
    <w:basedOn w:val="DefaultParagraphFont"/>
    <w:link w:val="BalloonText"/>
    <w:uiPriority w:val="99"/>
    <w:semiHidden/>
    <w:rsid w:val="008444AD"/>
    <w:rPr>
      <w:rFonts w:ascii="Tahoma" w:eastAsia="Times New Roman" w:hAnsi="Tahoma" w:cs="Tahoma"/>
      <w:sz w:val="16"/>
      <w:szCs w:val="16"/>
      <w:lang w:val="de-DE" w:eastAsia="de-DE"/>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AD"/>
    <w:pPr>
      <w:spacing w:after="0" w:line="240" w:lineRule="auto"/>
    </w:pPr>
    <w:rPr>
      <w:rFonts w:ascii="Times New Roman" w:eastAsia="Times New Roman" w:hAnsi="Times New Roman" w:cs="Times New Roman"/>
      <w:sz w:val="24"/>
      <w:szCs w:val="24"/>
      <w:lang w:val="de-DE" w:eastAsia="de-D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basedOn w:val="TableNormal"/>
    <w:rsid w:val="008444AD"/>
    <w:pPr>
      <w:spacing w:after="0" w:line="240" w:lineRule="auto"/>
    </w:pPr>
    <w:rPr>
      <w:sz w:val="24"/>
      <w:szCs w:val="24"/>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44AD"/>
    <w:rPr>
      <w:rFonts w:ascii="Tahoma" w:hAnsi="Tahoma" w:cs="Tahoma"/>
      <w:sz w:val="16"/>
      <w:szCs w:val="16"/>
    </w:rPr>
  </w:style>
  <w:style w:type="character" w:customStyle="1" w:styleId="BalloonTextChar">
    <w:name w:val="Balloon Text Char"/>
    <w:basedOn w:val="DefaultParagraphFont"/>
    <w:link w:val="BalloonText"/>
    <w:uiPriority w:val="99"/>
    <w:semiHidden/>
    <w:rsid w:val="008444AD"/>
    <w:rPr>
      <w:rFonts w:ascii="Tahoma" w:eastAsia="Times New Roman" w:hAnsi="Tahoma" w:cs="Tahoma"/>
      <w:sz w:val="16"/>
      <w:szCs w:val="16"/>
      <w:lang w:val="de-DE"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Dimanche cilicia Nepolean Dimanche (Integra)</dc:creator>
  <cp:lastModifiedBy>Dimanche cilicia Nepolean Dimanche (Integra)</cp:lastModifiedBy>
  <cp:revision>1</cp:revision>
  <dcterms:created xsi:type="dcterms:W3CDTF">2026-08-11T05:03:00Z</dcterms:created>
  <dcterms:modified xsi:type="dcterms:W3CDTF">2026-08-11T05:03:00Z</dcterms:modified>
</cp:coreProperties>
</file>