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D6B" w:rsidRDefault="00B80D6B" w:rsidP="00B80D6B">
      <w:pPr>
        <w:jc w:val="both"/>
        <w:rPr>
          <w:b/>
          <w:lang w:val="en-US"/>
        </w:rPr>
      </w:pPr>
    </w:p>
    <w:p w:rsidR="00B80D6B" w:rsidRPr="00734756" w:rsidRDefault="00B80D6B" w:rsidP="00B80D6B">
      <w:pPr>
        <w:jc w:val="both"/>
        <w:rPr>
          <w:lang w:val="en-US"/>
        </w:rPr>
      </w:pPr>
      <w:r w:rsidRPr="00734756">
        <w:rPr>
          <w:b/>
          <w:lang w:val="en-US"/>
        </w:rPr>
        <w:t xml:space="preserve">Table </w:t>
      </w:r>
      <w:r w:rsidRPr="00A65E31">
        <w:rPr>
          <w:b/>
          <w:lang w:val="en-US"/>
        </w:rPr>
        <w:t>S</w:t>
      </w:r>
      <w:r w:rsidRPr="00734756">
        <w:rPr>
          <w:b/>
          <w:lang w:val="en-US"/>
        </w:rPr>
        <w:t xml:space="preserve">1.  </w:t>
      </w:r>
      <w:r w:rsidRPr="00734756">
        <w:rPr>
          <w:lang w:val="en-US"/>
        </w:rPr>
        <w:t xml:space="preserve">Whole </w:t>
      </w:r>
      <w:proofErr w:type="spellStart"/>
      <w:r w:rsidRPr="00734756">
        <w:rPr>
          <w:lang w:val="en-US"/>
        </w:rPr>
        <w:t>exome</w:t>
      </w:r>
      <w:proofErr w:type="spellEnd"/>
      <w:r w:rsidRPr="00734756">
        <w:rPr>
          <w:lang w:val="en-US"/>
        </w:rPr>
        <w:t xml:space="preserve"> sequencing data output.</w:t>
      </w:r>
    </w:p>
    <w:p w:rsidR="00B80D6B" w:rsidRPr="00734756" w:rsidRDefault="00B80D6B" w:rsidP="00B80D6B">
      <w:pPr>
        <w:ind w:left="360"/>
        <w:jc w:val="both"/>
        <w:rPr>
          <w:lang w:val="en-US"/>
        </w:rPr>
      </w:pPr>
    </w:p>
    <w:tbl>
      <w:tblPr>
        <w:tblW w:w="3873" w:type="pct"/>
        <w:tblInd w:w="1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A0" w:firstRow="1" w:lastRow="0" w:firstColumn="1" w:lastColumn="0" w:noHBand="0" w:noVBand="0"/>
      </w:tblPr>
      <w:tblGrid>
        <w:gridCol w:w="6224"/>
        <w:gridCol w:w="1242"/>
      </w:tblGrid>
      <w:tr w:rsidR="00B80D6B" w:rsidRPr="00A65E31" w:rsidTr="00216B1F">
        <w:tc>
          <w:tcPr>
            <w:tcW w:w="4168" w:type="pct"/>
            <w:tcBorders>
              <w:top w:val="single" w:sz="4" w:space="0" w:color="auto"/>
              <w:left w:val="nil"/>
              <w:bottom w:val="single" w:sz="6" w:space="0" w:color="FFFFFF" w:themeColor="background1"/>
              <w:right w:val="double" w:sz="6" w:space="0" w:color="FFFFFF" w:themeColor="background1"/>
            </w:tcBorders>
            <w:shd w:val="clear" w:color="auto" w:fill="auto"/>
            <w:noWrap/>
          </w:tcPr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r w:rsidRPr="00734756">
              <w:rPr>
                <w:lang w:val="en-US"/>
              </w:rPr>
              <w:t>Target region coverage</w:t>
            </w:r>
            <w:r w:rsidRPr="00734756">
              <w:rPr>
                <w:vertAlign w:val="superscript"/>
                <w:lang w:val="en-US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double" w:sz="6" w:space="0" w:color="FFFFFF" w:themeColor="background1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B80D6B" w:rsidRPr="00734756" w:rsidRDefault="00B80D6B" w:rsidP="00216B1F">
            <w:pPr>
              <w:spacing w:before="120" w:after="120"/>
              <w:ind w:left="-284"/>
              <w:jc w:val="center"/>
            </w:pPr>
            <w:r w:rsidRPr="00734756">
              <w:rPr>
                <w:rFonts w:eastAsia="Times New Roman" w:cs="Times New Roman"/>
              </w:rPr>
              <w:t>99.8</w:t>
            </w:r>
            <w:r w:rsidRPr="00734756">
              <w:t>%</w:t>
            </w:r>
          </w:p>
        </w:tc>
      </w:tr>
      <w:tr w:rsidR="00B80D6B" w:rsidRPr="00A65E31" w:rsidTr="00216B1F">
        <w:tc>
          <w:tcPr>
            <w:tcW w:w="4168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double" w:sz="6" w:space="0" w:color="FFFFFF" w:themeColor="background1"/>
            </w:tcBorders>
            <w:shd w:val="clear" w:color="auto" w:fill="auto"/>
            <w:noWrap/>
          </w:tcPr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r w:rsidRPr="00734756">
              <w:rPr>
                <w:lang w:val="en-US"/>
              </w:rPr>
              <w:t>Target region coverage, 20x</w:t>
            </w:r>
            <w:r w:rsidRPr="00734756">
              <w:rPr>
                <w:vertAlign w:val="superscript"/>
                <w:lang w:val="en-US"/>
              </w:rPr>
              <w:t>1</w:t>
            </w:r>
          </w:p>
        </w:tc>
        <w:tc>
          <w:tcPr>
            <w:tcW w:w="832" w:type="pct"/>
            <w:tcBorders>
              <w:top w:val="single" w:sz="6" w:space="0" w:color="FFFFFF" w:themeColor="background1"/>
              <w:left w:val="double" w:sz="6" w:space="0" w:color="FFFFFF" w:themeColor="background1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lang w:val="en-US"/>
              </w:rPr>
            </w:pPr>
            <w:r w:rsidRPr="00734756">
              <w:rPr>
                <w:rFonts w:eastAsia="Times New Roman" w:cs="Times New Roman"/>
              </w:rPr>
              <w:t>94.4</w:t>
            </w:r>
            <w:r w:rsidRPr="00734756">
              <w:t>%</w:t>
            </w:r>
          </w:p>
        </w:tc>
      </w:tr>
      <w:tr w:rsidR="00B80D6B" w:rsidRPr="00A65E31" w:rsidTr="00216B1F">
        <w:tc>
          <w:tcPr>
            <w:tcW w:w="4168" w:type="pct"/>
            <w:tcBorders>
              <w:top w:val="single" w:sz="6" w:space="0" w:color="FFFFFF" w:themeColor="background1"/>
              <w:left w:val="nil"/>
              <w:bottom w:val="single" w:sz="4" w:space="0" w:color="auto"/>
              <w:right w:val="double" w:sz="6" w:space="0" w:color="FFFFFF" w:themeColor="background1"/>
            </w:tcBorders>
            <w:shd w:val="clear" w:color="auto" w:fill="auto"/>
            <w:noWrap/>
          </w:tcPr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proofErr w:type="spellStart"/>
            <w:r w:rsidRPr="00734756">
              <w:rPr>
                <w:rFonts w:eastAsia="Times New Roman" w:cs="Times New Roman"/>
              </w:rPr>
              <w:t>Average</w:t>
            </w:r>
            <w:proofErr w:type="spellEnd"/>
            <w:r w:rsidRPr="00734756">
              <w:rPr>
                <w:rFonts w:eastAsia="Times New Roman" w:cs="Times New Roman"/>
              </w:rPr>
              <w:t xml:space="preserve"> </w:t>
            </w:r>
            <w:proofErr w:type="spellStart"/>
            <w:r w:rsidRPr="00734756">
              <w:rPr>
                <w:rFonts w:eastAsia="Times New Roman" w:cs="Times New Roman"/>
              </w:rPr>
              <w:t>depth</w:t>
            </w:r>
            <w:proofErr w:type="spellEnd"/>
            <w:r w:rsidRPr="00734756">
              <w:rPr>
                <w:rFonts w:eastAsia="Times New Roman" w:cs="Times New Roman"/>
              </w:rPr>
              <w:t xml:space="preserve"> on target</w:t>
            </w:r>
          </w:p>
        </w:tc>
        <w:tc>
          <w:tcPr>
            <w:tcW w:w="832" w:type="pct"/>
            <w:tcBorders>
              <w:top w:val="single" w:sz="6" w:space="0" w:color="FFFFFF" w:themeColor="background1"/>
              <w:left w:val="double" w:sz="6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lang w:val="en-US"/>
              </w:rPr>
            </w:pPr>
            <w:r w:rsidRPr="00734756">
              <w:rPr>
                <w:rFonts w:eastAsia="Times New Roman" w:cs="Times New Roman"/>
              </w:rPr>
              <w:t>82x</w:t>
            </w:r>
          </w:p>
        </w:tc>
      </w:tr>
      <w:tr w:rsidR="00B80D6B" w:rsidRPr="00A65E31" w:rsidTr="00216B1F">
        <w:tc>
          <w:tcPr>
            <w:tcW w:w="4168" w:type="pct"/>
            <w:tcBorders>
              <w:top w:val="single" w:sz="6" w:space="0" w:color="FFFFFF" w:themeColor="background1"/>
              <w:left w:val="nil"/>
              <w:bottom w:val="single" w:sz="4" w:space="0" w:color="auto"/>
              <w:right w:val="double" w:sz="6" w:space="0" w:color="FFFFFF" w:themeColor="background1"/>
            </w:tcBorders>
            <w:shd w:val="clear" w:color="auto" w:fill="auto"/>
            <w:noWrap/>
          </w:tcPr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proofErr w:type="spellStart"/>
            <w:r w:rsidRPr="00734756">
              <w:t>Coverage</w:t>
            </w:r>
            <w:proofErr w:type="spellEnd"/>
            <w:r w:rsidRPr="00734756">
              <w:t xml:space="preserve"> of target </w:t>
            </w:r>
            <w:proofErr w:type="spellStart"/>
            <w:r w:rsidRPr="00734756">
              <w:t>region</w:t>
            </w:r>
            <w:proofErr w:type="spellEnd"/>
          </w:p>
        </w:tc>
        <w:tc>
          <w:tcPr>
            <w:tcW w:w="832" w:type="pct"/>
            <w:tcBorders>
              <w:top w:val="single" w:sz="6" w:space="0" w:color="FFFFFF" w:themeColor="background1"/>
              <w:left w:val="double" w:sz="6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lang w:val="en-US"/>
              </w:rPr>
            </w:pPr>
            <w:r w:rsidRPr="00734756">
              <w:rPr>
                <w:lang w:val="en-US"/>
              </w:rPr>
              <w:t>99.8%</w:t>
            </w:r>
          </w:p>
        </w:tc>
      </w:tr>
      <w:tr w:rsidR="00B80D6B" w:rsidRPr="00A65E31" w:rsidTr="00216B1F">
        <w:tc>
          <w:tcPr>
            <w:tcW w:w="4168" w:type="pct"/>
            <w:tcBorders>
              <w:top w:val="single" w:sz="6" w:space="0" w:color="FFFFFF" w:themeColor="background1"/>
              <w:left w:val="nil"/>
              <w:bottom w:val="single" w:sz="4" w:space="0" w:color="auto"/>
              <w:right w:val="double" w:sz="6" w:space="0" w:color="FFFFFF" w:themeColor="background1"/>
            </w:tcBorders>
            <w:shd w:val="clear" w:color="auto" w:fill="auto"/>
            <w:noWrap/>
          </w:tcPr>
          <w:p w:rsidR="00B80D6B" w:rsidRPr="00734756" w:rsidRDefault="00B80D6B" w:rsidP="00216B1F">
            <w:pPr>
              <w:spacing w:before="120" w:after="120"/>
              <w:ind w:left="78"/>
              <w:jc w:val="both"/>
            </w:pPr>
            <w:proofErr w:type="spellStart"/>
            <w:r w:rsidRPr="00734756">
              <w:t>Average</w:t>
            </w:r>
            <w:proofErr w:type="spellEnd"/>
            <w:r w:rsidRPr="00734756">
              <w:t xml:space="preserve"> </w:t>
            </w:r>
            <w:proofErr w:type="spellStart"/>
            <w:r w:rsidRPr="00734756">
              <w:t>read</w:t>
            </w:r>
            <w:proofErr w:type="spellEnd"/>
            <w:r w:rsidRPr="00734756">
              <w:t xml:space="preserve"> </w:t>
            </w:r>
            <w:proofErr w:type="spellStart"/>
            <w:r w:rsidRPr="00734756">
              <w:t>length</w:t>
            </w:r>
            <w:proofErr w:type="spellEnd"/>
          </w:p>
        </w:tc>
        <w:tc>
          <w:tcPr>
            <w:tcW w:w="832" w:type="pct"/>
            <w:tcBorders>
              <w:top w:val="single" w:sz="6" w:space="0" w:color="FFFFFF" w:themeColor="background1"/>
              <w:left w:val="double" w:sz="6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lang w:val="en-US"/>
              </w:rPr>
            </w:pPr>
            <w:r w:rsidRPr="00734756">
              <w:rPr>
                <w:lang w:val="en-US"/>
              </w:rPr>
              <w:t>90</w:t>
            </w:r>
            <w:r>
              <w:rPr>
                <w:lang w:val="en-US"/>
              </w:rPr>
              <w:t xml:space="preserve"> </w:t>
            </w:r>
            <w:proofErr w:type="spellStart"/>
            <w:r w:rsidRPr="00734756">
              <w:rPr>
                <w:lang w:val="en-US"/>
              </w:rPr>
              <w:t>bp</w:t>
            </w:r>
            <w:proofErr w:type="spellEnd"/>
          </w:p>
        </w:tc>
      </w:tr>
      <w:tr w:rsidR="00B80D6B" w:rsidRPr="00A65E31" w:rsidTr="00216B1F">
        <w:tc>
          <w:tcPr>
            <w:tcW w:w="4168" w:type="pct"/>
            <w:tcBorders>
              <w:top w:val="single" w:sz="4" w:space="0" w:color="auto"/>
              <w:left w:val="nil"/>
              <w:bottom w:val="single" w:sz="6" w:space="0" w:color="FFFFFF" w:themeColor="background1"/>
              <w:right w:val="double" w:sz="6" w:space="0" w:color="FFFFFF" w:themeColor="background1"/>
            </w:tcBorders>
            <w:shd w:val="clear" w:color="auto" w:fill="auto"/>
            <w:noWrap/>
          </w:tcPr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r w:rsidRPr="00734756">
              <w:rPr>
                <w:lang w:val="en-US"/>
              </w:rPr>
              <w:t>Total number of variants</w:t>
            </w:r>
          </w:p>
        </w:tc>
        <w:tc>
          <w:tcPr>
            <w:tcW w:w="832" w:type="pct"/>
            <w:tcBorders>
              <w:top w:val="single" w:sz="4" w:space="0" w:color="auto"/>
              <w:left w:val="double" w:sz="6" w:space="0" w:color="FFFFFF" w:themeColor="background1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color w:val="FF0000"/>
                <w:lang w:val="en-US"/>
              </w:rPr>
            </w:pPr>
            <w:r w:rsidRPr="00734756">
              <w:t>57.433</w:t>
            </w:r>
          </w:p>
        </w:tc>
      </w:tr>
      <w:tr w:rsidR="00B80D6B" w:rsidRPr="00A65E31" w:rsidTr="00216B1F">
        <w:tc>
          <w:tcPr>
            <w:tcW w:w="4168" w:type="pct"/>
            <w:tcBorders>
              <w:top w:val="single" w:sz="4" w:space="0" w:color="auto"/>
              <w:left w:val="nil"/>
              <w:bottom w:val="single" w:sz="6" w:space="0" w:color="FFFFFF" w:themeColor="background1"/>
              <w:right w:val="double" w:sz="6" w:space="0" w:color="FFFFFF" w:themeColor="background1"/>
            </w:tcBorders>
            <w:shd w:val="clear" w:color="auto" w:fill="auto"/>
            <w:noWrap/>
          </w:tcPr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r w:rsidRPr="00734756">
              <w:rPr>
                <w:lang w:val="en-US"/>
              </w:rPr>
              <w:t>Number of variants with predicted functional effect</w:t>
            </w:r>
          </w:p>
        </w:tc>
        <w:tc>
          <w:tcPr>
            <w:tcW w:w="832" w:type="pct"/>
            <w:tcBorders>
              <w:top w:val="single" w:sz="4" w:space="0" w:color="auto"/>
              <w:left w:val="double" w:sz="6" w:space="0" w:color="FFFFFF" w:themeColor="background1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color w:val="FF0000"/>
                <w:lang w:val="en-US"/>
              </w:rPr>
            </w:pPr>
            <w:r w:rsidRPr="00734756">
              <w:rPr>
                <w:rFonts w:eastAsia="Times New Roman" w:cs="Times New Roman"/>
              </w:rPr>
              <w:t>12,363</w:t>
            </w:r>
          </w:p>
        </w:tc>
      </w:tr>
      <w:tr w:rsidR="00B80D6B" w:rsidRPr="00A65E31" w:rsidTr="00216B1F">
        <w:tc>
          <w:tcPr>
            <w:tcW w:w="4168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double" w:sz="6" w:space="0" w:color="FFFFFF" w:themeColor="background1"/>
            </w:tcBorders>
            <w:shd w:val="clear" w:color="auto" w:fill="auto"/>
            <w:noWrap/>
          </w:tcPr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r w:rsidRPr="00734756">
              <w:rPr>
                <w:lang w:val="en-US"/>
              </w:rPr>
              <w:t>Novel, clinically associated, and unknown/low frequency variants</w:t>
            </w:r>
            <w:r w:rsidRPr="00734756">
              <w:rPr>
                <w:vertAlign w:val="superscript"/>
                <w:lang w:val="en-US"/>
              </w:rPr>
              <w:t>2</w:t>
            </w:r>
          </w:p>
        </w:tc>
        <w:tc>
          <w:tcPr>
            <w:tcW w:w="832" w:type="pct"/>
            <w:tcBorders>
              <w:top w:val="single" w:sz="6" w:space="0" w:color="FFFFFF" w:themeColor="background1"/>
              <w:left w:val="double" w:sz="6" w:space="0" w:color="FFFFFF" w:themeColor="background1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lang w:val="en-US"/>
              </w:rPr>
            </w:pPr>
            <w:r w:rsidRPr="00734756">
              <w:rPr>
                <w:lang w:val="en-US"/>
              </w:rPr>
              <w:t>381</w:t>
            </w:r>
          </w:p>
        </w:tc>
      </w:tr>
      <w:tr w:rsidR="00B80D6B" w:rsidRPr="00A65E31" w:rsidTr="00216B1F">
        <w:tc>
          <w:tcPr>
            <w:tcW w:w="4168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double" w:sz="6" w:space="0" w:color="FFFFFF" w:themeColor="background1"/>
            </w:tcBorders>
            <w:shd w:val="clear" w:color="auto" w:fill="auto"/>
            <w:noWrap/>
          </w:tcPr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r w:rsidRPr="00734756">
              <w:rPr>
                <w:lang w:val="en-US"/>
              </w:rPr>
              <w:t>Putative disease genes (autosomal dominant trait)</w:t>
            </w:r>
            <w:r w:rsidRPr="00734756">
              <w:rPr>
                <w:vertAlign w:val="superscript"/>
                <w:lang w:val="en-US"/>
              </w:rPr>
              <w:t>3,4</w:t>
            </w:r>
          </w:p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r w:rsidRPr="00734756">
              <w:rPr>
                <w:lang w:val="en-US"/>
              </w:rPr>
              <w:t>Filtered candidate genes</w:t>
            </w:r>
            <w:r w:rsidRPr="00734756">
              <w:rPr>
                <w:vertAlign w:val="superscript"/>
                <w:lang w:val="en-US"/>
              </w:rPr>
              <w:t>5</w:t>
            </w:r>
          </w:p>
        </w:tc>
        <w:tc>
          <w:tcPr>
            <w:tcW w:w="832" w:type="pct"/>
            <w:tcBorders>
              <w:top w:val="single" w:sz="6" w:space="0" w:color="FFFFFF" w:themeColor="background1"/>
              <w:left w:val="double" w:sz="6" w:space="0" w:color="FFFFFF" w:themeColor="background1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lang w:val="en-US"/>
              </w:rPr>
            </w:pPr>
            <w:r w:rsidRPr="00734756">
              <w:rPr>
                <w:lang w:val="en-US"/>
              </w:rPr>
              <w:t>1</w:t>
            </w:r>
          </w:p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color w:val="FF0000"/>
                <w:lang w:val="en-US"/>
              </w:rPr>
            </w:pPr>
            <w:r w:rsidRPr="00734756">
              <w:rPr>
                <w:lang w:val="en-US"/>
              </w:rPr>
              <w:t>0</w:t>
            </w:r>
          </w:p>
        </w:tc>
      </w:tr>
      <w:tr w:rsidR="00B80D6B" w:rsidRPr="00A65E31" w:rsidTr="00216B1F">
        <w:tc>
          <w:tcPr>
            <w:tcW w:w="4168" w:type="pct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double" w:sz="6" w:space="0" w:color="FFFFFF" w:themeColor="background1"/>
            </w:tcBorders>
            <w:shd w:val="clear" w:color="auto" w:fill="auto"/>
            <w:noWrap/>
          </w:tcPr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r w:rsidRPr="00734756">
              <w:rPr>
                <w:lang w:val="en-US"/>
              </w:rPr>
              <w:t>Putative disease genes (autosomal recessive trait)</w:t>
            </w:r>
            <w:r w:rsidRPr="00734756">
              <w:rPr>
                <w:vertAlign w:val="superscript"/>
                <w:lang w:val="en-US"/>
              </w:rPr>
              <w:t>6</w:t>
            </w:r>
          </w:p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r w:rsidRPr="00734756">
              <w:rPr>
                <w:lang w:val="en-US"/>
              </w:rPr>
              <w:t>Filtered candidate genes</w:t>
            </w:r>
            <w:r w:rsidRPr="00734756">
              <w:rPr>
                <w:vertAlign w:val="superscript"/>
                <w:lang w:val="en-US"/>
              </w:rPr>
              <w:t>5</w:t>
            </w:r>
          </w:p>
        </w:tc>
        <w:tc>
          <w:tcPr>
            <w:tcW w:w="832" w:type="pct"/>
            <w:tcBorders>
              <w:top w:val="single" w:sz="6" w:space="0" w:color="FFFFFF" w:themeColor="background1"/>
              <w:left w:val="double" w:sz="6" w:space="0" w:color="FFFFFF" w:themeColor="background1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lang w:val="en-US"/>
              </w:rPr>
            </w:pPr>
            <w:r w:rsidRPr="00734756">
              <w:rPr>
                <w:lang w:val="en-US"/>
              </w:rPr>
              <w:t xml:space="preserve">1, </w:t>
            </w:r>
            <w:r w:rsidRPr="00734756">
              <w:rPr>
                <w:i/>
                <w:lang w:val="en-US"/>
              </w:rPr>
              <w:t>ADSL</w:t>
            </w:r>
          </w:p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color w:val="FF0000"/>
                <w:lang w:val="en-US"/>
              </w:rPr>
            </w:pPr>
            <w:r w:rsidRPr="00734756">
              <w:rPr>
                <w:lang w:val="en-US"/>
              </w:rPr>
              <w:t>1</w:t>
            </w:r>
          </w:p>
        </w:tc>
      </w:tr>
      <w:tr w:rsidR="00B80D6B" w:rsidRPr="00A65E31" w:rsidTr="00216B1F">
        <w:tc>
          <w:tcPr>
            <w:tcW w:w="4168" w:type="pct"/>
            <w:tcBorders>
              <w:top w:val="single" w:sz="6" w:space="0" w:color="FFFFFF" w:themeColor="background1"/>
              <w:left w:val="nil"/>
              <w:bottom w:val="single" w:sz="4" w:space="0" w:color="auto"/>
              <w:right w:val="double" w:sz="6" w:space="0" w:color="FFFFFF" w:themeColor="background1"/>
            </w:tcBorders>
            <w:shd w:val="clear" w:color="auto" w:fill="auto"/>
            <w:noWrap/>
          </w:tcPr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r w:rsidRPr="00734756">
              <w:rPr>
                <w:lang w:val="en-US"/>
              </w:rPr>
              <w:t>Putative disease genes (X-linked trait)</w:t>
            </w:r>
          </w:p>
          <w:p w:rsidR="00B80D6B" w:rsidRPr="00734756" w:rsidRDefault="00B80D6B" w:rsidP="00216B1F">
            <w:pPr>
              <w:spacing w:before="120" w:after="120"/>
              <w:ind w:left="78"/>
              <w:jc w:val="both"/>
              <w:rPr>
                <w:lang w:val="en-US"/>
              </w:rPr>
            </w:pPr>
            <w:r w:rsidRPr="00734756">
              <w:rPr>
                <w:lang w:val="en-US"/>
              </w:rPr>
              <w:t>Filtered candidate genes</w:t>
            </w:r>
            <w:r w:rsidRPr="00734756">
              <w:rPr>
                <w:vertAlign w:val="superscript"/>
                <w:lang w:val="en-US"/>
              </w:rPr>
              <w:t>5</w:t>
            </w:r>
          </w:p>
        </w:tc>
        <w:tc>
          <w:tcPr>
            <w:tcW w:w="832" w:type="pct"/>
            <w:tcBorders>
              <w:top w:val="single" w:sz="6" w:space="0" w:color="FFFFFF" w:themeColor="background1"/>
              <w:left w:val="double" w:sz="6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lang w:val="en-US"/>
              </w:rPr>
            </w:pPr>
            <w:r w:rsidRPr="00734756">
              <w:rPr>
                <w:lang w:val="en-US"/>
              </w:rPr>
              <w:t>0</w:t>
            </w:r>
          </w:p>
          <w:p w:rsidR="00B80D6B" w:rsidRPr="00734756" w:rsidRDefault="00B80D6B" w:rsidP="00216B1F">
            <w:pPr>
              <w:spacing w:before="120" w:after="120"/>
              <w:ind w:left="-284"/>
              <w:jc w:val="center"/>
              <w:rPr>
                <w:color w:val="FF0000"/>
                <w:lang w:val="en-US"/>
              </w:rPr>
            </w:pPr>
            <w:r w:rsidRPr="00734756">
              <w:rPr>
                <w:lang w:val="en-US"/>
              </w:rPr>
              <w:t>0</w:t>
            </w:r>
          </w:p>
        </w:tc>
      </w:tr>
    </w:tbl>
    <w:p w:rsidR="00B80D6B" w:rsidRPr="00734756" w:rsidRDefault="00B80D6B" w:rsidP="00B80D6B">
      <w:pPr>
        <w:jc w:val="both"/>
      </w:pPr>
    </w:p>
    <w:p w:rsidR="00B80D6B" w:rsidRPr="00734756" w:rsidRDefault="00B80D6B" w:rsidP="00B80D6B">
      <w:pPr>
        <w:ind w:left="360"/>
        <w:jc w:val="both"/>
        <w:rPr>
          <w:rFonts w:cs="Times"/>
          <w:lang w:val="en-US"/>
        </w:rPr>
      </w:pPr>
      <w:r w:rsidRPr="00734756">
        <w:rPr>
          <w:rFonts w:cs="Times"/>
          <w:vertAlign w:val="superscript"/>
          <w:lang w:val="en-US"/>
        </w:rPr>
        <w:t>1</w:t>
      </w:r>
      <w:r w:rsidRPr="00734756">
        <w:rPr>
          <w:rFonts w:cs="Times"/>
          <w:lang w:val="en-US"/>
        </w:rPr>
        <w:t xml:space="preserve">Referred to </w:t>
      </w:r>
      <w:proofErr w:type="spellStart"/>
      <w:r w:rsidRPr="00734756">
        <w:rPr>
          <w:rFonts w:cs="Times"/>
          <w:lang w:val="en-US"/>
        </w:rPr>
        <w:t>SureSelect</w:t>
      </w:r>
      <w:proofErr w:type="spellEnd"/>
      <w:r w:rsidRPr="00734756">
        <w:rPr>
          <w:rFonts w:cs="Times"/>
          <w:lang w:val="en-US"/>
        </w:rPr>
        <w:t xml:space="preserve"> Human All Exon V.4 (Agilent).</w:t>
      </w:r>
    </w:p>
    <w:p w:rsidR="00B80D6B" w:rsidRPr="00734756" w:rsidRDefault="00B80D6B" w:rsidP="00B80D6B">
      <w:pPr>
        <w:ind w:left="360"/>
        <w:jc w:val="both"/>
        <w:rPr>
          <w:rFonts w:cs="Times"/>
          <w:vertAlign w:val="superscript"/>
          <w:lang w:val="en-US"/>
        </w:rPr>
      </w:pPr>
      <w:r w:rsidRPr="00734756">
        <w:rPr>
          <w:rFonts w:cs="Times"/>
          <w:vertAlign w:val="superscript"/>
          <w:lang w:val="en-US"/>
        </w:rPr>
        <w:t>2</w:t>
      </w:r>
      <w:r w:rsidRPr="00734756">
        <w:rPr>
          <w:rFonts w:cs="Times"/>
          <w:lang w:val="en-US"/>
        </w:rPr>
        <w:t xml:space="preserve">MAF &lt;0.1% in dbSNP142 and </w:t>
      </w:r>
      <w:proofErr w:type="spellStart"/>
      <w:r w:rsidRPr="00734756">
        <w:rPr>
          <w:rFonts w:cs="Times"/>
          <w:lang w:val="en-US"/>
        </w:rPr>
        <w:t>ExAC</w:t>
      </w:r>
      <w:proofErr w:type="spellEnd"/>
      <w:r w:rsidRPr="00734756">
        <w:rPr>
          <w:rFonts w:cs="Times"/>
          <w:lang w:val="en-US"/>
        </w:rPr>
        <w:t xml:space="preserve"> V. 0.3 databases, and with frequency &lt;2% in our </w:t>
      </w:r>
      <w:r w:rsidRPr="00734756">
        <w:rPr>
          <w:rFonts w:cs="Times"/>
          <w:i/>
          <w:lang w:val="en-US"/>
        </w:rPr>
        <w:t>in-house</w:t>
      </w:r>
      <w:r w:rsidRPr="00734756">
        <w:rPr>
          <w:rFonts w:cs="Times"/>
          <w:lang w:val="en-US"/>
        </w:rPr>
        <w:t xml:space="preserve"> database.</w:t>
      </w:r>
    </w:p>
    <w:p w:rsidR="00B80D6B" w:rsidRPr="00734756" w:rsidRDefault="00B80D6B" w:rsidP="00B80D6B">
      <w:pPr>
        <w:ind w:left="360"/>
        <w:jc w:val="both"/>
        <w:rPr>
          <w:rFonts w:cs="Times"/>
          <w:vertAlign w:val="superscript"/>
          <w:lang w:val="en-US"/>
        </w:rPr>
      </w:pPr>
      <w:r w:rsidRPr="00734756">
        <w:rPr>
          <w:rFonts w:cs="Times"/>
          <w:vertAlign w:val="superscript"/>
          <w:lang w:val="en-US"/>
        </w:rPr>
        <w:t>3</w:t>
      </w:r>
      <w:r w:rsidRPr="00734756">
        <w:rPr>
          <w:rFonts w:cs="Times"/>
          <w:lang w:val="en-US"/>
        </w:rPr>
        <w:t xml:space="preserve">Only </w:t>
      </w:r>
      <w:r w:rsidRPr="00734756">
        <w:rPr>
          <w:rFonts w:cs="Times"/>
          <w:i/>
          <w:lang w:val="en-US"/>
        </w:rPr>
        <w:t>de novo</w:t>
      </w:r>
      <w:r w:rsidRPr="00734756">
        <w:rPr>
          <w:rFonts w:cs="Times"/>
          <w:lang w:val="en-US"/>
        </w:rPr>
        <w:t xml:space="preserve"> changes </w:t>
      </w:r>
      <w:proofErr w:type="gramStart"/>
      <w:r w:rsidRPr="00734756">
        <w:rPr>
          <w:rFonts w:cs="Times"/>
          <w:lang w:val="en-US"/>
        </w:rPr>
        <w:t>are considered</w:t>
      </w:r>
      <w:proofErr w:type="gramEnd"/>
      <w:r w:rsidRPr="00734756">
        <w:rPr>
          <w:rFonts w:cs="Times"/>
          <w:lang w:val="en-US"/>
        </w:rPr>
        <w:t>, as both parents are unaffected.</w:t>
      </w:r>
    </w:p>
    <w:p w:rsidR="00B80D6B" w:rsidRPr="00734756" w:rsidRDefault="00B80D6B" w:rsidP="00B80D6B">
      <w:pPr>
        <w:ind w:left="360"/>
        <w:jc w:val="both"/>
        <w:rPr>
          <w:lang w:val="en-US"/>
        </w:rPr>
      </w:pPr>
      <w:proofErr w:type="gramStart"/>
      <w:r w:rsidRPr="00734756">
        <w:rPr>
          <w:rFonts w:cs="Times"/>
          <w:vertAlign w:val="superscript"/>
          <w:lang w:val="en-US"/>
        </w:rPr>
        <w:t>4</w:t>
      </w:r>
      <w:proofErr w:type="gramEnd"/>
      <w:r w:rsidRPr="00734756">
        <w:rPr>
          <w:rFonts w:cs="Times"/>
          <w:lang w:val="en-US"/>
        </w:rPr>
        <w:t xml:space="preserve"> </w:t>
      </w:r>
      <w:r w:rsidRPr="00734756">
        <w:rPr>
          <w:i/>
          <w:lang w:val="en-US"/>
        </w:rPr>
        <w:t xml:space="preserve">ATP5SL </w:t>
      </w:r>
      <w:r w:rsidRPr="00734756">
        <w:rPr>
          <w:rFonts w:cs="Times"/>
          <w:lang w:val="en-US"/>
        </w:rPr>
        <w:t>(c.565G&gt;A, G189S,</w:t>
      </w:r>
      <w:r w:rsidRPr="00734756">
        <w:rPr>
          <w:lang w:val="en-US"/>
        </w:rPr>
        <w:t xml:space="preserve"> NM_001167867.1, rs367830809)</w:t>
      </w:r>
      <w:r w:rsidRPr="00734756">
        <w:rPr>
          <w:rFonts w:cs="Times"/>
          <w:lang w:val="en-US"/>
        </w:rPr>
        <w:t>.</w:t>
      </w:r>
    </w:p>
    <w:p w:rsidR="00B80D6B" w:rsidRPr="00734756" w:rsidRDefault="00B80D6B" w:rsidP="00B80D6B">
      <w:pPr>
        <w:ind w:left="360"/>
        <w:jc w:val="both"/>
        <w:rPr>
          <w:rFonts w:cs="Times"/>
          <w:lang w:val="en-US"/>
        </w:rPr>
      </w:pPr>
      <w:r w:rsidRPr="00734756">
        <w:rPr>
          <w:rFonts w:cs="Times"/>
          <w:vertAlign w:val="superscript"/>
          <w:lang w:val="en-US"/>
        </w:rPr>
        <w:t>5</w:t>
      </w:r>
      <w:r w:rsidRPr="00734756">
        <w:rPr>
          <w:rFonts w:cs="Times"/>
          <w:lang w:val="en-US"/>
        </w:rPr>
        <w:t>Filtering retained functionally relevant variants (</w:t>
      </w:r>
      <w:r w:rsidRPr="00734756">
        <w:rPr>
          <w:rFonts w:cs="Times"/>
          <w:i/>
          <w:lang w:val="en-US"/>
        </w:rPr>
        <w:t>i.e.</w:t>
      </w:r>
      <w:r w:rsidRPr="00734756">
        <w:rPr>
          <w:rFonts w:cs="Times"/>
          <w:lang w:val="en-US"/>
        </w:rPr>
        <w:t xml:space="preserve">, </w:t>
      </w:r>
      <w:proofErr w:type="spellStart"/>
      <w:r w:rsidRPr="00734756">
        <w:rPr>
          <w:rFonts w:cs="Times"/>
          <w:lang w:val="en-US"/>
        </w:rPr>
        <w:t>nonsynonymous</w:t>
      </w:r>
      <w:proofErr w:type="spellEnd"/>
      <w:r w:rsidRPr="00734756">
        <w:rPr>
          <w:rFonts w:cs="Times"/>
          <w:lang w:val="en-US"/>
        </w:rPr>
        <w:t xml:space="preserve"> and splice site changes, excluding variants predicted as benign by CADD and </w:t>
      </w:r>
      <w:proofErr w:type="spellStart"/>
      <w:r w:rsidRPr="00734756">
        <w:rPr>
          <w:rFonts w:cs="Times"/>
          <w:lang w:val="en-US"/>
        </w:rPr>
        <w:t>metaSVM</w:t>
      </w:r>
      <w:proofErr w:type="spellEnd"/>
      <w:r w:rsidRPr="00734756">
        <w:rPr>
          <w:rFonts w:cs="Times"/>
          <w:lang w:val="en-US"/>
        </w:rPr>
        <w:t xml:space="preserve"> algorithms).</w:t>
      </w:r>
    </w:p>
    <w:p w:rsidR="00B80D6B" w:rsidRPr="001F43DF" w:rsidRDefault="00B80D6B" w:rsidP="00B80D6B">
      <w:pPr>
        <w:ind w:left="360"/>
        <w:jc w:val="both"/>
        <w:rPr>
          <w:color w:val="FF0000"/>
          <w:lang w:val="en-US"/>
        </w:rPr>
      </w:pPr>
      <w:r w:rsidRPr="00734756">
        <w:rPr>
          <w:rFonts w:cs="Times"/>
          <w:vertAlign w:val="superscript"/>
          <w:lang w:val="en-US"/>
        </w:rPr>
        <w:t>6</w:t>
      </w:r>
      <w:r w:rsidRPr="00734756">
        <w:rPr>
          <w:i/>
          <w:lang w:val="en-US"/>
        </w:rPr>
        <w:t xml:space="preserve"> ADSL</w:t>
      </w:r>
      <w:r w:rsidRPr="00734756">
        <w:rPr>
          <w:lang w:val="en-US"/>
        </w:rPr>
        <w:t xml:space="preserve"> (c.1191+5G&gt;C; c.926G&gt;A, p.R309H); </w:t>
      </w:r>
    </w:p>
    <w:p w:rsidR="00632F2B" w:rsidRPr="00B80D6B" w:rsidRDefault="00632F2B">
      <w:pPr>
        <w:rPr>
          <w:lang w:val="en-US"/>
        </w:rPr>
      </w:pPr>
      <w:bookmarkStart w:id="0" w:name="_GoBack"/>
      <w:bookmarkEnd w:id="0"/>
    </w:p>
    <w:sectPr w:rsidR="00632F2B" w:rsidRPr="00B80D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6B"/>
    <w:rsid w:val="00632F2B"/>
    <w:rsid w:val="00B8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5FC612-847C-4AB1-8FE0-4DC82AA7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0D6B"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Macchiaiolo Marina</dc:creator>
  <cp:keywords/>
  <dc:description/>
  <cp:lastModifiedBy>Macchiaiolo Marina</cp:lastModifiedBy>
  <cp:revision>1</cp:revision>
  <dcterms:created xsi:type="dcterms:W3CDTF">2017-01-24T12:25:00Z</dcterms:created>
  <dcterms:modified xsi:type="dcterms:W3CDTF">2017-01-24T12:25:00Z</dcterms:modified>
</cp:coreProperties>
</file>