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DC9952" w14:textId="77777777" w:rsidR="006F79F1" w:rsidRDefault="00416A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Whole exome sequencing</w:t>
      </w:r>
    </w:p>
    <w:p w14:paraId="2AD077A6" w14:textId="65766DC3" w:rsidR="006F79F1" w:rsidRPr="003B5FD8" w:rsidRDefault="00416A63" w:rsidP="003B5FD8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Genomic DNA was extracted from the peripheral blood by 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QIAamp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DNA Mini Kit (QIAGEN). DNA was quantified with Nanodrop 2000 (Thermal Fisher Scientific, DE). A minimum of 3 ug DNA was used for the indexed Illumina libraries according to the manufacturer’s protocol. </w:t>
      </w: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DNA fragments with sizes ranging from 350 bp to 450 bp and those including the adapter sequences were selected for DNA libraries.</w:t>
      </w:r>
      <w:r>
        <w:rPr>
          <w:rFonts w:ascii="Times New Roman" w:hAnsi="Times New Roman" w:cs="Times New Roman" w:hint="eastAsia"/>
          <w:sz w:val="24"/>
          <w:szCs w:val="24"/>
        </w:rPr>
        <w:t xml:space="preserve"> The constructed libraries were</w:t>
      </w:r>
      <w:r>
        <w:rPr>
          <w:rFonts w:ascii="Times New Roman" w:hAnsi="Times New Roman" w:cs="Times New Roman"/>
          <w:sz w:val="24"/>
          <w:szCs w:val="24"/>
        </w:rPr>
        <w:t xml:space="preserve"> capture</w:t>
      </w:r>
      <w:r>
        <w:rPr>
          <w:rFonts w:ascii="Times New Roman" w:hAnsi="Times New Roman" w:cs="Times New Roman" w:hint="eastAsia"/>
          <w:sz w:val="24"/>
          <w:szCs w:val="24"/>
        </w:rPr>
        <w:t xml:space="preserve">d by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xGen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Exome Research Panel v2 </w:t>
      </w:r>
      <w:r>
        <w:rPr>
          <w:rFonts w:ascii="Times New Roman" w:hAnsi="Times New Roman" w:cs="Times New Roman"/>
          <w:sz w:val="24"/>
          <w:szCs w:val="24"/>
        </w:rPr>
        <w:t xml:space="preserve">(IDT, Coralville, Iowa, USA). The enriched libraries were sequenced on an Illumina </w:t>
      </w:r>
      <w:proofErr w:type="spellStart"/>
      <w:r>
        <w:rPr>
          <w:rFonts w:ascii="Times New Roman" w:hAnsi="Times New Roman" w:cs="Times New Roman"/>
          <w:sz w:val="24"/>
          <w:szCs w:val="24"/>
        </w:rPr>
        <w:t>HiSeq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sequencer (Illumina, San Diego, CA, USA) for paired-end reads of 150 bp. </w:t>
      </w:r>
      <w:r>
        <w:rPr>
          <w:rFonts w:ascii="Times New Roman" w:hAnsi="Times New Roman" w:cs="Times New Roman" w:hint="eastAsia"/>
          <w:sz w:val="24"/>
          <w:szCs w:val="24"/>
        </w:rPr>
        <w:t xml:space="preserve">100~200X mean coverage was chosen and 12Gb are sequenced per patient. </w:t>
      </w:r>
      <w:r>
        <w:rPr>
          <w:rFonts w:ascii="Times New Roman" w:hAnsi="Times New Roman" w:cs="Times New Roman"/>
          <w:sz w:val="24"/>
          <w:szCs w:val="24"/>
        </w:rPr>
        <w:t>Following sequencing, the raw image files were processed by using Bcl2Fastq software (Bcl2Fastq 2.18.0.12, Illumina, Inc.) for base calling and raw data generation. Low-quality variations were filtered out by a quality score of ≥20. SOAP aligner software (SOAP2.21; soap.genomics.org.cn/soapsnp.html) was then used to align the clean reads with the reference human genome (</w:t>
      </w:r>
      <w:r>
        <w:rPr>
          <w:rFonts w:ascii="Times New Roman" w:hAnsi="Times New Roman" w:cs="Times New Roman" w:hint="eastAsia"/>
          <w:sz w:val="24"/>
          <w:szCs w:val="24"/>
        </w:rPr>
        <w:t>GRCh37</w:t>
      </w:r>
      <w:r>
        <w:rPr>
          <w:rFonts w:ascii="Times New Roman" w:hAnsi="Times New Roman" w:cs="Times New Roman"/>
          <w:sz w:val="24"/>
          <w:szCs w:val="24"/>
        </w:rPr>
        <w:t xml:space="preserve">). Polymerase chain reaction (PCR) duplicates were removed by using the Picard program. Subsequently, single nucleotide polymorphisms (SNPs) were determined by using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SOAPsnp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program, reads were realigned by using Burrows-Wheeler Aligner software 0.7.15, and the insertions and deletions (</w:t>
      </w:r>
      <w:proofErr w:type="spellStart"/>
      <w:r>
        <w:rPr>
          <w:rFonts w:ascii="Times New Roman" w:hAnsi="Times New Roman" w:cs="Times New Roman"/>
          <w:sz w:val="24"/>
          <w:szCs w:val="24"/>
        </w:rPr>
        <w:t>InDels</w:t>
      </w:r>
      <w:proofErr w:type="spellEnd"/>
      <w:r>
        <w:rPr>
          <w:rFonts w:ascii="Times New Roman" w:hAnsi="Times New Roman" w:cs="Times New Roman"/>
          <w:sz w:val="24"/>
          <w:szCs w:val="24"/>
        </w:rPr>
        <w:t>) were detected by using Genome Analysis Toolkit</w:t>
      </w:r>
      <w:r>
        <w:rPr>
          <w:rFonts w:ascii="Times New Roman" w:hAnsi="Times New Roman" w:cs="Times New Roman" w:hint="eastAsia"/>
          <w:sz w:val="24"/>
          <w:szCs w:val="24"/>
        </w:rPr>
        <w:t xml:space="preserve"> (GATK)</w:t>
      </w:r>
      <w:r>
        <w:rPr>
          <w:rFonts w:ascii="Times New Roman" w:hAnsi="Times New Roman" w:cs="Times New Roman"/>
          <w:sz w:val="24"/>
          <w:szCs w:val="24"/>
        </w:rPr>
        <w:t xml:space="preserve"> software 3.7. </w:t>
      </w:r>
      <w:r>
        <w:rPr>
          <w:rFonts w:ascii="Times New Roman" w:hAnsi="Times New Roman" w:cs="Times New Roman" w:hint="eastAsia"/>
          <w:sz w:val="24"/>
          <w:szCs w:val="24"/>
        </w:rPr>
        <w:t>Meanwhile, copy number variations were analyzed based on the depth of per exon among patient and normal controls. The ratio lower than 0.75 indicated deletion, while a ratio higher than 1.25 indicated duplication.</w:t>
      </w:r>
    </w:p>
    <w:sectPr w:rsidR="006F79F1" w:rsidRPr="003B5F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0359F1" w14:textId="77777777" w:rsidR="00E32D22" w:rsidRDefault="00E32D22" w:rsidP="003B5FD8">
      <w:r>
        <w:separator/>
      </w:r>
    </w:p>
  </w:endnote>
  <w:endnote w:type="continuationSeparator" w:id="0">
    <w:p w14:paraId="173948C8" w14:textId="77777777" w:rsidR="00E32D22" w:rsidRDefault="00E32D22" w:rsidP="003B5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9D7D76" w14:textId="77777777" w:rsidR="00E32D22" w:rsidRDefault="00E32D22" w:rsidP="003B5FD8">
      <w:r>
        <w:separator/>
      </w:r>
    </w:p>
  </w:footnote>
  <w:footnote w:type="continuationSeparator" w:id="0">
    <w:p w14:paraId="5351CD1D" w14:textId="77777777" w:rsidR="00E32D22" w:rsidRDefault="00E32D22" w:rsidP="003B5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9F1"/>
    <w:rsid w:val="003B5FD8"/>
    <w:rsid w:val="00416A63"/>
    <w:rsid w:val="004A31A7"/>
    <w:rsid w:val="006F79F1"/>
    <w:rsid w:val="0090375F"/>
    <w:rsid w:val="00E32D22"/>
    <w:rsid w:val="05AA7CA7"/>
    <w:rsid w:val="0BDD73B6"/>
    <w:rsid w:val="18E4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16B411"/>
  <w15:docId w15:val="{746E5368-D612-49FB-9CCD-ABE492B81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link w:val="a5"/>
    <w:rsid w:val="003B5F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B5FD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3B5F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B5FD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xie ruijin</cp:lastModifiedBy>
  <cp:revision>2</cp:revision>
  <dcterms:created xsi:type="dcterms:W3CDTF">2021-01-01T03:40:00Z</dcterms:created>
  <dcterms:modified xsi:type="dcterms:W3CDTF">2021-01-01T03:40:00Z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